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 </w:t>
      </w:r>
      <w:r>
        <w:rPr>
          <w:i w:val="false"/>
          <w:iCs w:val="false"/>
        </w:rPr>
        <w:t xml:space="preserve">skeleton </w:t>
      </w:r>
      <w:r>
        <w:rPr>
          <w:i w:val="false"/>
          <w:iCs w:val="false"/>
        </w:rPr>
        <w:t xml:space="preserve">of </w:t>
      </w:r>
      <w:r>
        <w:rPr>
          <w:i/>
          <w:iCs/>
        </w:rPr>
        <w:t>Barosaurus lentus</w:t>
      </w:r>
      <w:r>
        <w:rPr>
          <w:i w:val="false"/>
          <w:iCs w:val="false"/>
        </w:rPr>
        <w:t xml:space="preserve"> in the Roosevelt Memorial Hall of the American Museum of Natural History </w:t>
      </w:r>
      <w:r>
        <w:rPr>
          <w:i w:val="false"/>
          <w:iCs w:val="false"/>
        </w:rPr>
        <w:t xml:space="preserve">(AMNH) </w:t>
      </w:r>
      <w:r>
        <w:rPr>
          <w:i w:val="false"/>
          <w:iCs w:val="false"/>
        </w:rPr>
        <w:t xml:space="preserve">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dispersed between three institutions before Barnum Brown reunited it at the AMNH around 1930. </w:t>
      </w:r>
      <w:r>
        <w:rPr>
          <w:i w:val="false"/>
          <w:iCs w:val="false"/>
        </w:rPr>
        <w:t>I</w:t>
      </w:r>
      <w:r>
        <w:rPr>
          <w:i w:val="false"/>
          <w:iCs w:val="false"/>
        </w:rPr>
        <w:t xml:space="preserve">t </w:t>
      </w:r>
      <w:r>
        <w:rPr>
          <w:i w:val="false"/>
          <w:iCs w:val="false"/>
        </w:rPr>
        <w:t xml:space="preserve">was then </w:t>
      </w:r>
      <w:r>
        <w:rPr>
          <w:i w:val="false"/>
          <w:iCs w:val="false"/>
        </w:rPr>
        <w:t xml:space="preserve">largely </w:t>
      </w:r>
      <w:r>
        <w:rPr>
          <w:i w:val="false"/>
          <w:iCs w:val="false"/>
        </w:rPr>
        <w:t>neglected</w:t>
      </w:r>
      <w:r>
        <w:rPr>
          <w:i w:val="false"/>
          <w:iCs w:val="false"/>
        </w:rPr>
        <w:t xml:space="preserve"> for six decades. We document the conception of the mount during the 198</w:t>
      </w:r>
      <w:r>
        <w:rPr>
          <w:i w:val="false"/>
          <w:iCs w:val="false"/>
        </w:rPr>
        <w:t>6</w:t>
      </w:r>
      <w:r>
        <w:rPr>
          <w:i w:val="false"/>
          <w:iCs w:val="false"/>
        </w:rPr>
        <w:t xml:space="preserve">–1991 renovation </w:t>
      </w:r>
      <w:r>
        <w:rPr>
          <w:i w:val="false"/>
          <w:iCs w:val="false"/>
        </w:rPr>
        <w:t>of the fossil halls</w:t>
      </w:r>
      <w:r>
        <w:rPr>
          <w:i w:val="false"/>
          <w:iCs w:val="false"/>
        </w:rPr>
        <w:t xml:space="preserve">, when Lowell Dingus and Eugene Gaffney independently arrived at the idea of a rearing sauropod inspired in part by Gregory S. Paul’s painting </w:t>
      </w:r>
      <w:r>
        <w:rPr>
          <w:i/>
          <w:iCs/>
        </w:rPr>
        <w:t>Ambush at Como Creek</w:t>
      </w:r>
      <w:r>
        <w:rPr>
          <w:i w:val="false"/>
          <w:iCs w:val="false"/>
        </w:rPr>
        <w:t xml:space="preserve">, and </w:t>
      </w:r>
      <w:r>
        <w:rPr>
          <w:i w:val="false"/>
          <w:iCs w:val="false"/>
        </w:rPr>
        <w:t xml:space="preserve">the </w:t>
      </w:r>
      <w:r>
        <w:rPr>
          <w:i w:val="false"/>
          <w:iCs w:val="false"/>
        </w:rPr>
        <w:t xml:space="preserve">construction </w:t>
      </w:r>
      <w:r>
        <w:rPr>
          <w:i w:val="false"/>
          <w:iCs w:val="false"/>
        </w:rPr>
        <w:t xml:space="preserve">of </w:t>
      </w:r>
      <w:r>
        <w:rPr>
          <w:i w:val="false"/>
          <w:iCs w:val="false"/>
        </w:rPr>
        <w:t>the</w:t>
      </w:r>
      <w:r>
        <w:rPr>
          <w:i w:val="false"/>
          <w:iCs w:val="false"/>
        </w:rPr>
        <w:t xml:space="preserve"> rearing </w:t>
      </w:r>
      <w:r>
        <w:rPr>
          <w:i w:val="false"/>
          <w:iCs w:val="false"/>
        </w:rPr>
        <w:t xml:space="preserve">cast by Research Casting International. </w:t>
      </w:r>
      <w:r>
        <w:rPr>
          <w:i w:val="false"/>
          <w:iCs w:val="false"/>
        </w:rPr>
        <w:t>A</w:t>
      </w:r>
      <w:r>
        <w:rPr>
          <w:i w:val="false"/>
          <w:iCs w:val="false"/>
        </w:rPr>
        <w:t xml:space="preserve">t about 15 m, </w:t>
      </w:r>
      <w:r>
        <w:rPr>
          <w:i w:val="false"/>
          <w:iCs w:val="false"/>
        </w:rPr>
        <w:t xml:space="preserve">it </w:t>
      </w:r>
      <w:r>
        <w:rPr>
          <w:i w:val="false"/>
          <w:iCs w:val="false"/>
        </w:rPr>
        <w:t xml:space="preserve">is the tallest free-standing mounted skeleton </w:t>
      </w:r>
      <w:r>
        <w:rPr>
          <w:i w:val="false"/>
          <w:iCs w:val="false"/>
        </w:rPr>
        <w:t>in the world</w:t>
      </w:r>
      <w:r>
        <w:rPr>
          <w:i w:val="false"/>
          <w:iCs w:val="false"/>
        </w:rPr>
        <w:t xml:space="preserve">. Crucially, the mount’s purpose was not to assert that </w:t>
      </w:r>
      <w:r>
        <w:rPr>
          <w:i/>
          <w:iCs/>
        </w:rPr>
        <w:t>Barosaurus</w:t>
      </w:r>
      <w:r>
        <w:rPr>
          <w:i w:val="false"/>
          <w:iCs w:val="false"/>
        </w:rPr>
        <w:t xml:space="preserve"> habitually reared, but to </w:t>
      </w:r>
      <w:r>
        <w:rPr>
          <w:i w:val="false"/>
          <w:iCs w:val="false"/>
        </w:rPr>
        <w:t xml:space="preserve">provoke </w:t>
      </w:r>
      <w:r>
        <w:rPr>
          <w:i w:val="false"/>
          <w:iCs w:val="false"/>
        </w:rPr>
        <w:t xml:space="preserve">visitors </w:t>
      </w:r>
      <w:r>
        <w:rPr>
          <w:i w:val="false"/>
          <w:iCs w:val="false"/>
        </w:rPr>
        <w:t xml:space="preserve">to think about </w:t>
      </w:r>
      <w:r>
        <w:rPr>
          <w:i w:val="false"/>
          <w:iCs w:val="false"/>
        </w:rPr>
        <w:t xml:space="preserve">what fossils can and cannot tell us about extinct animals. </w:t>
      </w:r>
      <w:r>
        <w:rPr>
          <w:i w:val="false"/>
          <w:iCs w:val="false"/>
        </w:rPr>
        <w:t xml:space="preserve">About </w:t>
      </w:r>
      <w:r>
        <w:rPr>
          <w:i w:val="false"/>
          <w:iCs w:val="false"/>
        </w:rPr>
        <w:t xml:space="preserve">about 80% </w:t>
      </w:r>
      <w:r>
        <w:rPr>
          <w:i w:val="false"/>
          <w:iCs w:val="false"/>
        </w:rPr>
        <w:t xml:space="preserve">of the material in the mount is cast from </w:t>
      </w:r>
      <w:r>
        <w:rPr>
          <w:i w:val="false"/>
          <w:iCs w:val="false"/>
        </w:rPr>
        <w:t xml:space="preserve">AMNH 6341, with most of the </w:t>
      </w:r>
      <w:r>
        <w:rPr>
          <w:i w:val="false"/>
          <w:iCs w:val="false"/>
        </w:rPr>
        <w:t xml:space="preserve">rest </w:t>
      </w:r>
      <w:r>
        <w:rPr>
          <w:i w:val="false"/>
          <w:iCs w:val="false"/>
        </w:rPr>
        <w:t xml:space="preserve">cast from second-generation moulds of the Carnegie </w:t>
      </w:r>
      <w:r>
        <w:rPr>
          <w:i/>
          <w:iCs/>
        </w:rPr>
        <w:t>Diplodocus</w:t>
      </w:r>
      <w:r>
        <w:rPr>
          <w:i w:val="false"/>
          <w:iCs w:val="false"/>
        </w:rPr>
        <w:t xml:space="preserve">, including </w:t>
      </w:r>
      <w:r>
        <w:rPr>
          <w:i w:val="false"/>
          <w:iCs w:val="false"/>
        </w:rPr>
        <w:t>a third of the neck</w:t>
      </w:r>
      <w:r>
        <w:rPr>
          <w:i w:val="false"/>
          <w:iCs w:val="false"/>
        </w:rPr>
        <w:t xml:space="preserve"> and residual camarasaurid material in the manus. We summarise the controversy the pose provoked, trace the longer history of rearing sauropods in science and art, and assess the mount’s substantial impact on popular culture.</w:t>
      </w:r>
    </w:p>
    <w:p>
      <w:pPr>
        <w:pStyle w:val="Abstract"/>
        <w:rPr>
          <w:i w:val="false"/>
          <w:iCs w:val="false"/>
        </w:rPr>
      </w:pPr>
      <w:r>
        <w:rPr>
          <w:i w:val="false"/>
          <w:iCs w:val="false"/>
        </w:rPr>
      </w:r>
    </w:p>
    <w:p>
      <w:pPr>
        <w:pStyle w:val="Abstract"/>
        <w:rPr>
          <w:i w:val="false"/>
          <w:iCs w:val="false"/>
        </w:rPr>
      </w:pPr>
      <w:r>
        <w:rPr>
          <w:i w:val="false"/>
          <w:iCs w:val="false"/>
        </w:rPr>
        <w:t xml:space="preserve">### "", 8.5 m neck estimate. </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13</w:t>
          </w:r>
        </w:p>
        <w:p>
          <w:pPr>
            <w:pStyle w:val="TOC3"/>
            <w:tabs>
              <w:tab w:val="clear" w:pos="9072"/>
              <w:tab w:val="right" w:pos="9637" w:leader="dot"/>
            </w:tabs>
            <w:rPr/>
          </w:pPr>
          <w:r>
            <w:rPr/>
            <w:t>Overview</w:t>
            <w:tab/>
            <w:t>13</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15</w:t>
          </w:r>
        </w:p>
        <w:p>
          <w:pPr>
            <w:pStyle w:val="TOC3"/>
            <w:tabs>
              <w:tab w:val="clear" w:pos="9072"/>
              <w:tab w:val="right" w:pos="9637" w:leader="dot"/>
            </w:tabs>
            <w:rPr/>
          </w:pPr>
          <w:r>
            <w:rPr/>
            <w:t>Skull</w:t>
            <w:tab/>
            <w:t>15</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16</w:t>
          </w:r>
        </w:p>
        <w:p>
          <w:pPr>
            <w:pStyle w:val="TOC3"/>
            <w:tabs>
              <w:tab w:val="clear" w:pos="9072"/>
              <w:tab w:val="right" w:pos="9637" w:leader="dot"/>
            </w:tabs>
            <w:rPr/>
          </w:pPr>
          <w:r>
            <w:rPr/>
            <w:t>Forelimbs and girdles</w:t>
            <w:tab/>
            <w:t>17</w:t>
          </w:r>
        </w:p>
        <w:p>
          <w:pPr>
            <w:pStyle w:val="TOC3"/>
            <w:tabs>
              <w:tab w:val="clear" w:pos="9072"/>
              <w:tab w:val="right" w:pos="9637" w:leader="dot"/>
            </w:tabs>
            <w:rPr/>
          </w:pPr>
          <w:r>
            <w:rPr/>
            <w:t>Hindlimbs and girdles</w:t>
            <w:tab/>
            <w:t>17</w:t>
          </w:r>
        </w:p>
        <w:p>
          <w:pPr>
            <w:pStyle w:val="TOC1"/>
            <w:tabs>
              <w:tab w:val="clear" w:pos="9638"/>
              <w:tab w:val="right" w:pos="9637" w:leader="dot"/>
            </w:tabs>
            <w:rPr/>
          </w:pPr>
          <w:r>
            <w:rPr/>
            <w:t>Discussion</w:t>
            <w:tab/>
            <w:t>17</w:t>
          </w:r>
        </w:p>
        <w:p>
          <w:pPr>
            <w:pStyle w:val="TOC2"/>
            <w:tabs>
              <w:tab w:val="clear" w:pos="9355"/>
              <w:tab w:val="right" w:pos="9637" w:leader="dot"/>
            </w:tabs>
            <w:rPr/>
          </w:pPr>
          <w:r>
            <w:rPr/>
            <w:t>Rearing pose</w:t>
            <w:tab/>
            <w:t>17</w:t>
          </w:r>
        </w:p>
        <w:p>
          <w:pPr>
            <w:pStyle w:val="TOC2"/>
            <w:tabs>
              <w:tab w:val="clear" w:pos="9355"/>
              <w:tab w:val="right" w:pos="9637" w:leader="dot"/>
            </w:tabs>
            <w:rPr/>
          </w:pPr>
          <w:r>
            <w:rPr/>
            <w:t>A short history of rearing sauropods</w:t>
            <w:tab/>
            <w:t>19</w:t>
          </w:r>
        </w:p>
        <w:p>
          <w:pPr>
            <w:pStyle w:val="TOC2"/>
            <w:tabs>
              <w:tab w:val="clear" w:pos="9355"/>
              <w:tab w:val="right" w:pos="9637" w:leader="dot"/>
            </w:tabs>
            <w:rPr/>
          </w:pPr>
          <w:r>
            <w:rPr/>
            <w:t>Cultural impact</w:t>
            <w:tab/>
            <w:t>20</w:t>
          </w:r>
        </w:p>
        <w:p>
          <w:pPr>
            <w:pStyle w:val="TOC2"/>
            <w:tabs>
              <w:tab w:val="clear" w:pos="9355"/>
              <w:tab w:val="right" w:pos="9637" w:leader="dot"/>
            </w:tabs>
            <w:rPr/>
          </w:pPr>
          <w:r>
            <w:rPr/>
            <w:t>Size of the AMNH 6341 animal</w:t>
            <w:tab/>
            <w:t>21</w:t>
          </w:r>
        </w:p>
        <w:p>
          <w:pPr>
            <w:pStyle w:val="TOC1"/>
            <w:tabs>
              <w:tab w:val="clear" w:pos="9638"/>
              <w:tab w:val="right" w:pos="9637" w:leader="dot"/>
            </w:tabs>
            <w:rPr/>
          </w:pPr>
          <w:r>
            <w:rPr/>
            <w:t>Acknowledgements</w:t>
            <w:tab/>
            <w:t>22</w:t>
          </w:r>
        </w:p>
        <w:p>
          <w:pPr>
            <w:pStyle w:val="TOC1"/>
            <w:tabs>
              <w:tab w:val="clear" w:pos="9638"/>
              <w:tab w:val="right" w:pos="9637" w:leader="dot"/>
            </w:tabs>
            <w:rPr/>
          </w:pPr>
          <w:r>
            <w:rPr/>
            <w:t>References</w:t>
            <w:tab/>
            <w:t>23</w:t>
          </w:r>
        </w:p>
        <w:p>
          <w:pPr>
            <w:pStyle w:val="TOC1"/>
            <w:tabs>
              <w:tab w:val="clear" w:pos="9638"/>
              <w:tab w:val="right" w:pos="9637" w:leader="dot"/>
            </w:tabs>
            <w:rPr/>
          </w:pPr>
          <w:r>
            <w:rPr/>
            <w:t>Figure Captions</w:t>
            <w:tab/>
            <w:t>29</w:t>
          </w:r>
        </w:p>
        <w:p>
          <w:pPr>
            <w:pStyle w:val="TOC1"/>
            <w:tabs>
              <w:tab w:val="clear" w:pos="9638"/>
              <w:tab w:val="right" w:pos="9637" w:leader="dot"/>
            </w:tabs>
            <w:rPr/>
          </w:pPr>
          <w:r>
            <w:rPr/>
            <w:t>Tables</w:t>
            <w:tab/>
            <w:t>33</w:t>
          </w:r>
        </w:p>
        <w:p>
          <w:pPr>
            <w:pStyle w:val="TOC2"/>
            <w:tabs>
              <w:tab w:val="clear" w:pos="9355"/>
              <w:tab w:val="right" w:pos="9637" w:leader="dot"/>
            </w:tabs>
            <w:rPr/>
          </w:pPr>
          <w:r>
            <w:rPr/>
            <w:t>Table 1</w:t>
            <w:tab/>
            <w:t>33</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Douglass briefly reported to Merrill the existence of two sauropods in the quarry, by telegram, on 10 November (Douglass 1922a). The next day</w:t>
      </w:r>
      <w:r>
        <w:rPr/>
        <w:t xml:space="preserve">, Merrill wrote to Earl Douglass requesting technical and logistical information.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3);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w:t>
      </w:r>
      <w:r>
        <w:rPr/>
        <w:t>c</w:t>
      </w:r>
      <w:r>
        <w:rPr/>
        <w:t>).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5B)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what few documents were recovered from AMNH archives.</w:t>
      </w:r>
    </w:p>
    <w:p>
      <w:pPr>
        <w:pStyle w:val="BodyText"/>
        <w:rPr/>
      </w:pPr>
      <w:r>
        <w:rPr/>
        <w:t xml:space="preserve">Early in the process, around March 1990, a prototype model at about 1/16 full size was commissioned at a cost of $3,980 (Galiano 1990),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On 28 March 1990, an agreement was made between Lowell Dingus, acting for the AMNH, and Peter May and Andrew Leitch, acting for Research Casting International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than adult!). The agreement was signed by Dingus on 28 March, by May and Leitch on 30 March, and by AMNH director William J,. Moynihan on 3 April.</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rocket-plane test pilot Rudy Zimmermann. May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to New York on 7 November (Clark 1991), in sections for mounting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1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altas and axis which were not in place at that time. The assembly process was complex. The neck section containing the head and C1–16 was welded to the torso leaving a stretch of bare armature. The two halves of the seventeenth vertebra (visible on the right side of Figure 13) were then glued together around the armature and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in Figure 15, to Gregory S. Paul for permission to reproduce his artwork </w:t>
      </w:r>
      <w:r>
        <w:rPr>
          <w:i/>
          <w:iCs/>
        </w:rPr>
        <w:t>Ambush at Como Creek</w:t>
      </w:r>
      <w:r>
        <w:rPr/>
        <w:t xml:space="preserve"> (Figure 7),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Carl Mehling (AMNH) searched collections for the missing C7 and concluded it was absent.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ind w:hanging="0" w:left="0" w:right="0"/>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w:t>
      </w:r>
      <w:r>
        <w:rPr/>
        <w:t>a</w:t>
      </w:r>
      <w:r>
        <w:rPr/>
        <w:t>ss, in the year 1922. 24 March 1923.</w:t>
      </w:r>
    </w:p>
    <w:p>
      <w:pPr>
        <w:pStyle w:val="Reference"/>
        <w:rPr/>
      </w:pPr>
      <w:r>
        <w:rPr/>
        <w:t>Douglass, Earl. 1923. Report of Work Done by the Carnegie Museum at the Dinosaur National Monument in Uinta County, Utah, under the Supervision of Earl Dougl</w:t>
      </w:r>
      <w:r>
        <w:rPr/>
        <w:t>a</w:t>
      </w:r>
      <w:r>
        <w:rPr/>
        <w:t>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w:t>
      </w:r>
      <w:r>
        <w:rPr/>
        <w:t xml:space="preserve">1929. Die Besonderheit der Titanosaurier [The characteristics of titanosaurs]. </w:t>
      </w:r>
      <w:r>
        <w:rPr>
          <w:i/>
          <w:iCs/>
        </w:rPr>
        <w:t xml:space="preserve">Centralblatt für </w:t>
      </w:r>
      <w:r>
        <w:rPr>
          <w:i/>
          <w:iCs/>
        </w:rPr>
        <w:t>Mineralogie, Geologie und Palaontologie</w:t>
      </w:r>
      <w:r>
        <w:rPr/>
        <w:t xml:space="preserve"> </w:t>
      </w:r>
      <w:r>
        <w:rPr>
          <w:b/>
          <w:bCs/>
        </w:rPr>
        <w:t>192</w:t>
      </w:r>
      <w:r>
        <w:rPr>
          <w:b/>
          <w:bCs/>
        </w:rPr>
        <w:t>9(B)</w:t>
      </w:r>
      <w:r>
        <w:rPr/>
        <w:t>:</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Marsh, O</w:t>
      </w:r>
      <w:r>
        <w:rPr/>
        <w:t>thniel</w:t>
      </w:r>
      <w:r>
        <w:rPr/>
        <w:t xml:space="preserve">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w:t>
      </w:r>
      <w:r>
        <w:rPr/>
        <w:t>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ind w:hanging="0" w:left="0" w:right="0"/>
        <w:rPr/>
      </w:pPr>
      <w:bookmarkStart w:id="34" w:name="__RefHeading___Toc3407_68767826"/>
      <w:bookmarkEnd w:id="34"/>
      <w:r>
        <w:rPr/>
        <w:t>Figure Captions</w:t>
      </w:r>
    </w:p>
    <w:p>
      <w:pPr>
        <w:pStyle w:val="FigureCaption"/>
        <w:rPr/>
      </w:pPr>
      <w:r>
        <w:rPr>
          <w:b/>
          <w:bCs/>
        </w:rPr>
        <w:t>Figure 1.</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Photograph provided by Department of Vertebrate Paleontology Archive, Copyright ©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3).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w:t>
      </w:r>
      <w:r>
        <w:rPr/>
        <w:t>8</w:t>
      </w:r>
      <w:r>
        <w:rPr/>
        <w:t xml:space="preserve">91: </w:t>
      </w:r>
      <w:r>
        <w:rPr/>
        <w:t>plate XVI</w:t>
      </w:r>
      <w:r>
        <w:rPr/>
        <w:t xml:space="preserve">)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 Photograph provided by Department of Vertebrate Paleontology Archive, Copyright © AMNH.</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 Copyright © AMNH.</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 Copyright © AMNH.</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3–16, all articulated in a single piece, with the atlas an axis still to be fitted.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section that is probably the proximal part of the </w:t>
      </w:r>
      <w:r>
        <w:rPr>
          <w:b w:val="false"/>
          <w:bCs w:val="false"/>
          <w:i/>
          <w:iCs/>
        </w:rPr>
        <w:t>Allosaurus</w:t>
      </w:r>
      <w:r>
        <w:rPr>
          <w:b w:val="false"/>
          <w:bCs w:val="false"/>
        </w:rPr>
        <w:t xml:space="preserve"> tail. Finally, intruding on the image from the left is the distal part (whiplash) portion of the other </w:t>
      </w:r>
      <w:r>
        <w:rPr>
          <w:b w:val="false"/>
          <w:bCs w:val="false"/>
          <w:i/>
          <w:iCs/>
        </w:rPr>
        <w:t>Barosaurus</w:t>
      </w:r>
      <w:r>
        <w:rPr>
          <w:b w:val="false"/>
          <w:bCs w:val="false"/>
        </w:rPr>
        <w:t xml:space="preserve"> tail, probably that of the adult. Photograph provided by Department of Vertebrate Paleontology Archive, Copyright ©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Photographs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25722</TotalTime>
  <Application>LibreOffice/26.2.0.3$MacOSX_AARCH64 LibreOffice_project/afbbd0df0edb6d40b450b0337ac646b0913a760c</Application>
  <AppVersion>15.0000</AppVersion>
  <Pages>34</Pages>
  <Words>17354</Words>
  <Characters>91481</Characters>
  <CharactersWithSpaces>108368</CharactersWithSpaces>
  <Paragraphs>393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2026-07-29T12:42:00Z</dcterms:modified>
  <cp:revision>624</cp:revision>
  <dc:subject/>
  <dc:title/>
</cp:coreProperties>
</file>

<file path=docProps/custom.xml><?xml version="1.0" encoding="utf-8"?>
<Properties xmlns="http://schemas.openxmlformats.org/officeDocument/2006/custom-properties" xmlns:vt="http://schemas.openxmlformats.org/officeDocument/2006/docPropsVTypes"/>
</file>