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t xml:space="preserve"> in the American Museum of Natural History</w:t>
      </w:r>
    </w:p>
    <w:p>
      <w:pPr>
        <w:pStyle w:val="Author"/>
        <w:rPr/>
      </w:pPr>
      <w:r>
        <w:rPr/>
      </w:r>
    </w:p>
    <w:p>
      <w:pPr>
        <w:pStyle w:val="Author"/>
        <w:rPr/>
      </w:pPr>
      <w:r>
        <w:rPr>
          <w:b/>
          <w:bCs/>
          <w:i w:val="false"/>
        </w:rPr>
        <w:t>Michael P. Taylor.</w:t>
      </w:r>
      <w:r>
        <w:rPr>
          <w:i w:val="false"/>
        </w:rPr>
        <w:t xml:space="preserve"> Department of Earth Sciences, University of Bristol, Bristol BS8 1RJ, UK. </w:t>
      </w:r>
      <w:hyperlink r:id="rId2">
        <w:r>
          <w:rPr>
            <w:rStyle w:val="Hyperlink"/>
            <w:i w:val="false"/>
          </w:rPr>
          <w:t>dino@miketaylor.org.uk</w:t>
        </w:r>
      </w:hyperlink>
      <w:r>
        <w:rPr>
          <w:i w:val="false"/>
        </w:rPr>
        <w:t xml:space="preserve"> (corresponding author)</w:t>
      </w:r>
    </w:p>
    <w:p>
      <w:pPr>
        <w:pStyle w:val="Author"/>
        <w:rPr/>
      </w:pPr>
      <w:r>
        <w:rPr>
          <w:b/>
          <w:bCs/>
          <w:i w:val="false"/>
        </w:rPr>
        <w:t>Peter May.</w:t>
      </w:r>
      <w:r>
        <w:rPr>
          <w:i w:val="false"/>
        </w:rPr>
        <w:t xml:space="preserve"> Research Casting International, 15 Dufferin Ave, Trenton, Ontario K8V 5C8, Canada. </w:t>
      </w:r>
      <w:hyperlink r:id="rId3">
        <w:r>
          <w:rPr>
            <w:rStyle w:val="Hyperlink"/>
            <w:i w:val="false"/>
          </w:rPr>
          <w:t>pmay@rescast.com</w:t>
        </w:r>
      </w:hyperlink>
    </w:p>
    <w:p>
      <w:pPr>
        <w:pStyle w:val="Author"/>
        <w:rPr/>
      </w:pPr>
      <w:r>
        <w:rPr>
          <w:b/>
          <w:bCs/>
          <w:i w:val="false"/>
        </w:rPr>
        <w:t>Lowell Dingus.</w:t>
      </w:r>
      <w:r>
        <w:rPr>
          <w:i w:val="false"/>
        </w:rPr>
        <w:t xml:space="preserve"> Division of Paleontology, American Museum of Natural History, New York, New York, USA. </w:t>
      </w:r>
      <w:hyperlink r:id="rId4">
        <w:r>
          <w:rPr>
            <w:rStyle w:val="Hyperlink"/>
            <w:i w:val="false"/>
          </w:rPr>
          <w:t>dinglowell@gmail.com</w:t>
        </w:r>
      </w:hyperlink>
    </w:p>
    <w:p>
      <w:pPr>
        <w:pStyle w:val="Author"/>
        <w:rPr/>
      </w:pPr>
      <w:r>
        <w:rPr>
          <w:b/>
          <w:bCs/>
          <w:i w:val="false"/>
        </w:rPr>
        <w:t>Eugene S. Gaffney.</w:t>
      </w:r>
      <w:r>
        <w:rPr>
          <w:i w:val="false"/>
        </w:rPr>
        <w:t xml:space="preserve"> </w:t>
      </w:r>
      <w:bookmarkStart w:id="0" w:name="__DdeLink__2703_3823776798"/>
      <w:r>
        <w:rPr>
          <w:i w:val="false"/>
        </w:rPr>
        <w:t xml:space="preserve">Division of Paleontology, American Museum of Natural History, New York, New York, USA. </w:t>
      </w:r>
      <w:hyperlink r:id="rId5">
        <w:r>
          <w:rPr>
            <w:rStyle w:val="Hyperlink"/>
            <w:i w:val="false"/>
          </w:rPr>
          <w:t>genegaffney373@comcast.net</w:t>
        </w:r>
      </w:hyperlink>
      <w:bookmarkEnd w:id="0"/>
    </w:p>
    <w:p>
      <w:pPr>
        <w:pStyle w:val="Author"/>
        <w:rPr>
          <w:i w:val="false"/>
          <w:iCs w:val="false"/>
        </w:rPr>
      </w:pPr>
      <w:r>
        <w:rPr>
          <w:b/>
          <w:bCs/>
          <w:i w:val="false"/>
          <w:iCs w:val="false"/>
        </w:rPr>
        <w:t>John S. McIntosh</w:t>
      </w:r>
      <w:r>
        <w:rPr>
          <w:i w:val="false"/>
          <w:iCs w:val="false"/>
        </w:rPr>
        <w:t>. Wesleyan University, Science Tower, Middle Town, Connecticut 06457, USA.  (Deceased 2015)</w:t>
      </w:r>
    </w:p>
    <w:p>
      <w:pPr>
        <w:pStyle w:val="Author"/>
        <w:rPr>
          <w:i w:val="false"/>
          <w:iCs w:val="false"/>
        </w:rPr>
      </w:pPr>
      <w:r>
        <w:rPr>
          <w:b/>
          <w:bCs/>
          <w:i w:val="false"/>
          <w:iCs w:val="false"/>
        </w:rPr>
        <w:t>Mark A. Norell.</w:t>
      </w:r>
      <w:r>
        <w:rPr>
          <w:i w:val="false"/>
          <w:iCs w:val="false"/>
        </w:rPr>
        <w:t xml:space="preserve"> Division of Paleontology, American Museum of Natural History, New York, New York, USA. (Deceased 2025).</w:t>
      </w:r>
    </w:p>
    <w:p>
      <w:pPr>
        <w:pStyle w:val="Author"/>
        <w:rPr>
          <w:i w:val="false"/>
        </w:rPr>
      </w:pPr>
      <w:r>
        <w:rPr>
          <w:i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mounted skeleton of </w:t>
      </w:r>
      <w:r>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t>Barosaurus</w:t>
      </w:r>
      <w:r>
        <w:rPr>
          <w:i w:val="false"/>
          <w:iCs w:val="false"/>
        </w:rPr>
        <w:t xml:space="preserve"> habitually reared, but to provoke visitors to think about what fossils can and cannot tell us about extinct animals. About 80% of the material in the mount was cast from AMNH 6341. Most of the rest cast from second-generation molds of the Carnegie </w:t>
      </w:r>
      <w:r>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t>Barosaurus</w:t>
      </w:r>
      <w:r>
        <w:rPr>
          <w:i w:val="false"/>
          <w:iCs w:val="false"/>
        </w:rPr>
        <w:t>, sauropod, neck, rearing, skeletal mount, cast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8</w:t>
          </w:r>
        </w:p>
        <w:p>
          <w:pPr>
            <w:pStyle w:val="TOC2"/>
            <w:tabs>
              <w:tab w:val="clear" w:pos="9355"/>
              <w:tab w:val="right" w:pos="9637" w:leader="dot"/>
            </w:tabs>
            <w:rPr/>
          </w:pPr>
          <w:r>
            <w:rPr/>
            <w:t>The conception of the mount</w:t>
            <w:tab/>
            <w:t>8</w:t>
          </w:r>
        </w:p>
        <w:p>
          <w:pPr>
            <w:pStyle w:val="TOC2"/>
            <w:tabs>
              <w:tab w:val="clear" w:pos="9355"/>
              <w:tab w:val="right" w:pos="9637" w:leader="dot"/>
            </w:tabs>
            <w:rPr/>
          </w:pPr>
          <w:r>
            <w:rPr/>
            <w:t>The purpose of the mount</w:t>
            <w:tab/>
            <w:t>9</w:t>
          </w:r>
        </w:p>
        <w:p>
          <w:pPr>
            <w:pStyle w:val="TOC2"/>
            <w:tabs>
              <w:tab w:val="clear" w:pos="9355"/>
              <w:tab w:val="right" w:pos="9637" w:leader="dot"/>
            </w:tabs>
            <w:rPr/>
          </w:pPr>
          <w:r>
            <w:rPr/>
            <w:t>The creation of the mount</w:t>
            <w:tab/>
            <w:t>10</w:t>
          </w:r>
        </w:p>
        <w:p>
          <w:pPr>
            <w:pStyle w:val="TOC2"/>
            <w:tabs>
              <w:tab w:val="clear" w:pos="9355"/>
              <w:tab w:val="right" w:pos="9637" w:leader="dot"/>
            </w:tabs>
            <w:rPr/>
          </w:pPr>
          <w:r>
            <w:rPr/>
            <w:t>Photography of the mount</w:t>
            <w:tab/>
            <w:t>13</w:t>
          </w:r>
        </w:p>
        <w:p>
          <w:pPr>
            <w:pStyle w:val="TOC2"/>
            <w:tabs>
              <w:tab w:val="clear" w:pos="9355"/>
              <w:tab w:val="right" w:pos="9637" w:leader="dot"/>
            </w:tabs>
            <w:rPr/>
          </w:pPr>
          <w:r>
            <w:rPr/>
            <w:t>The composition of the mount</w:t>
            <w:tab/>
            <w:t>13</w:t>
          </w:r>
        </w:p>
        <w:p>
          <w:pPr>
            <w:pStyle w:val="TOC3"/>
            <w:tabs>
              <w:tab w:val="clear" w:pos="9072"/>
              <w:tab w:val="right" w:pos="9637" w:leader="dot"/>
            </w:tabs>
            <w:rPr/>
          </w:pPr>
          <w:r>
            <w:rPr/>
            <w:t>Overview</w:t>
            <w:tab/>
            <w:t>13</w:t>
          </w:r>
        </w:p>
        <w:p>
          <w:pPr>
            <w:pStyle w:val="TOC3"/>
            <w:tabs>
              <w:tab w:val="clear" w:pos="9072"/>
              <w:tab w:val="right" w:pos="9637" w:leader="dot"/>
            </w:tabs>
            <w:rPr/>
          </w:pPr>
          <w:r>
            <w:rPr>
              <w:i/>
              <w:iCs/>
            </w:rPr>
            <w:t>Barosaurus</w:t>
          </w:r>
          <w:r>
            <w:rPr/>
            <w:t xml:space="preserve"> material in the mount</w:t>
            <w:tab/>
            <w:t>14</w:t>
          </w:r>
        </w:p>
        <w:p>
          <w:pPr>
            <w:pStyle w:val="TOC3"/>
            <w:tabs>
              <w:tab w:val="clear" w:pos="9072"/>
              <w:tab w:val="right" w:pos="9637" w:leader="dot"/>
            </w:tabs>
            <w:rPr/>
          </w:pPr>
          <w:r>
            <w:rPr/>
            <w:t>Non-</w:t>
          </w:r>
          <w:r>
            <w:rPr>
              <w:i/>
              <w:iCs/>
            </w:rPr>
            <w:t>Barosaurus</w:t>
          </w:r>
          <w:r>
            <w:rPr/>
            <w:t xml:space="preserve"> material in the mount</w:t>
            <w:tab/>
            <w:t>15</w:t>
          </w:r>
        </w:p>
        <w:p>
          <w:pPr>
            <w:pStyle w:val="TOC3"/>
            <w:tabs>
              <w:tab w:val="clear" w:pos="9072"/>
              <w:tab w:val="right" w:pos="9637" w:leader="dot"/>
            </w:tabs>
            <w:rPr/>
          </w:pPr>
          <w:r>
            <w:rPr/>
            <w:t>Skull</w:t>
            <w:tab/>
            <w:t>16</w:t>
          </w:r>
        </w:p>
        <w:p>
          <w:pPr>
            <w:pStyle w:val="TOC3"/>
            <w:tabs>
              <w:tab w:val="clear" w:pos="9072"/>
              <w:tab w:val="right" w:pos="9637" w:leader="dot"/>
            </w:tabs>
            <w:rPr/>
          </w:pPr>
          <w:r>
            <w:rPr/>
            <w:t>Neck</w:t>
            <w:tab/>
            <w:t>16</w:t>
          </w:r>
        </w:p>
        <w:p>
          <w:pPr>
            <w:pStyle w:val="TOC3"/>
            <w:tabs>
              <w:tab w:val="clear" w:pos="9072"/>
              <w:tab w:val="right" w:pos="9637" w:leader="dot"/>
            </w:tabs>
            <w:rPr/>
          </w:pPr>
          <w:r>
            <w:rPr/>
            <w:t>Torso, sacrum and tail</w:t>
            <w:tab/>
            <w:t>17</w:t>
          </w:r>
        </w:p>
        <w:p>
          <w:pPr>
            <w:pStyle w:val="TOC3"/>
            <w:tabs>
              <w:tab w:val="clear" w:pos="9072"/>
              <w:tab w:val="right" w:pos="9637" w:leader="dot"/>
            </w:tabs>
            <w:rPr/>
          </w:pPr>
          <w:r>
            <w:rPr/>
            <w:t>Forelimbs and girdles</w:t>
            <w:tab/>
            <w:t>17</w:t>
          </w:r>
        </w:p>
        <w:p>
          <w:pPr>
            <w:pStyle w:val="TOC3"/>
            <w:tabs>
              <w:tab w:val="clear" w:pos="9072"/>
              <w:tab w:val="right" w:pos="9637" w:leader="dot"/>
            </w:tabs>
            <w:rPr/>
          </w:pPr>
          <w:r>
            <w:rPr/>
            <w:t>Hindlimbs and girdles</w:t>
            <w:tab/>
            <w:t>18</w:t>
          </w:r>
        </w:p>
        <w:p>
          <w:pPr>
            <w:pStyle w:val="TOC1"/>
            <w:tabs>
              <w:tab w:val="clear" w:pos="9638"/>
              <w:tab w:val="right" w:pos="9637" w:leader="dot"/>
            </w:tabs>
            <w:rPr/>
          </w:pPr>
          <w:r>
            <w:rPr/>
            <w:t>Discussion</w:t>
            <w:tab/>
            <w:t>18</w:t>
          </w:r>
        </w:p>
        <w:p>
          <w:pPr>
            <w:pStyle w:val="TOC2"/>
            <w:tabs>
              <w:tab w:val="clear" w:pos="9355"/>
              <w:tab w:val="right" w:pos="9637" w:leader="dot"/>
            </w:tabs>
            <w:rPr/>
          </w:pPr>
          <w:r>
            <w:rPr/>
            <w:t>Rearing pose</w:t>
            <w:tab/>
            <w:t>18</w:t>
          </w:r>
        </w:p>
        <w:p>
          <w:pPr>
            <w:pStyle w:val="TOC2"/>
            <w:tabs>
              <w:tab w:val="clear" w:pos="9355"/>
              <w:tab w:val="right" w:pos="9637" w:leader="dot"/>
            </w:tabs>
            <w:rPr/>
          </w:pPr>
          <w:r>
            <w:rPr/>
            <w:t>A short history of rearing sauropods</w:t>
            <w:tab/>
            <w:t>20</w:t>
          </w:r>
        </w:p>
        <w:p>
          <w:pPr>
            <w:pStyle w:val="TOC2"/>
            <w:tabs>
              <w:tab w:val="clear" w:pos="9355"/>
              <w:tab w:val="right" w:pos="9637" w:leader="dot"/>
            </w:tabs>
            <w:rPr/>
          </w:pPr>
          <w:r>
            <w:rPr/>
            <w:t>Cultural impact</w:t>
            <w:tab/>
            <w:t>21</w:t>
          </w:r>
        </w:p>
        <w:p>
          <w:pPr>
            <w:pStyle w:val="TOC2"/>
            <w:tabs>
              <w:tab w:val="clear" w:pos="9355"/>
              <w:tab w:val="right" w:pos="9637" w:leader="dot"/>
            </w:tabs>
            <w:rPr/>
          </w:pPr>
          <w:r>
            <w:rPr/>
            <w:t>Size of the AMNH 6341 animal</w:t>
            <w:tab/>
            <w:t>22</w:t>
          </w:r>
        </w:p>
        <w:p>
          <w:pPr>
            <w:pStyle w:val="TOC1"/>
            <w:tabs>
              <w:tab w:val="clear" w:pos="9638"/>
              <w:tab w:val="right" w:pos="9637" w:leader="dot"/>
            </w:tabs>
            <w:rPr/>
          </w:pPr>
          <w:r>
            <w:rPr/>
            <w:t>Acknowledgements</w:t>
            <w:tab/>
            <w:t>22</w:t>
          </w:r>
        </w:p>
        <w:p>
          <w:pPr>
            <w:pStyle w:val="TOC1"/>
            <w:tabs>
              <w:tab w:val="clear" w:pos="9638"/>
              <w:tab w:val="right" w:pos="9637" w:leader="dot"/>
            </w:tabs>
            <w:rPr/>
          </w:pPr>
          <w:r>
            <w:rPr/>
            <w:t>References</w:t>
            <w:tab/>
            <w:t>24</w:t>
          </w:r>
        </w:p>
        <w:p>
          <w:pPr>
            <w:pStyle w:val="TOC1"/>
            <w:tabs>
              <w:tab w:val="clear" w:pos="9638"/>
              <w:tab w:val="right" w:pos="9637" w:leader="dot"/>
            </w:tabs>
            <w:rPr/>
          </w:pPr>
          <w:r>
            <w:rPr/>
            <w:t>Figure Captions</w:t>
            <w:tab/>
            <w:t>30</w:t>
          </w:r>
        </w:p>
        <w:p>
          <w:pPr>
            <w:pStyle w:val="TOC1"/>
            <w:tabs>
              <w:tab w:val="clear" w:pos="9638"/>
              <w:tab w:val="right" w:pos="9637" w:leader="dot"/>
            </w:tabs>
            <w:rPr/>
          </w:pPr>
          <w:r>
            <w:rPr/>
            <w:t>Tables</w:t>
            <w:tab/>
            <w:t>34</w:t>
          </w:r>
        </w:p>
        <w:p>
          <w:pPr>
            <w:pStyle w:val="TOC2"/>
            <w:tabs>
              <w:tab w:val="clear" w:pos="9355"/>
              <w:tab w:val="right" w:pos="9637" w:leader="dot"/>
            </w:tabs>
            <w:rPr/>
          </w:pPr>
          <w:r>
            <w:rPr/>
            <w:t>Table 1</w:t>
            <w:tab/>
            <w:t>34</w:t>
          </w:r>
          <w:r>
            <w:rPr/>
            <w:fldChar w:fldCharType="end"/>
          </w:r>
        </w:p>
      </w:sdtContent>
    </w:sdt>
    <w:p>
      <w:pPr>
        <w:pStyle w:val="BodyText"/>
        <w:rPr>
          <w:i/>
          <w:iCs/>
        </w:rPr>
      </w:pPr>
      <w:r>
        <w:rPr>
          <w:i/>
          <w:iCs/>
        </w:rPr>
      </w:r>
    </w:p>
    <w:p>
      <w:pPr>
        <w:pStyle w:val="Heading1"/>
        <w:rPr/>
      </w:pPr>
      <w:bookmarkStart w:id="1" w:name="__RefHeading___Toc3784_1986291683"/>
      <w:bookmarkEnd w:id="1"/>
      <w:r>
        <w:rPr/>
        <w:t>Introduction</w:t>
      </w:r>
    </w:p>
    <w:p>
      <w:pPr>
        <w:pStyle w:val="BodyText"/>
        <w:rPr/>
      </w:pPr>
      <w:r>
        <w:rPr>
          <w:i/>
          <w:iCs/>
        </w:rPr>
        <w:t>Barosaurus</w:t>
      </w:r>
      <w:r>
        <w:rPr/>
        <w:t xml:space="preserve"> is a diplodocid sauropod from the Late Jurassic of North America, found in the extensive Morrison Formation of the American West.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t xml:space="preserve">We follow McIntosh’s (2005) interpretation of the presacral vertebrae of </w:t>
      </w:r>
      <w:r>
        <w:rPr>
          <w:i/>
          <w:iCs/>
        </w:rPr>
        <w:t>Barosaurus</w:t>
      </w:r>
      <w:r>
        <w:rPr/>
        <w:t xml:space="preserve"> consisting of 16 cervicals and nine dorsals, rather than 15 and 10 as in </w:t>
      </w:r>
      <w:r>
        <w:rPr>
          <w:i/>
          <w:iCs/>
        </w:rPr>
        <w:t>Diplodocus</w:t>
      </w:r>
      <w:r>
        <w:rPr/>
        <w:t xml:space="preserve"> (although see discussion below).</w:t>
      </w:r>
    </w:p>
    <w:p>
      <w:pPr>
        <w:pStyle w:val="Heading2"/>
        <w:rPr/>
      </w:pPr>
      <w:bookmarkStart w:id="3" w:name="__RefHeading___Toc5349_68767826"/>
      <w:bookmarkEnd w:id="3"/>
      <w:r>
        <w:rPr/>
        <w:t>Institutional abbreviations</w:t>
      </w:r>
    </w:p>
    <w:p>
      <w:pPr>
        <w:pStyle w:val="BodyText"/>
        <w:numPr>
          <w:ilvl w:val="0"/>
          <w:numId w:val="4"/>
        </w:numPr>
        <w:rPr/>
      </w:pPr>
      <w:r>
        <w:rPr/>
        <w:t>AMNH — American Museum of Natural History, New York, New York, USA.</w:t>
      </w:r>
    </w:p>
    <w:p>
      <w:pPr>
        <w:pStyle w:val="BodyText"/>
        <w:numPr>
          <w:ilvl w:val="0"/>
          <w:numId w:val="4"/>
        </w:numPr>
        <w:rPr/>
      </w:pPr>
      <w:r>
        <w:rPr/>
        <w:t>CM — Carnegie Museum of Natural History, Pittsburgh, Pennsylvania, USA.</w:t>
      </w:r>
    </w:p>
    <w:p>
      <w:pPr>
        <w:pStyle w:val="BodyText"/>
        <w:numPr>
          <w:ilvl w:val="0"/>
          <w:numId w:val="4"/>
        </w:numPr>
        <w:rPr/>
      </w:pPr>
      <w:r>
        <w:rPr/>
        <w:t>HMNS — Houston Museum of Nature and Science, Houston, Texas, USA.</w:t>
      </w:r>
    </w:p>
    <w:p>
      <w:pPr>
        <w:pStyle w:val="BodyText"/>
        <w:numPr>
          <w:ilvl w:val="0"/>
          <w:numId w:val="4"/>
        </w:numPr>
        <w:rPr/>
      </w:pPr>
      <w:r>
        <w:rPr/>
        <w:t>MB — Museum für Naturkunde Berlin, Berlin, Germany; specimen numbers for fossil reptiles take the form MB.R.</w:t>
      </w:r>
      <w:r>
        <w:rPr>
          <w:i/>
          <w:iCs/>
        </w:rPr>
        <w:t>nnnn</w:t>
      </w:r>
      <w:r>
        <w:rPr/>
        <w:t>.</w:t>
      </w:r>
    </w:p>
    <w:p>
      <w:pPr>
        <w:pStyle w:val="BodyText"/>
        <w:numPr>
          <w:ilvl w:val="0"/>
          <w:numId w:val="4"/>
        </w:numPr>
        <w:rPr/>
      </w:pPr>
      <w:r>
        <w:rPr/>
        <w:t>ROM — Royal Ontario Museum, Toronto, Ontario, Canada.</w:t>
      </w:r>
    </w:p>
    <w:p>
      <w:pPr>
        <w:pStyle w:val="BodyText"/>
        <w:numPr>
          <w:ilvl w:val="0"/>
          <w:numId w:val="4"/>
        </w:numPr>
        <w:rPr/>
      </w:pPr>
      <w:r>
        <w:rPr/>
        <w:t>USNM – United States National Museum, Washington, D.C., USA.</w:t>
      </w:r>
    </w:p>
    <w:p>
      <w:pPr>
        <w:pStyle w:val="BodyText"/>
        <w:numPr>
          <w:ilvl w:val="0"/>
          <w:numId w:val="4"/>
        </w:numPr>
        <w:rPr/>
      </w:pPr>
      <w:r>
        <w:rPr/>
        <w:t>YPM — Yale Peabody Museum, New Haven, Connecticut, USA.</w:t>
      </w:r>
    </w:p>
    <w:p>
      <w:pPr>
        <w:pStyle w:val="Heading1"/>
        <w:numPr>
          <w:ilvl w:val="0"/>
          <w:numId w:val="2"/>
        </w:numPr>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correspondence collection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once excavated, would be mounted in the Carnegie Museum in 1913. It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Skeleton #355 was subsequently accessioned as USNM 10865 and mounted in Washington D.C. (Gilmore 1932),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Heading1"/>
        <w:numPr>
          <w:ilvl w:val="0"/>
          <w:numId w:val="2"/>
        </w:numPr>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 with its impressive, barrel-vaulted ceiling.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palaeontologist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palaeontologist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preserved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t>The purpose of the mount</w:t>
      </w:r>
    </w:p>
    <w:p>
      <w:pPr>
        <w:pStyle w:val="BodyText"/>
        <w:rPr/>
      </w:pPr>
      <w:r>
        <w:rPr/>
        <w:t>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“Did this really happen?” (Figure 8):</w:t>
      </w:r>
    </w:p>
    <w:p>
      <w:pPr>
        <w:pStyle w:val="BlockQuotationuser"/>
        <w:rPr/>
      </w:pPr>
      <w:r>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t xml:space="preserve">) or on their two hind legs (like </w:t>
      </w:r>
      <w:r>
        <w:rPr>
          <w:i/>
          <w:iCs/>
        </w:rPr>
        <w:t>Allosaurus</w:t>
      </w:r>
      <w:r>
        <w:rPr/>
        <w:t xml:space="preserve">). They do not tell us, however, if </w:t>
      </w:r>
      <w:r>
        <w:rPr>
          <w:i/>
          <w:iCs/>
        </w:rPr>
        <w:t>Barosaurus</w:t>
      </w:r>
      <w:r>
        <w:rPr/>
        <w:t xml:space="preserve"> could rear up or if </w:t>
      </w:r>
      <w:r>
        <w:rPr>
          <w:i/>
          <w:iCs/>
        </w:rPr>
        <w:t>Allosaurus</w:t>
      </w:r>
      <w:r>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Early in the process, around March 1990, a prototype model at about 1/16 full size was commissioned at a cost of $3,980 (Galiano 1990), to allow the scene to be created and manipulated at a workable scale (Figure 9). This was created by a model-maker at Maxilla and Mandible,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 recently established organization specializing in mounting prehistoric animals. Founder Peter May had started working with fossil mounts at the Royal Ontario Museum, beginning in 1977, where he learned the techniques from paleontology technician Gordon Gyrmov and former WW2 Luftwaffe rocket-plane test pilot Rudy Zimmermann. May rose to become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the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though some were fabricated in Toronto. Records do not show exactly which 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 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in sections for mounting 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resulting line of the neck is smooth and elegant.</w:t>
      </w:r>
    </w:p>
    <w:p>
      <w:pPr>
        <w:pStyle w:val="BodyText"/>
        <w:rPr/>
      </w:pPr>
      <w:r>
        <w:rPr/>
        <w:t>In a non-technical children’s book simply titled, “</w:t>
      </w:r>
      <w:r>
        <w:rPr>
          <w:i/>
          <w:iCs/>
        </w:rPr>
        <w:t>Barosaurus</w:t>
      </w:r>
      <w:r>
        <w:rPr/>
        <w:t>”, 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8"/>
        </w:numPr>
        <w:rPr/>
      </w:pPr>
      <w:r>
        <w:rPr/>
        <w:t>the posterior part of the neck (cervicals 8–16)</w:t>
      </w:r>
    </w:p>
    <w:p>
      <w:pPr>
        <w:pStyle w:val="BodyText"/>
        <w:numPr>
          <w:ilvl w:val="0"/>
          <w:numId w:val="8"/>
        </w:numPr>
        <w:rPr/>
      </w:pPr>
      <w:r>
        <w:rPr/>
        <w:t>all nine dorsal vertebrae (dorsals 1–9)</w:t>
      </w:r>
    </w:p>
    <w:p>
      <w:pPr>
        <w:pStyle w:val="BodyText"/>
        <w:numPr>
          <w:ilvl w:val="0"/>
          <w:numId w:val="8"/>
        </w:numPr>
        <w:rPr/>
      </w:pPr>
      <w:r>
        <w:rPr/>
        <w:t>the complete sacrum (sacral vertebrae 1–5)</w:t>
      </w:r>
    </w:p>
    <w:p>
      <w:pPr>
        <w:pStyle w:val="BodyText"/>
        <w:numPr>
          <w:ilvl w:val="0"/>
          <w:numId w:val="8"/>
        </w:numPr>
        <w:rPr/>
      </w:pPr>
      <w:r>
        <w:rPr/>
        <w:t>the anterior part of the tail (caudals 1–29)</w:t>
      </w:r>
    </w:p>
    <w:p>
      <w:pPr>
        <w:pStyle w:val="BodyText"/>
        <w:numPr>
          <w:ilvl w:val="0"/>
          <w:numId w:val="8"/>
        </w:numPr>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rPr/>
      </w:pPr>
      <w:r>
        <w:rPr/>
        <w:t>a single chevron, from further back than Ca13 and likely in the region Ca22–Ca28.</w:t>
      </w:r>
    </w:p>
    <w:p>
      <w:pPr>
        <w:pStyle w:val="BodyText"/>
        <w:numPr>
          <w:ilvl w:val="0"/>
          <w:numId w:val="8"/>
        </w:numPr>
        <w:rPr/>
      </w:pPr>
      <w:r>
        <w:rPr/>
        <w:t>right (not left as in McIntosh 2005:43) scapulocoracoid, fully fused together; distal end of left scapula; left coracoid</w:t>
      </w:r>
    </w:p>
    <w:p>
      <w:pPr>
        <w:pStyle w:val="BodyText"/>
        <w:numPr>
          <w:ilvl w:val="0"/>
          <w:numId w:val="8"/>
        </w:numPr>
        <w:rPr/>
      </w:pPr>
      <w:r>
        <w:rPr/>
        <w:t>right (not left as in McIntosh 2005:43) humerus</w:t>
      </w:r>
    </w:p>
    <w:p>
      <w:pPr>
        <w:pStyle w:val="BodyText"/>
        <w:numPr>
          <w:ilvl w:val="0"/>
          <w:numId w:val="8"/>
        </w:numPr>
        <w:rPr/>
      </w:pPr>
      <w:r>
        <w:rPr/>
        <w:t>right ilium complete except small part of the upper border; acetabular portion and “distal ends” of left ilium</w:t>
      </w:r>
    </w:p>
    <w:p>
      <w:pPr>
        <w:pStyle w:val="BodyText"/>
        <w:numPr>
          <w:ilvl w:val="0"/>
          <w:numId w:val="8"/>
        </w:numPr>
        <w:rPr/>
      </w:pPr>
      <w:r>
        <w:rPr/>
        <w:t>both pubes and ischia complete except parts of the proximal ends of both pubes and the right ischium</w:t>
      </w:r>
    </w:p>
    <w:p>
      <w:pPr>
        <w:pStyle w:val="BodyText"/>
        <w:numPr>
          <w:ilvl w:val="0"/>
          <w:numId w:val="8"/>
        </w:numPr>
        <w:rPr/>
      </w:pPr>
      <w:r>
        <w:rPr/>
        <w:t>complete right hindlimb (femur, tibia, fibula, astragalus)</w:t>
      </w:r>
    </w:p>
    <w:p>
      <w:pPr>
        <w:pStyle w:val="BodyText"/>
        <w:numPr>
          <w:ilvl w:val="0"/>
          <w:numId w:val="8"/>
        </w:numPr>
        <w:rPr/>
      </w:pPr>
      <w:r>
        <w:rPr/>
        <w:t>elements of the right pes: metatarsals I, II and V, phalanges I-I and V-I, two 2nd phalanges, one ungual</w:t>
      </w:r>
    </w:p>
    <w:p>
      <w:pPr>
        <w:pStyle w:val="BodyText"/>
        <w:numPr>
          <w:ilvl w:val="0"/>
          <w:numId w:val="8"/>
        </w:numPr>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assignments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though these are not in place in Figures 13 and 17.</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atlas and axis which were not in place at that time but which, when added, would bring the total to 16.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w:t>
      </w:r>
      <w:r>
        <w:rPr/>
        <w:t xml:space="preserve">between photographs of the 17th cervical and 3D models of the Carnegie </w:t>
      </w:r>
      <w:r>
        <w:rPr>
          <w:i/>
          <w:iCs/>
        </w:rPr>
        <w:t>Diplodocus</w:t>
      </w:r>
      <w:r>
        <w:rPr>
          <w:i w:val="false"/>
          <w:iCs w:val="false"/>
        </w:rPr>
        <w:t xml:space="preserve"> provided by Heinrich Mallison (for the Berlin cast) and Paul Barrett (for the London cast) show that the former is not a replica of any of the posterior cervicals of the latter. Since the Carnegie </w:t>
      </w:r>
      <w:r>
        <w:rPr>
          <w:i/>
          <w:iCs/>
        </w:rPr>
        <w:t>Diplodocus</w:t>
      </w:r>
      <w:r>
        <w:rPr>
          <w:i w:val="false"/>
          <w:iCs w:val="false"/>
        </w:rPr>
        <w:t xml:space="preserve"> was the only source of cast elements (other than the metacarpals discussed below), the 17th cervical of the mounted skeleton must be a sculpture, crafted as an intermediate between C16 and D1.</w:t>
      </w:r>
    </w:p>
    <w:p>
      <w:pPr>
        <w:pStyle w:val="BodyText"/>
        <w:rPr/>
      </w:pPr>
      <w:r>
        <w:rPr/>
        <w:t xml:space="preserve">(Note: it is quite possible that </w:t>
      </w:r>
      <w:r>
        <w:rPr>
          <w:i/>
          <w:iCs/>
        </w:rPr>
        <w:t>Barosaurus</w:t>
      </w:r>
      <w:r>
        <w:rPr/>
        <w:t xml:space="preserve"> did indeed 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 xml:space="preserve">CM 84, the specimen that forms most of the Carnegie mount, includes C2–8 (and the subsequent cervicals), but not the atlas (C1). As discussed by Taylor et al. (2025:71–72), it is not clear which specimen supplied the atlas in the Carnegie mount, and it seems most likely that this element was a sculpture not based on any specific fossil specimen — and so the same would be true in the mounted </w:t>
      </w:r>
      <w:r>
        <w:rPr>
          <w:i/>
          <w:iCs/>
        </w:rPr>
        <w:t>Barosaurus</w:t>
      </w:r>
      <w:r>
        <w:rPr/>
        <w:t>.</w:t>
      </w:r>
    </w:p>
    <w:p>
      <w:pPr>
        <w:pStyle w:val="Heading3"/>
        <w:numPr>
          <w:ilvl w:val="2"/>
          <w:numId w:val="1"/>
        </w:numPr>
        <w:rPr/>
      </w:pPr>
      <w:bookmarkStart w:id="22" w:name="__RefHeading___Toc2466_2187837281"/>
      <w:bookmarkEnd w:id="22"/>
      <w:r>
        <w:rPr/>
        <w:t>Torso, sacrum and tail</w:t>
      </w:r>
    </w:p>
    <w:p>
      <w:pPr>
        <w:pStyle w:val="BodyText"/>
        <w:rPr/>
      </w:pPr>
      <w:r>
        <w:rPr/>
        <w:t>The complete dorsal sequence (of nine vertebrae) and complete sacrum (of five vertebrae)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The missing caudals and chevrons were most likely provided once more by casts of the Carnegie </w:t>
      </w:r>
      <w:r>
        <w:rPr>
          <w:i/>
          <w:iCs/>
        </w:rPr>
        <w:t>Diplodocus</w:t>
      </w:r>
      <w:r>
        <w:rPr/>
        <w:t>.</w:t>
      </w:r>
    </w:p>
    <w:p>
      <w:pPr>
        <w:pStyle w:val="Heading3"/>
        <w:numPr>
          <w:ilvl w:val="2"/>
          <w:numId w:val="1"/>
        </w:numPr>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instead of one,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molds,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the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o</w:t>
      </w:r>
      <w:r>
        <w:rPr/>
        <w:t>f</w:t>
      </w:r>
      <w:r>
        <w:rPr/>
        <w:t xml:space="preserve"> both the original mounted </w:t>
      </w:r>
      <w:r>
        <w:rPr>
          <w:i/>
          <w:iCs/>
        </w:rPr>
        <w:t>Diplodocus</w:t>
      </w:r>
      <w:r>
        <w:rPr/>
        <w:t xml:space="preserve"> and the casts). And the </w:t>
      </w:r>
      <w:r>
        <w:rPr>
          <w:i/>
          <w:iCs/>
        </w:rPr>
        <w:t>Barosaurus</w:t>
      </w:r>
      <w:r>
        <w:rPr/>
        <w:t xml:space="preserve"> cast probably used second-generation casts of these sculptures.</w:t>
      </w:r>
    </w:p>
    <w:p>
      <w:pPr>
        <w:pStyle w:val="Heading1"/>
        <w:numPr>
          <w:ilvl w:val="0"/>
          <w:numId w:val="3"/>
        </w:numPr>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(Sander et al. 2008).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mount’s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on land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t xml:space="preserve">” (= </w:t>
      </w:r>
      <w:r>
        <w:rPr>
          <w:i/>
          <w:iCs/>
        </w:rPr>
        <w:t>Neuquensaurus</w:t>
      </w:r>
      <w:r>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that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t xml:space="preserve"> (considered by McIntosh et al. (1996) to be a species of </w:t>
      </w:r>
      <w:r>
        <w:rPr>
          <w:i/>
          <w:iCs/>
        </w:rPr>
        <w:t>Camarasaurus</w:t>
      </w:r>
      <w:r>
        <w:rPr/>
        <w:t xml:space="preserve"> but regarded as its own genus by Tschopp et al. 2014). Jensen (1988:124–128)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supracostal plates in the sacral vertebrae, and 20-degree forward rotation of the ilia relative to the sacrum. While some of these features do not seem directly related to rearing and others are likely age-related, the rotation of the ilium remains unique and is difficult to interpret as anything other than a rearing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biomechanically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in </w:t>
      </w:r>
      <w:r>
        <w:rPr>
          <w:i/>
          <w:iCs/>
        </w:rPr>
        <w:t>Prehistoric Planet</w:t>
      </w:r>
      <w:r>
        <w:rPr/>
        <w:t xml:space="preserve"> (2022). Episode 2 (</w:t>
      </w:r>
      <w:r>
        <w:rPr>
          <w:i/>
          <w:iCs/>
        </w:rPr>
        <w:t>Deserts</w:t>
      </w:r>
      <w:r>
        <w:rPr/>
        <w:t xml:space="preserve">) included a lengthy scene beginning at four minutes, in which </w:t>
      </w:r>
      <w:r>
        <w:rPr>
          <w:i/>
          <w:iCs/>
        </w:rPr>
        <w:t>Dreadnoughtus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and 22 of </w:t>
      </w:r>
      <w:r>
        <w:rPr>
          <w:i/>
          <w:iCs/>
        </w:rPr>
        <w:t>Diplodocus</w:t>
      </w:r>
      <w:r>
        <w:rPr/>
        <w:t xml:space="preserve"> — but not a single </w:t>
      </w:r>
      <w:r>
        <w:rPr>
          <w:i/>
          <w:iCs/>
        </w:rPr>
        <w:t>Barosaurus</w:t>
      </w:r>
      <w:r>
        <w:rPr/>
        <w:t xml:space="preserve"> toy. The only </w:t>
      </w:r>
      <w:r>
        <w:rPr>
          <w:i/>
          <w:iCs/>
        </w:rPr>
        <w:t>Barosaurus</w:t>
      </w:r>
      <w:r>
        <w:rPr/>
        <w:t xml:space="preserve"> “toys” on the market at the time of writing seem to be large museum-quality maquettes costing $500 or more. A 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rPr/>
      </w:pPr>
      <w:bookmarkStart w:id="30" w:name="__RefHeading___Toc3403_68767826"/>
      <w:bookmarkEnd w:id="30"/>
      <w:r>
        <w:rPr/>
        <w:t>Acknowledgements</w:t>
      </w:r>
    </w:p>
    <w:p>
      <w:pPr>
        <w:pStyle w:val="BodyText"/>
        <w:rPr/>
      </w:pPr>
      <w:r>
        <w:rPr/>
        <w:t xml:space="preserve">We are grateful to Gregory S. Paul for permission to reproduce his artwork </w:t>
      </w:r>
      <w:r>
        <w:rPr>
          <w:i/>
          <w:iCs/>
        </w:rPr>
        <w:t>Ambush at Como Creek</w:t>
      </w:r>
      <w:r>
        <w:rPr/>
        <w:t xml:space="preserve"> (Figure 7), to Scott Hartman (University of Wisconsin-Madison) for allowing us to use his </w:t>
      </w:r>
      <w:r>
        <w:rPr>
          <w:i/>
          <w:iCs/>
        </w:rPr>
        <w:t>Barosaurus lentus</w:t>
      </w:r>
      <w:r>
        <w:rPr/>
        <w:t xml:space="preserve"> skeletal reconstruction in Figure 15,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but individual photo credits have been lost.</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w:t>
      </w:r>
    </w:p>
    <w:p>
      <w:pPr>
        <w:pStyle w:val="BodyText"/>
        <w:rPr/>
      </w:pPr>
      <w:r>
        <w:rPr/>
        <w:t xml:space="preserve">Heinrich Mallison (Palaeo3D) and Paul M. Barrett (Natural History Museum) provided 3D scans of two casts of the Carnegie </w:t>
      </w:r>
      <w:r>
        <w:rPr>
          <w:i/>
          <w:iCs/>
        </w:rPr>
        <w:t>Diplodocus</w:t>
      </w:r>
      <w:r>
        <w:rPr/>
        <w:t>.</w:t>
      </w:r>
    </w:p>
    <w:p>
      <w:pPr>
        <w:pStyle w:val="BodyText"/>
        <w:rPr/>
      </w:pPr>
      <w:r>
        <w:rPr/>
        <w:t>Carl Mehling (AMNH) searched collections for the missing C7 and concluded it was absent. 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rPr/>
      </w:pPr>
      <w:bookmarkStart w:id="31" w:name="__RefHeading___Toc3405_68767826"/>
      <w:bookmarkEnd w:id="31"/>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t xml:space="preserve"> </w:t>
      </w:r>
      <w:r>
        <w:rPr>
          <w:b/>
          <w:bCs/>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t>Diplodocus.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t>Mamenchisaurus youngi.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Sander, P. Martin, Christian Peitz, Frankie D. Jackson and Luis M. Chiappe. 2008. Upper Cretaceous titanosaur nesting sites and their implications for sauropod dinosaur reproductive biology. </w:t>
      </w:r>
      <w:r>
        <w:rPr>
          <w:i/>
          <w:iCs/>
        </w:rPr>
        <w:t>Palaeontographica Abteilung A</w:t>
      </w:r>
      <w:r>
        <w:rPr/>
        <w:t xml:space="preserve"> </w:t>
      </w:r>
      <w:r>
        <w:rPr>
          <w:b/>
          <w:bCs/>
        </w:rPr>
        <w:t>284</w:t>
      </w:r>
      <w:r>
        <w:rPr/>
        <w:t>:69–107. doi:10.1127/pala/284/2008/69</w:t>
      </w:r>
    </w:p>
    <w:p>
      <w:pPr>
        <w:pStyle w:val="Reference"/>
        <w:rPr/>
      </w:pPr>
      <w:r>
        <w:rPr/>
        <w:t xml:space="preserve">Smith, Adam S. (with contributions from 20 other authors). 2007. Dinosaur Toy Blog. </w:t>
      </w:r>
      <w:hyperlink r:id="rId12">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3">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t xml:space="preserve">. </w:t>
      </w:r>
      <w:r>
        <w:rPr>
          <w:i/>
          <w:iCs/>
        </w:rPr>
        <w:t>Annals of the Carnegie Museum</w:t>
      </w:r>
      <w:r>
        <w:rPr/>
        <w:t xml:space="preserve"> </w:t>
      </w:r>
      <w:r>
        <w:rPr>
          <w:b/>
          <w:bCs/>
        </w:rPr>
        <w:t>91(1)</w:t>
      </w:r>
      <w:r>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rPr/>
      </w:pPr>
      <w:bookmarkStart w:id="34" w:name="__RefHeading___Toc3407_68767826"/>
      <w:bookmarkEnd w:id="34"/>
      <w:r>
        <w:rPr/>
        <w:t>Figure Captions</w:t>
      </w:r>
    </w:p>
    <w:p>
      <w:pPr>
        <w:pStyle w:val="FigureCaption"/>
        <w:rPr/>
      </w:pPr>
      <w:r>
        <w:rPr>
          <w:b/>
          <w:bCs/>
        </w:rPr>
        <w:t>Figure 1.</w:t>
      </w:r>
      <w:r>
        <w:rPr/>
        <w:t xml:space="preserve"> The mounted skeleton of </w:t>
      </w:r>
      <w:r>
        <w:rPr>
          <w:i/>
          <w:iCs/>
        </w:rPr>
        <w:t>Barosaurus lentus</w:t>
      </w:r>
      <w:r>
        <w:rPr/>
        <w:t xml:space="preserve"> AMNH 6341 in the Theodore Roosevelt Rotunda of the American Museum of Natural History, New York, as it appeared after the initial mounting and before repairs to the middle of the neck (see text). Photograph provided by Department of Vertebrate Paleontology Archive, Copyright © AMNH.</w:t>
      </w:r>
    </w:p>
    <w:p>
      <w:pPr>
        <w:pStyle w:val="FigureCaption"/>
        <w:rPr/>
      </w:pPr>
      <w:r>
        <w:rPr>
          <w:b/>
          <w:bCs/>
        </w:rPr>
        <w:t>Figure 2.</w:t>
      </w:r>
      <w:r>
        <w:rPr/>
        <w:t xml:space="preserve"> Earl Douglass, aged 60, at the Carnegie Quarry in August 1922. He is seen here standing in front of the left femur of </w:t>
      </w:r>
      <w:r>
        <w:rPr>
          <w:i/>
          <w:iCs/>
        </w:rPr>
        <w:t>Diplodocus</w:t>
      </w:r>
      <w:r>
        <w:rPr/>
        <w:t xml:space="preserve"> specimen #355 (now USNM 10865), with the sacrum, partial left ilium, last five dorsal vertebral centra and some ribs also in view (compare Figure 3, in which the femur is labelled 23, the ilium 24 and the last five dorsals 7–11). The </w:t>
      </w:r>
      <w:r>
        <w:rPr>
          <w:i/>
          <w:iCs/>
        </w:rPr>
        <w:t>Diplodocus</w:t>
      </w:r>
      <w:r>
        <w:rPr/>
        <w:t xml:space="preserve"> is seen in ventral view with anterior to the top. Photograph uploaded to Wikimedia Commons by Ken Carpenter.</w:t>
      </w:r>
    </w:p>
    <w:p>
      <w:pPr>
        <w:pStyle w:val="FigureCaption"/>
        <w:rPr/>
      </w:pPr>
      <w:r>
        <w:rPr>
          <w:b/>
          <w:bCs/>
        </w:rPr>
        <w:t>Figure 3.</w:t>
      </w:r>
      <w:r>
        <w:rPr/>
        <w:t xml:space="preserve"> Carnegie Quarry map showing the relative positions of two iconic sauropod specimens: #355 (</w:t>
      </w:r>
      <w:r>
        <w:rPr>
          <w:i/>
          <w:iCs/>
        </w:rPr>
        <w:t>Diplodocus</w:t>
      </w:r>
      <w:r>
        <w:rPr/>
        <w:t>, right) and #340 (</w:t>
      </w:r>
      <w:r>
        <w:rPr>
          <w:i/>
          <w:iCs/>
        </w:rPr>
        <w:t>Barosaurus</w:t>
      </w:r>
      <w:r>
        <w:rPr/>
        <w:t xml:space="preserve">, left, highlighted in pink, initially thought to be be a second </w:t>
      </w:r>
      <w:r>
        <w:rPr>
          <w:i/>
          <w:iCs/>
        </w:rPr>
        <w:t>Diplodocus</w:t>
      </w:r>
      <w:r>
        <w:rPr/>
        <w:t xml:space="preserve">). Modified from Gilmore (1932:figure 1). The </w:t>
      </w:r>
      <w:r>
        <w:rPr>
          <w:i/>
          <w:iCs/>
        </w:rPr>
        <w:t>Diplodocus</w:t>
      </w:r>
      <w:r>
        <w:rPr/>
        <w:t xml:space="preserve"> specimen would become USNM 10865, and the </w:t>
      </w:r>
      <w:r>
        <w:rPr>
          <w:i/>
          <w:iCs/>
        </w:rPr>
        <w:t>Barosaurus</w:t>
      </w:r>
      <w:r>
        <w:rPr/>
        <w:t xml:space="preserve"> would become AMNH 6341. Note that in this map the cervical vertebrae of </w:t>
      </w:r>
      <w:r>
        <w:rPr>
          <w:i/>
          <w:iCs/>
        </w:rPr>
        <w:t>Barosaurus</w:t>
      </w:r>
      <w:r>
        <w:rPr/>
        <w:t xml:space="preserve"> #340 are drawn to look like those of </w:t>
      </w:r>
      <w:r>
        <w:rPr>
          <w:i/>
          <w:iCs/>
        </w:rPr>
        <w:t>Diplodocus</w:t>
      </w:r>
      <w:r>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FigureCaption"/>
        <w:rPr/>
      </w:pPr>
      <w:r>
        <w:rPr>
          <w:b/>
          <w:bCs/>
        </w:rPr>
        <w:t>Figure 4.</w:t>
      </w:r>
      <w:r>
        <w:rPr/>
        <w:t xml:space="preserve"> </w:t>
      </w:r>
      <w:r>
        <w:rPr>
          <w:i/>
          <w:iCs/>
        </w:rPr>
        <w:t>Barosaurus</w:t>
      </w:r>
      <w:r>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ind w:hanging="0" w:start="283"/>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(1906:251–252) 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rPr/>
      </w:pPr>
      <w:r>
        <w:rPr>
          <w:b/>
          <w:bCs/>
        </w:rPr>
        <w:t>Figure 7.</w:t>
      </w:r>
      <w:r>
        <w:rPr/>
        <w:t xml:space="preserve"> </w:t>
      </w:r>
      <w:r>
        <w:rPr>
          <w:i/>
          <w:iCs/>
        </w:rPr>
        <w:t>Ambush at Como Creek</w:t>
      </w:r>
      <w:r>
        <w:rPr/>
        <w:t xml:space="preserve">, painted by Gregory S. Paul in the late 1970s or early 1980s. In this revised version, completed in 1985,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with anterior to the left.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FigureCaption"/>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Note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FigureCaption"/>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FigureCaption"/>
        <w:rPr/>
      </w:pPr>
      <w:r>
        <w:rPr>
          <w:b/>
          <w:bCs/>
        </w:rPr>
        <w:t>Figure 13.</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3–16, all articulated in a single piece, with the atlas an axis still to be fitted behind the skull.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a section that is probably the proximal part of the </w:t>
      </w:r>
      <w:r>
        <w:rPr>
          <w:i/>
          <w:iCs/>
        </w:rPr>
        <w:t>Allosaurus</w:t>
      </w:r>
      <w:r>
        <w:rPr/>
        <w:t xml:space="preserve"> tail. Finally, intruding on the image from the left is the distal (whiplash) portion of the other </w:t>
      </w:r>
      <w:r>
        <w:rPr>
          <w:i/>
          <w:iCs/>
        </w:rPr>
        <w:t>Barosaurus</w:t>
      </w:r>
      <w:r>
        <w:rPr/>
        <w:t xml:space="preserve"> tail, probably that of the adult. Photograph provided by Department of Vertebrate Paleontology Archive, Copyright © AMNH.</w:t>
      </w:r>
    </w:p>
    <w:p>
      <w:pPr>
        <w:pStyle w:val="FigureCaption"/>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Photographs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rPr/>
      </w:pPr>
      <w:r>
        <w:rPr>
          <w:b/>
          <w:bCs/>
        </w:rPr>
        <w:t>Figure 17.</w:t>
      </w:r>
      <w:r>
        <w:rPr/>
        <w:t xml:space="preserve"> The anterior part of the AMNH </w:t>
      </w:r>
      <w:r>
        <w:rPr>
          <w:i/>
          <w:iCs/>
        </w:rPr>
        <w:t>Barosaurus</w:t>
      </w:r>
      <w:r>
        <w:rPr/>
        <w:t xml:space="preserve"> neck (skull and first eight cervicals, though the atlas and axis are absent at this point) during the mounting process. </w:t>
      </w:r>
      <w:r>
        <w:rPr>
          <w:b/>
          <w:bCs/>
        </w:rPr>
        <w:t>A.</w:t>
      </w:r>
      <w:r>
        <w:rPr/>
        <w:t xml:space="preserve"> lying on the floor, seen in roughly dorsal view. </w:t>
      </w:r>
      <w:r>
        <w:rPr>
          <w:b/>
          <w:bCs/>
        </w:rPr>
        <w:t>B.</w:t>
      </w:r>
      <w:r>
        <w:rPr/>
        <w:t xml:space="preserve"> held upright, seen in right lateral view. Note that the vertebrae in positions 3–7 are those of </w:t>
      </w:r>
      <w:r>
        <w:rPr>
          <w:i/>
          <w:iCs/>
        </w:rPr>
        <w:t>Diplodocus</w:t>
      </w:r>
      <w:r>
        <w:rPr/>
        <w:t xml:space="preserve">, with relatively high bifurcated neural spines, while the vertebra in position 8 is that of </w:t>
      </w:r>
      <w:r>
        <w:rPr>
          <w:i/>
          <w:iCs/>
        </w:rPr>
        <w:t>Barosaurus</w:t>
      </w:r>
      <w:r>
        <w:rPr/>
        <w:t xml:space="preserve">, with a low and unbifurcated spine. Comparison with the Carnegie </w:t>
      </w:r>
      <w:r>
        <w:rPr>
          <w:i/>
          <w:iCs/>
        </w:rPr>
        <w:t>Diplodocus</w:t>
      </w:r>
      <w:r>
        <w:rPr/>
        <w:t xml:space="preserve"> shows that those in positions 3–6 are C3–C6 of </w:t>
      </w:r>
      <w:r>
        <w:rPr>
          <w:i/>
          <w:iCs/>
        </w:rPr>
        <w:t>Diplodocus</w:t>
      </w:r>
      <w:r>
        <w:rPr/>
        <w:t>, but that the 8th cervical vertebra of Diplodocus is used in position 7 to give a more even progression of increasing length. Photographs provided by Department of Vertebrate Paleontology Archive, Copyright © AMNH.</w:t>
      </w:r>
    </w:p>
    <w:p>
      <w:pPr>
        <w:pStyle w:val="FigureCaption"/>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start"/>
        <w:tblInd w:w="0" w:type="dxa"/>
        <w:tblLayout w:type="fixed"/>
        <w:tblCellMar>
          <w:top w:w="0" w:type="dxa"/>
          <w:start w:w="0" w:type="dxa"/>
          <w:bottom w:w="0" w:type="dxa"/>
          <w:end w:w="0" w:type="dxa"/>
        </w:tblCellMar>
        <w:tblLook w:val="04a0" w:noVBand="1" w:noHBand="0" w:lastColumn="0" w:firstColumn="1" w:lastRow="0" w:firstRow="1"/>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widowControl w:val="false"/>
              <w:suppressLineNumber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widowControl w:val="false"/>
              <w:suppressLineNumber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widowControl w:val="false"/>
              <w:suppressLineNumbers/>
              <w:spacing w:before="0" w:after="113"/>
              <w:rPr/>
            </w:pPr>
            <w:r>
              <w:rPr/>
              <w:t>1890</w:t>
            </w:r>
          </w:p>
        </w:tc>
        <w:tc>
          <w:tcPr>
            <w:tcW w:w="7431" w:type="dxa"/>
            <w:tcBorders/>
          </w:tcPr>
          <w:p>
            <w:pPr>
              <w:pStyle w:val="TableContents"/>
              <w:widowControl w:val="false"/>
              <w:suppressLineNumber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widowControl w:val="false"/>
              <w:suppressLineNumbers/>
              <w:spacing w:before="0" w:after="113"/>
              <w:rPr/>
            </w:pPr>
            <w:r>
              <w:rPr/>
              <w:t>Late August 1898</w:t>
            </w:r>
          </w:p>
        </w:tc>
        <w:tc>
          <w:tcPr>
            <w:tcW w:w="7431" w:type="dxa"/>
            <w:tcBorders/>
          </w:tcPr>
          <w:p>
            <w:pPr>
              <w:pStyle w:val="TableContents"/>
              <w:widowControl w:val="false"/>
              <w:suppressLineNumbers/>
              <w:spacing w:before="0" w:after="113"/>
              <w:rPr/>
            </w:pPr>
            <w:r>
              <w:rPr/>
              <w:t>Marsh sent George Wieland to collect the rest of the skeleton.</w:t>
            </w:r>
          </w:p>
        </w:tc>
      </w:tr>
      <w:tr>
        <w:trPr>
          <w:trHeight w:val="235" w:hRule="atLeast"/>
        </w:trPr>
        <w:tc>
          <w:tcPr>
            <w:tcW w:w="2207" w:type="dxa"/>
            <w:tcBorders/>
          </w:tcPr>
          <w:p>
            <w:pPr>
              <w:pStyle w:val="TableContents"/>
              <w:widowControl w:val="false"/>
              <w:suppressLineNumbers/>
              <w:spacing w:before="0" w:after="113"/>
              <w:rPr/>
            </w:pPr>
            <w:r>
              <w:rPr/>
              <w:t>1899</w:t>
            </w:r>
          </w:p>
        </w:tc>
        <w:tc>
          <w:tcPr>
            <w:tcW w:w="7431" w:type="dxa"/>
            <w:tcBorders/>
          </w:tcPr>
          <w:p>
            <w:pPr>
              <w:pStyle w:val="TableContents"/>
              <w:widowControl w:val="false"/>
              <w:suppressLineNumber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widowControl w:val="false"/>
              <w:suppressLineNumbers/>
              <w:spacing w:before="0" w:after="113"/>
              <w:rPr/>
            </w:pPr>
            <w:r>
              <w:rPr/>
              <w:t>1907</w:t>
            </w:r>
          </w:p>
        </w:tc>
        <w:tc>
          <w:tcPr>
            <w:tcW w:w="7431" w:type="dxa"/>
            <w:tcBorders/>
          </w:tcPr>
          <w:p>
            <w:pPr>
              <w:pStyle w:val="TableContents"/>
              <w:widowControl w:val="false"/>
              <w:suppressLineNumber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widowControl w:val="false"/>
              <w:suppressLineNumbers/>
              <w:spacing w:before="0" w:after="113"/>
              <w:rPr/>
            </w:pPr>
            <w:r>
              <w:rPr/>
              <w:t>Late 1916</w:t>
            </w:r>
          </w:p>
        </w:tc>
        <w:tc>
          <w:tcPr>
            <w:tcW w:w="7431" w:type="dxa"/>
            <w:tcBorders/>
          </w:tcPr>
          <w:p>
            <w:pPr>
              <w:pStyle w:val="TableContents"/>
              <w:widowControl w:val="false"/>
              <w:suppressLineNumber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widowControl w:val="false"/>
              <w:suppressLineNumbers/>
              <w:spacing w:before="0" w:after="113"/>
              <w:rPr/>
            </w:pPr>
            <w:r>
              <w:rPr/>
              <w:t>1917</w:t>
            </w:r>
          </w:p>
        </w:tc>
        <w:tc>
          <w:tcPr>
            <w:tcW w:w="7431" w:type="dxa"/>
            <w:tcBorders/>
          </w:tcPr>
          <w:p>
            <w:pPr>
              <w:pStyle w:val="TableContents"/>
              <w:widowControl w:val="false"/>
              <w:suppressLineNumbers/>
              <w:spacing w:before="0" w:after="113"/>
              <w:rPr/>
            </w:pPr>
            <w:r>
              <w:rPr/>
              <w:t>Lull’s published abstract very briefly described the type specimen.</w:t>
            </w:r>
          </w:p>
        </w:tc>
      </w:tr>
      <w:tr>
        <w:trPr>
          <w:trHeight w:val="235" w:hRule="atLeast"/>
        </w:trPr>
        <w:tc>
          <w:tcPr>
            <w:tcW w:w="2207" w:type="dxa"/>
            <w:tcBorders/>
          </w:tcPr>
          <w:p>
            <w:pPr>
              <w:pStyle w:val="TableContents"/>
              <w:widowControl w:val="false"/>
              <w:suppressLineNumbers/>
              <w:spacing w:before="0" w:after="113"/>
              <w:rPr/>
            </w:pPr>
            <w:r>
              <w:rPr/>
              <w:t>1919</w:t>
            </w:r>
          </w:p>
        </w:tc>
        <w:tc>
          <w:tcPr>
            <w:tcW w:w="7431" w:type="dxa"/>
            <w:tcBorders/>
          </w:tcPr>
          <w:p>
            <w:pPr>
              <w:pStyle w:val="TableContents"/>
              <w:widowControl w:val="false"/>
              <w:suppressLineNumbers/>
              <w:spacing w:before="0" w:after="113"/>
              <w:rPr/>
            </w:pPr>
            <w:r>
              <w:rPr/>
              <w:t>Lull’s detailed monographic description of the type specimen.</w:t>
            </w:r>
          </w:p>
        </w:tc>
      </w:tr>
      <w:tr>
        <w:trPr>
          <w:trHeight w:val="235" w:hRule="atLeast"/>
        </w:trPr>
        <w:tc>
          <w:tcPr>
            <w:tcW w:w="2207" w:type="dxa"/>
            <w:tcBorders/>
          </w:tcPr>
          <w:p>
            <w:pPr>
              <w:pStyle w:val="TableContents"/>
              <w:widowControl w:val="false"/>
              <w:suppressLineNumbers/>
              <w:spacing w:before="0" w:after="113"/>
              <w:rPr/>
            </w:pPr>
            <w:r>
              <w:rPr/>
              <w:t>1922</w:t>
            </w:r>
          </w:p>
        </w:tc>
        <w:tc>
          <w:tcPr>
            <w:tcW w:w="7431" w:type="dxa"/>
            <w:tcBorders/>
          </w:tcPr>
          <w:p>
            <w:pPr>
              <w:pStyle w:val="TableContents"/>
              <w:widowControl w:val="false"/>
              <w:suppressLineNumber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widowControl w:val="false"/>
              <w:suppressLineNumbers/>
              <w:spacing w:before="0" w:after="113"/>
              <w:rPr/>
            </w:pPr>
            <w:r>
              <w:rPr/>
              <w:t>1922–1923</w:t>
            </w:r>
          </w:p>
        </w:tc>
        <w:tc>
          <w:tcPr>
            <w:tcW w:w="7431" w:type="dxa"/>
            <w:tcBorders/>
          </w:tcPr>
          <w:p>
            <w:pPr>
              <w:pStyle w:val="TableContents"/>
              <w:widowControl w:val="false"/>
              <w:suppressLineNumber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widowControl w:val="false"/>
              <w:suppressLineNumbers/>
              <w:spacing w:before="0" w:after="113"/>
              <w:rPr/>
            </w:pPr>
            <w:r>
              <w:rPr/>
              <w:t>1923</w:t>
            </w:r>
          </w:p>
        </w:tc>
        <w:tc>
          <w:tcPr>
            <w:tcW w:w="7431" w:type="dxa"/>
            <w:tcBorders/>
          </w:tcPr>
          <w:p>
            <w:pPr>
              <w:pStyle w:val="TableContents"/>
              <w:widowControl w:val="false"/>
              <w:suppressLineNumbers/>
              <w:spacing w:before="0" w:after="113"/>
              <w:rPr/>
            </w:pPr>
            <w:r>
              <w:rPr/>
              <w:t xml:space="preserve">The neck of #340 was sent to the USNM to provide material for a </w:t>
            </w:r>
            <w:r>
              <w:rPr>
                <w:i/>
                <w:iCs/>
              </w:rPr>
              <w:t>Diplodocus</w:t>
            </w:r>
            <w:r>
              <w:rPr/>
              <w:t xml:space="preserve"> skeletal mount based on the other diplodocine #355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widowControl w:val="false"/>
              <w:suppressLineNumbers/>
              <w:spacing w:before="0" w:after="113"/>
              <w:rPr/>
            </w:pPr>
            <w:r>
              <w:rPr/>
              <w:t>1929</w:t>
            </w:r>
          </w:p>
        </w:tc>
        <w:tc>
          <w:tcPr>
            <w:tcW w:w="7431" w:type="dxa"/>
            <w:tcBorders/>
          </w:tcPr>
          <w:p>
            <w:pPr>
              <w:pStyle w:val="TableContents"/>
              <w:widowControl w:val="false"/>
              <w:suppressLineNumber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widowControl w:val="false"/>
              <w:suppressLineNumbers/>
              <w:spacing w:before="0" w:after="113"/>
              <w:rPr/>
            </w:pPr>
            <w:r>
              <w:rPr/>
              <w:t>1931</w:t>
            </w:r>
          </w:p>
        </w:tc>
        <w:tc>
          <w:tcPr>
            <w:tcW w:w="7431" w:type="dxa"/>
            <w:tcBorders/>
          </w:tcPr>
          <w:p>
            <w:pPr>
              <w:pStyle w:val="TableContents"/>
              <w:widowControl w:val="false"/>
              <w:suppressLineNumber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widowControl w:val="false"/>
              <w:suppressLineNumbers/>
              <w:spacing w:before="0" w:after="113"/>
              <w:rPr/>
            </w:pPr>
            <w:r>
              <w:rPr/>
              <w:t>9 February 1933</w:t>
            </w:r>
          </w:p>
        </w:tc>
        <w:tc>
          <w:tcPr>
            <w:tcW w:w="7431" w:type="dxa"/>
            <w:tcBorders/>
          </w:tcPr>
          <w:p>
            <w:pPr>
              <w:pStyle w:val="TableContents"/>
              <w:widowControl w:val="false"/>
              <w:suppressLineNumber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widowControl w:val="false"/>
              <w:suppressLineNumbers/>
              <w:spacing w:before="0" w:after="113"/>
              <w:rPr/>
            </w:pPr>
            <w:r>
              <w:rPr/>
              <w:t>17 April 1939</w:t>
            </w:r>
          </w:p>
        </w:tc>
        <w:tc>
          <w:tcPr>
            <w:tcW w:w="7431" w:type="dxa"/>
            <w:tcBorders/>
          </w:tcPr>
          <w:p>
            <w:pPr>
              <w:pStyle w:val="TableContents"/>
              <w:widowControl w:val="false"/>
              <w:suppressLineNumbers/>
              <w:spacing w:before="0" w:after="113"/>
              <w:rPr/>
            </w:pPr>
            <w:r>
              <w:rPr/>
              <w:t>The presacral vertebrae, scapulocoracoid and humerus of AMNH 6341 were exhibited in the Hall of Early Dinosaurs.</w:t>
            </w:r>
          </w:p>
        </w:tc>
      </w:tr>
      <w:tr>
        <w:trPr>
          <w:trHeight w:val="246" w:hRule="atLeast"/>
        </w:trPr>
        <w:tc>
          <w:tcPr>
            <w:tcW w:w="2207" w:type="dxa"/>
            <w:tcBorders/>
          </w:tcPr>
          <w:p>
            <w:pPr>
              <w:pStyle w:val="TableContents"/>
              <w:widowControl w:val="false"/>
              <w:suppressLineNumbers/>
              <w:spacing w:before="0" w:after="113"/>
              <w:rPr/>
            </w:pPr>
            <w:r>
              <w:rPr/>
              <w:t>Early 1950s</w:t>
            </w:r>
          </w:p>
        </w:tc>
        <w:tc>
          <w:tcPr>
            <w:tcW w:w="7431" w:type="dxa"/>
            <w:tcBorders/>
          </w:tcPr>
          <w:p>
            <w:pPr>
              <w:pStyle w:val="TableContents"/>
              <w:widowControl w:val="false"/>
              <w:suppressLineNumber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widowControl w:val="false"/>
              <w:suppressLineNumbers/>
              <w:spacing w:before="0" w:after="113"/>
              <w:rPr/>
            </w:pPr>
            <w:r>
              <w:rPr/>
              <w:t>1952</w:t>
            </w:r>
          </w:p>
        </w:tc>
        <w:tc>
          <w:tcPr>
            <w:tcW w:w="7431" w:type="dxa"/>
            <w:tcBorders/>
          </w:tcPr>
          <w:p>
            <w:pPr>
              <w:pStyle w:val="TableContents"/>
              <w:widowControl w:val="false"/>
              <w:suppressLineNumber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widowControl w:val="false"/>
              <w:suppressLineNumbers/>
              <w:spacing w:before="0" w:after="113"/>
              <w:rPr/>
            </w:pPr>
            <w:r>
              <w:rPr/>
              <w:t>8 June, 1957</w:t>
            </w:r>
          </w:p>
        </w:tc>
        <w:tc>
          <w:tcPr>
            <w:tcW w:w="7431" w:type="dxa"/>
            <w:tcBorders/>
          </w:tcPr>
          <w:p>
            <w:pPr>
              <w:pStyle w:val="TableContents"/>
              <w:widowControl w:val="false"/>
              <w:suppressLineNumber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widowControl w:val="false"/>
              <w:suppressLineNumbers/>
              <w:spacing w:before="0" w:after="113"/>
              <w:rPr/>
            </w:pPr>
            <w:r>
              <w:rPr/>
              <w:t>1970</w:t>
            </w:r>
          </w:p>
        </w:tc>
        <w:tc>
          <w:tcPr>
            <w:tcW w:w="7431" w:type="dxa"/>
            <w:tcBorders/>
          </w:tcPr>
          <w:p>
            <w:pPr>
              <w:pStyle w:val="TableContents"/>
              <w:widowControl w:val="false"/>
              <w:suppressLineNumber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widowControl w:val="false"/>
              <w:suppressLineNumbers/>
              <w:spacing w:before="0" w:after="113"/>
              <w:rPr/>
            </w:pPr>
            <w:r>
              <w:rPr/>
              <w:t>1977</w:t>
            </w:r>
          </w:p>
        </w:tc>
        <w:tc>
          <w:tcPr>
            <w:tcW w:w="7431" w:type="dxa"/>
            <w:tcBorders/>
          </w:tcPr>
          <w:p>
            <w:pPr>
              <w:pStyle w:val="TableContents"/>
              <w:widowControl w:val="false"/>
              <w:suppressLineNumbers/>
              <w:spacing w:before="0" w:after="113"/>
              <w:rPr/>
            </w:pPr>
            <w:r>
              <w:rPr/>
              <w:t>Peter May began working with skeletal mounts at the Royal Ontario Museum.</w:t>
            </w:r>
          </w:p>
        </w:tc>
      </w:tr>
      <w:tr>
        <w:trPr>
          <w:trHeight w:val="246" w:hRule="atLeast"/>
        </w:trPr>
        <w:tc>
          <w:tcPr>
            <w:tcW w:w="2207" w:type="dxa"/>
            <w:tcBorders/>
          </w:tcPr>
          <w:p>
            <w:pPr>
              <w:pStyle w:val="TableContents"/>
              <w:widowControl w:val="false"/>
              <w:suppressLineNumbers/>
              <w:spacing w:before="0" w:after="113"/>
              <w:rPr/>
            </w:pPr>
            <w:r>
              <w:rPr/>
              <w:t>1978</w:t>
            </w:r>
          </w:p>
        </w:tc>
        <w:tc>
          <w:tcPr>
            <w:tcW w:w="7431" w:type="dxa"/>
            <w:tcBorders/>
          </w:tcPr>
          <w:p>
            <w:pPr>
              <w:pStyle w:val="TableContents"/>
              <w:widowControl w:val="false"/>
              <w:suppressLineNumber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1986</w:t>
            </w:r>
          </w:p>
        </w:tc>
        <w:tc>
          <w:tcPr>
            <w:tcW w:w="7431" w:type="dxa"/>
            <w:tcBorders/>
          </w:tcPr>
          <w:p>
            <w:pPr>
              <w:pStyle w:val="TableContents"/>
              <w:widowControl w:val="false"/>
              <w:suppressLineNumbers/>
              <w:spacing w:before="0" w:after="113"/>
              <w:rPr/>
            </w:pPr>
            <w:r>
              <w:rPr/>
              <w:t>The AMNH began planning an extensive renovation of its fossil halls.</w:t>
            </w:r>
          </w:p>
        </w:tc>
      </w:tr>
      <w:tr>
        <w:trPr>
          <w:trHeight w:val="246" w:hRule="atLeast"/>
        </w:trPr>
        <w:tc>
          <w:tcPr>
            <w:tcW w:w="2207" w:type="dxa"/>
            <w:tcBorders/>
          </w:tcPr>
          <w:p>
            <w:pPr>
              <w:pStyle w:val="TableContents"/>
              <w:widowControl w:val="false"/>
              <w:suppressLineNumbers/>
              <w:spacing w:before="0" w:after="113"/>
              <w:rPr/>
            </w:pPr>
            <w:r>
              <w:rPr/>
              <w:t>1989</w:t>
            </w:r>
          </w:p>
        </w:tc>
        <w:tc>
          <w:tcPr>
            <w:tcW w:w="7431" w:type="dxa"/>
            <w:tcBorders/>
          </w:tcPr>
          <w:p>
            <w:pPr>
              <w:pStyle w:val="TableContents"/>
              <w:widowControl w:val="false"/>
              <w:suppressLineNumber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widowControl w:val="false"/>
              <w:suppressLineNumbers/>
              <w:spacing w:before="0" w:after="113"/>
              <w:rPr/>
            </w:pPr>
            <w:r>
              <w:rPr/>
              <w:t>1990</w:t>
            </w:r>
          </w:p>
        </w:tc>
        <w:tc>
          <w:tcPr>
            <w:tcW w:w="7431" w:type="dxa"/>
            <w:tcBorders/>
          </w:tcPr>
          <w:p>
            <w:pPr>
              <w:pStyle w:val="TableContents"/>
              <w:widowControl w:val="false"/>
              <w:suppressLineNumbers/>
              <w:spacing w:before="0" w:after="113"/>
              <w:rPr/>
            </w:pPr>
            <w:r>
              <w:rPr/>
              <w:t>Peter May went full time with his company Research Casting International (RCI).</w:t>
            </w:r>
          </w:p>
        </w:tc>
      </w:tr>
      <w:tr>
        <w:trPr>
          <w:trHeight w:val="246" w:hRule="atLeast"/>
        </w:trPr>
        <w:tc>
          <w:tcPr>
            <w:tcW w:w="2207" w:type="dxa"/>
            <w:tcBorders/>
          </w:tcPr>
          <w:p>
            <w:pPr>
              <w:pStyle w:val="TableContents"/>
              <w:widowControl w:val="false"/>
              <w:suppressLineNumbers/>
              <w:spacing w:before="0" w:after="113"/>
              <w:rPr/>
            </w:pPr>
            <w:r>
              <w:rPr/>
              <w:t>28 March 1990</w:t>
            </w:r>
          </w:p>
        </w:tc>
        <w:tc>
          <w:tcPr>
            <w:tcW w:w="7431" w:type="dxa"/>
            <w:tcBorders/>
          </w:tcPr>
          <w:p>
            <w:pPr>
              <w:pStyle w:val="TableContents"/>
              <w:widowControl w:val="false"/>
              <w:suppressLineNumbers/>
              <w:spacing w:before="0" w:after="113"/>
              <w:rPr/>
            </w:pPr>
            <w:r>
              <w:rPr/>
              <w:t xml:space="preserve">A formal agreement was made between AMNH and RCI for the project to mount a cast of </w:t>
            </w:r>
            <w:r>
              <w:rPr>
                <w:i/>
                <w:iCs/>
              </w:rPr>
              <w:t>Barosaurus</w:t>
            </w:r>
            <w:r>
              <w:rPr/>
              <w:t xml:space="preserve"> AMNH 6341 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Fall 1990</w:t>
            </w:r>
          </w:p>
        </w:tc>
        <w:tc>
          <w:tcPr>
            <w:tcW w:w="7431" w:type="dxa"/>
            <w:tcBorders/>
          </w:tcPr>
          <w:p>
            <w:pPr>
              <w:pStyle w:val="TableContents"/>
              <w:widowControl w:val="false"/>
              <w:suppressLineNumber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widowControl w:val="false"/>
              <w:suppressLineNumbers/>
              <w:spacing w:before="0" w:after="113"/>
              <w:rPr/>
            </w:pPr>
            <w:r>
              <w:rPr/>
              <w:t>Late 1990/early 1991</w:t>
            </w:r>
          </w:p>
        </w:tc>
        <w:tc>
          <w:tcPr>
            <w:tcW w:w="7431" w:type="dxa"/>
            <w:tcBorders/>
          </w:tcPr>
          <w:p>
            <w:pPr>
              <w:pStyle w:val="TableContents"/>
              <w:widowControl w:val="false"/>
              <w:suppressLineNumber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widowControl w:val="false"/>
              <w:suppressLineNumbers/>
              <w:spacing w:before="0" w:after="113"/>
              <w:rPr/>
            </w:pPr>
            <w:r>
              <w:rPr/>
              <w:t>Spring 1991</w:t>
            </w:r>
          </w:p>
        </w:tc>
        <w:tc>
          <w:tcPr>
            <w:tcW w:w="7431" w:type="dxa"/>
            <w:tcBorders/>
          </w:tcPr>
          <w:p>
            <w:pPr>
              <w:pStyle w:val="TableContents"/>
              <w:widowControl w:val="false"/>
              <w:suppressLineNumber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widowControl w:val="false"/>
              <w:suppressLineNumbers/>
              <w:spacing w:before="0" w:after="113"/>
              <w:rPr/>
            </w:pPr>
            <w:r>
              <w:rPr/>
              <w:t>Summer 1991</w:t>
            </w:r>
          </w:p>
        </w:tc>
        <w:tc>
          <w:tcPr>
            <w:tcW w:w="7431" w:type="dxa"/>
            <w:tcBorders/>
          </w:tcPr>
          <w:p>
            <w:pPr>
              <w:pStyle w:val="TableContents"/>
              <w:widowControl w:val="false"/>
              <w:suppressLineNumber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widowControl w:val="false"/>
              <w:suppressLineNumbers/>
              <w:spacing w:before="0" w:after="113"/>
              <w:rPr/>
            </w:pPr>
            <w:r>
              <w:rPr/>
              <w:t>November 1991</w:t>
            </w:r>
          </w:p>
        </w:tc>
        <w:tc>
          <w:tcPr>
            <w:tcW w:w="7431" w:type="dxa"/>
            <w:tcBorders/>
          </w:tcPr>
          <w:p>
            <w:pPr>
              <w:pStyle w:val="TableContents"/>
              <w:widowControl w:val="false"/>
              <w:suppressLineNumber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widowControl w:val="false"/>
              <w:suppressLineNumbers/>
              <w:spacing w:before="0" w:after="113"/>
              <w:rPr/>
            </w:pPr>
            <w:r>
              <w:rPr/>
              <w:t>29 November 1991</w:t>
            </w:r>
          </w:p>
        </w:tc>
        <w:tc>
          <w:tcPr>
            <w:tcW w:w="7431" w:type="dxa"/>
            <w:tcBorders/>
          </w:tcPr>
          <w:p>
            <w:pPr>
              <w:pStyle w:val="TableContents"/>
              <w:widowControl w:val="false"/>
              <w:suppressLineNumber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widowControl w:val="false"/>
              <w:suppressLineNumbers/>
              <w:spacing w:before="0" w:after="113"/>
              <w:rPr/>
            </w:pPr>
            <w:r>
              <w:rPr/>
              <w:t>3 December 1991</w:t>
            </w:r>
          </w:p>
        </w:tc>
        <w:tc>
          <w:tcPr>
            <w:tcW w:w="7431" w:type="dxa"/>
            <w:tcBorders/>
          </w:tcPr>
          <w:p>
            <w:pPr>
              <w:pStyle w:val="TableContents"/>
              <w:widowControl w:val="false"/>
              <w:suppressLineNumber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widowControl w:val="false"/>
              <w:suppressLineNumbers/>
              <w:spacing w:before="0" w:after="113"/>
              <w:rPr/>
            </w:pPr>
            <w:r>
              <w:rPr/>
              <w:t>4 December 1991</w:t>
            </w:r>
          </w:p>
        </w:tc>
        <w:tc>
          <w:tcPr>
            <w:tcW w:w="7431" w:type="dxa"/>
            <w:tcBorders/>
          </w:tcPr>
          <w:p>
            <w:pPr>
              <w:pStyle w:val="TableContents"/>
              <w:widowControl w:val="false"/>
              <w:suppressLineNumbers/>
              <w:spacing w:before="0" w:after="113"/>
              <w:rPr/>
            </w:pPr>
            <w:r>
              <w:rPr/>
              <w:t>The exhibit was opened to the public.</w:t>
            </w:r>
          </w:p>
        </w:tc>
      </w:tr>
    </w:tbl>
    <w:p>
      <w:pPr>
        <w:pStyle w:val="BodyText"/>
        <w:spacing w:lineRule="auto" w:line="276" w:before="0" w:after="140"/>
        <w:rPr/>
      </w:pPr>
      <w:r>
        <w:rPr/>
      </w:r>
    </w:p>
    <w:sectPr>
      <w:headerReference w:type="even" r:id="rId16"/>
      <w:headerReference w:type="default" r:id="rId17"/>
      <w:headerReference w:type="first" r:id="rId18"/>
      <w:type w:val="nextPage"/>
      <w:pgSz w:w="11906" w:h="16838"/>
      <w:pgMar w:left="1134" w:right="1134" w:gutter="0" w:header="1134" w:top="1692"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Baskerville">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Gill Sans">
    <w:charset w:val="01" w:characterSet="utf-8"/>
    <w:family w:val="roman"/>
    <w:pitch w:val="variable"/>
  </w:font>
  <w:font w:name="Symbol">
    <w:charset w:val="01"/>
    <w:family w:val="auto"/>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36</w:t>
    </w:r>
    <w:r>
      <w:rPr/>
      <w:fldChar w:fldCharType="end"/>
    </w:r>
    <w:r>
      <w:rPr/>
      <w:t>/</w:t>
    </w:r>
    <w:r>
      <w:rPr/>
      <w:fldChar w:fldCharType="begin"/>
    </w:r>
    <w:r>
      <w:rPr/>
      <w:instrText xml:space="preserve"> NUMPAGES </w:instrText>
    </w:r>
    <w:r>
      <w:rPr/>
      <w:fldChar w:fldCharType="separate"/>
    </w:r>
    <w:r>
      <w:rPr/>
      <w:t>36</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36</w:t>
    </w:r>
    <w:r>
      <w:rPr/>
      <w:fldChar w:fldCharType="end"/>
    </w:r>
    <w:r>
      <w:rPr/>
      <w:t>/</w:t>
    </w:r>
    <w:r>
      <w:rPr/>
      <w:fldChar w:fldCharType="begin"/>
    </w:r>
    <w:r>
      <w:rPr/>
      <w:instrText xml:space="preserve"> NUMPAGES </w:instrText>
    </w:r>
    <w:r>
      <w:rPr/>
      <w:fldChar w:fldCharType="separate"/>
    </w:r>
    <w:r>
      <w:rPr/>
      <w:t>36</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6">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7">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uiPriority w:val="9"/>
    <w:qFormat/>
    <w:pPr>
      <w:spacing w:before="567" w:after="142"/>
      <w:outlineLvl w:val="0"/>
    </w:pPr>
    <w:rPr>
      <w:bCs/>
      <w:sz w:val="32"/>
      <w:szCs w:val="36"/>
    </w:rPr>
  </w:style>
  <w:style w:type="paragraph" w:styleId="Heading2">
    <w:name w:val="heading 2"/>
    <w:basedOn w:val="Heading"/>
    <w:next w:val="BodyText"/>
    <w:uiPriority w:val="9"/>
    <w:unhideWhenUsed/>
    <w:qFormat/>
    <w:pPr>
      <w:spacing w:before="198" w:after="119"/>
      <w:outlineLvl w:val="1"/>
    </w:pPr>
    <w:rPr>
      <w:rFonts w:eastAsia="Songti SC"/>
      <w:bCs/>
      <w:sz w:val="26"/>
      <w:szCs w:val="26"/>
    </w:rPr>
  </w:style>
  <w:style w:type="paragraph" w:styleId="Heading3">
    <w:name w:val="heading 3"/>
    <w:basedOn w:val="Heading"/>
    <w:next w:val="BodyText"/>
    <w:uiPriority w:val="9"/>
    <w:unhideWhenUsed/>
    <w:qFormat/>
    <w:pPr>
      <w:numPr>
        <w:ilvl w:val="2"/>
        <w:numId w:val="5"/>
      </w:numPr>
      <w:spacing w:before="142" w:after="142"/>
      <w:outlineLvl w:val="2"/>
    </w:pPr>
    <w:rPr>
      <w:bCs/>
      <w:sz w:val="20"/>
      <w:szCs w:val="20"/>
    </w:rPr>
  </w:style>
  <w:style w:type="paragraph" w:styleId="Heading4">
    <w:name w:val="heading 4"/>
    <w:basedOn w:val="Heading"/>
    <w:next w:val="BodyText"/>
    <w:uiPriority w:val="9"/>
    <w:semiHidden/>
    <w:unhideWhenUsed/>
    <w:qFormat/>
    <w:pPr>
      <w:spacing w:before="120" w:after="120"/>
      <w:outlineLvl w:val="3"/>
    </w:pPr>
    <w:rPr>
      <w:rFonts w:ascii="Liberation Serif" w:hAnsi="Liberation Serif" w:eastAsia="Songti SC"/>
      <w:bCs/>
      <w:sz w:val="24"/>
      <w:szCs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llowedHyperlink">
    <w:name w:val="FollowedHyperlink"/>
    <w:qFormat/>
    <w:rPr>
      <w:color w:val="800000"/>
      <w:u w:val="single"/>
    </w:rPr>
  </w:style>
  <w:style w:type="character" w:styleId="IndexLink" w:customStyle="1">
    <w:name w:val="Index Link"/>
    <w:qFormat/>
    <w:rPr/>
  </w:style>
  <w:style w:type="character" w:styleId="Bulletsuser" w:customStyle="1">
    <w:name w:val="Bullets (user)"/>
    <w:qFormat/>
    <w:rPr>
      <w:rFonts w:ascii="OpenSymbol" w:hAnsi="OpenSymbol" w:eastAsia="OpenSymbol" w:cs="OpenSymbol"/>
    </w:rPr>
  </w:style>
  <w:style w:type="character" w:styleId="Teletype" w:customStyle="1">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CommentReference">
    <w:name w:val="annotation reference"/>
    <w:basedOn w:val="DefaultParagraphFont"/>
    <w:uiPriority w:val="99"/>
    <w:semiHidden/>
    <w:unhideWhenUsed/>
    <w:qFormat/>
    <w:rsid w:val="00bf1f32"/>
    <w:rPr>
      <w:sz w:val="16"/>
      <w:szCs w:val="16"/>
    </w:rPr>
  </w:style>
  <w:style w:type="character" w:styleId="CommentTextChar" w:customStyle="1">
    <w:name w:val="Comment Text Char"/>
    <w:basedOn w:val="DefaultParagraphFont"/>
    <w:link w:val="CommentText"/>
    <w:uiPriority w:val="99"/>
    <w:qFormat/>
    <w:rsid w:val="00bf1f32"/>
    <w:rPr>
      <w:rFonts w:ascii="Baskerville" w:hAnsi="Baskerville" w:cs="Mangal"/>
      <w:szCs w:val="18"/>
    </w:rPr>
  </w:style>
  <w:style w:type="character" w:styleId="CommentSubjectChar" w:customStyle="1">
    <w:name w:val="Comment Subject Char"/>
    <w:basedOn w:val="CommentTextChar"/>
    <w:link w:val="annotationsubject"/>
    <w:uiPriority w:val="99"/>
    <w:semiHidden/>
    <w:qFormat/>
    <w:rsid w:val="00bf1f32"/>
    <w:rPr>
      <w:rFonts w:ascii="Baskerville" w:hAnsi="Baskerville" w:cs="Mangal"/>
      <w:b/>
      <w:bCs/>
      <w:szCs w:val="18"/>
    </w:rPr>
  </w:style>
  <w:style w:type="paragraph" w:styleId="Heading" w:customStyle="1">
    <w:name w:val="Heading"/>
    <w:basedOn w:val="Normal"/>
    <w:next w:val="BodyText"/>
    <w:qFormat/>
    <w:pPr>
      <w:keepNext w:val="true"/>
      <w:spacing w:before="240" w:after="120"/>
    </w:pPr>
    <w:rPr>
      <w:rFonts w:ascii="Gill Sans" w:hAnsi="Gill Sans" w:eastAsia="PingFang SC"/>
      <w:b/>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spacing w:before="238" w:after="119"/>
    </w:pPr>
    <w:rPr>
      <w:bCs/>
      <w:sz w:val="38"/>
      <w:szCs w:val="56"/>
    </w:rPr>
  </w:style>
  <w:style w:type="paragraph" w:styleId="Author" w:customStyle="1">
    <w:name w:val="Author"/>
    <w:basedOn w:val="BodyText"/>
    <w:qFormat/>
    <w:pPr>
      <w:spacing w:before="0" w:after="142"/>
      <w:ind w:hanging="283" w:start="283"/>
    </w:pPr>
    <w:rPr>
      <w:i/>
    </w:rPr>
  </w:style>
  <w:style w:type="paragraph" w:styleId="BlockQuotationuser" w:customStyle="1">
    <w:name w:val="Block Quotation (user)"/>
    <w:basedOn w:val="Normal"/>
    <w:qFormat/>
    <w:pPr>
      <w:spacing w:lineRule="auto" w:line="276" w:before="0" w:after="283"/>
      <w:ind w:start="567" w:end="567"/>
    </w:pPr>
    <w:rPr/>
  </w:style>
  <w:style w:type="paragraph" w:styleId="Abstract" w:customStyle="1">
    <w:name w:val="Abstract"/>
    <w:basedOn w:val="BodyText"/>
    <w:qFormat/>
    <w:pPr>
      <w:spacing w:before="0" w:after="142"/>
      <w:ind w:start="567" w:end="567"/>
    </w:pPr>
    <w:rPr>
      <w:i/>
      <w:iCs/>
    </w:rPr>
  </w:style>
  <w:style w:type="paragraph" w:styleId="toaheading">
    <w:name w:val="toa heading"/>
    <w:basedOn w:val="Heading"/>
    <w:qFormat/>
    <w:pPr>
      <w:pageBreakBefore/>
      <w:suppressLineNumbers/>
    </w:pPr>
    <w:rPr>
      <w:bCs/>
      <w:sz w:val="32"/>
      <w:szCs w:val="32"/>
    </w:rPr>
  </w:style>
  <w:style w:type="paragraph" w:styleId="TOC1">
    <w:name w:val="toc 1"/>
    <w:basedOn w:val="Index"/>
    <w:pPr>
      <w:tabs>
        <w:tab w:val="clear" w:pos="720"/>
        <w:tab w:val="right" w:pos="9638" w:leader="dot"/>
      </w:tabs>
    </w:pPr>
    <w:rPr/>
  </w:style>
  <w:style w:type="paragraph" w:styleId="Reference" w:customStyle="1">
    <w:name w:val="Reference"/>
    <w:basedOn w:val="BodyText"/>
    <w:qFormat/>
    <w:pPr>
      <w:spacing w:before="0" w:after="142"/>
      <w:ind w:hanging="283" w:start="283"/>
    </w:pPr>
    <w:rPr/>
  </w:style>
  <w:style w:type="paragraph" w:styleId="TOC2">
    <w:name w:val="toc 2"/>
    <w:basedOn w:val="Index"/>
    <w:pPr>
      <w:tabs>
        <w:tab w:val="clear" w:pos="720"/>
        <w:tab w:val="right" w:pos="9355" w:leader="dot"/>
      </w:tabs>
      <w:ind w:start="283"/>
    </w:pPr>
    <w:rPr/>
  </w:style>
  <w:style w:type="paragraph" w:styleId="FigureCaption" w:customStyle="1">
    <w:name w:val="Figure Caption"/>
    <w:basedOn w:val="BodyText"/>
    <w:qFormat/>
    <w:pPr>
      <w:spacing w:before="0" w:after="142"/>
      <w:ind w:hanging="283" w:start="283"/>
    </w:pPr>
    <w:rPr/>
  </w:style>
  <w:style w:type="paragraph" w:styleId="TOC3">
    <w:name w:val="toc 3"/>
    <w:basedOn w:val="Index"/>
    <w:pPr>
      <w:tabs>
        <w:tab w:val="clear" w:pos="720"/>
        <w:tab w:val="right" w:pos="9072" w:leader="dot"/>
      </w:tabs>
      <w:ind w:start="566"/>
    </w:pPr>
    <w:rPr/>
  </w:style>
  <w:style w:type="paragraph" w:styleId="HeaderandFooter" w:customStyle="1">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rPr/>
  </w:style>
  <w:style w:type="paragraph" w:styleId="TableContents" w:customStyle="1">
    <w:name w:val="Table Contents"/>
    <w:basedOn w:val="Normal"/>
    <w:qFormat/>
    <w:pPr>
      <w:widowControl w:val="false"/>
      <w:suppressLineNumbers/>
      <w:spacing w:before="0" w:after="113"/>
    </w:pPr>
    <w:rPr/>
  </w:style>
  <w:style w:type="paragraph" w:styleId="TableHeading" w:customStyle="1">
    <w:name w:val="Table Heading"/>
    <w:basedOn w:val="TableContents"/>
    <w:qFormat/>
    <w:pPr/>
    <w:rPr>
      <w:b/>
      <w:bCs/>
    </w:rPr>
  </w:style>
  <w:style w:type="paragraph" w:styleId="Header">
    <w:name w:val="header"/>
    <w:basedOn w:val="HeaderandFooter"/>
    <w:pPr/>
    <w:rPr>
      <w:smallCaps/>
    </w:rPr>
  </w:style>
  <w:style w:type="paragraph" w:styleId="CommentText">
    <w:name w:val="annotation text"/>
    <w:basedOn w:val="Normal"/>
    <w:link w:val="CommentTextChar"/>
    <w:uiPriority w:val="99"/>
    <w:unhideWhenUsed/>
    <w:rsid w:val="00bf1f32"/>
    <w:pPr/>
    <w:rPr>
      <w:rFonts w:cs="Mangal"/>
      <w:sz w:val="20"/>
      <w:szCs w:val="18"/>
    </w:rPr>
  </w:style>
  <w:style w:type="paragraph" w:styleId="annotationsubject">
    <w:name w:val="annotation subject"/>
    <w:basedOn w:val="CommentText"/>
    <w:next w:val="CommentText"/>
    <w:link w:val="CommentSubjectChar"/>
    <w:uiPriority w:val="99"/>
    <w:semiHidden/>
    <w:unhideWhenUsed/>
    <w:qFormat/>
    <w:rsid w:val="00bf1f32"/>
    <w:pPr/>
    <w:rPr>
      <w:b/>
      <w:bCs/>
    </w:rPr>
  </w:style>
  <w:style w:type="paragraph" w:styleId="Revision">
    <w:name w:val="Revision"/>
    <w:uiPriority w:val="99"/>
    <w:semiHidden/>
    <w:qFormat/>
    <w:rsid w:val="00e01ccb"/>
    <w:pPr>
      <w:widowControl/>
      <w:suppressAutoHyphens w:val="false"/>
      <w:bidi w:val="0"/>
      <w:spacing w:before="0" w:after="0"/>
      <w:jc w:val="start"/>
    </w:pPr>
    <w:rPr>
      <w:rFonts w:ascii="Baskerville" w:hAnsi="Baskerville" w:eastAsia="Songti SC" w:cs="Mangal"/>
      <w:color w:val="auto"/>
      <w:kern w:val="2"/>
      <w:sz w:val="24"/>
      <w:szCs w:val="21"/>
      <w:lang w:val="en-GB"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inotoyblog.com/" TargetMode="External"/><Relationship Id="rId13" Type="http://schemas.openxmlformats.org/officeDocument/2006/relationships/hyperlink" Target="https://github.com/miketaylor/palaeo-superbaro"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464</TotalTime>
  <Application>LibreOffice/26.2.0.3$MacOSX_AARCH64 LibreOffice_project/afbbd0df0edb6d40b450b0337ac646b0913a760c</Application>
  <AppVersion>15.0000</AppVersion>
  <Pages>36</Pages>
  <Words>17490</Words>
  <Characters>92295</Characters>
  <CharactersWithSpaces>109312</CharactersWithSpaces>
  <Paragraphs>391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2026-07-30T15:50:00Z</dcterms:created>
  <dc:creator>Mike Taylor</dc:creator>
  <dc:description/>
  <dc:language>en-GB</dc:language>
  <cp:lastModifiedBy>Mike Taylor</cp:lastModifiedBy>
  <dcterms:modified xsi:type="dcterms:W3CDTF">2026-08-19T20:50:46Z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