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tooltip="Introduction">
            <w:r>
              <w:rPr>
                <w:rStyle w:val="IndexLink"/>
              </w:rPr>
              <w:t>Introduction</w:t>
              <w:tab/>
              <w:t>2</w:t>
            </w:r>
          </w:hyperlink>
        </w:p>
        <w:p>
          <w:pPr>
            <w:pStyle w:val="TOC2"/>
            <w:tabs>
              <w:tab w:val="clear" w:pos="9355"/>
              <w:tab w:val="right" w:pos="9637" w:leader="dot"/>
            </w:tabs>
            <w:rPr/>
          </w:pPr>
          <w:hyperlink w:anchor="__RefHeading___Toc3323_2187837281" w:tooltip="Anatomical nomenclature">
            <w:r>
              <w:rPr>
                <w:rStyle w:val="IndexLink"/>
              </w:rPr>
              <w:t>Anatomical nomenclature</w:t>
              <w:tab/>
              <w:t>3</w:t>
            </w:r>
          </w:hyperlink>
        </w:p>
        <w:p>
          <w:pPr>
            <w:pStyle w:val="TOC2"/>
            <w:tabs>
              <w:tab w:val="clear" w:pos="9355"/>
              <w:tab w:val="right" w:pos="9637" w:leader="dot"/>
            </w:tabs>
            <w:rPr/>
          </w:pPr>
          <w:hyperlink w:anchor="__RefHeading___Toc5349_68767826" w:tooltip="Institutional abbreviations">
            <w:r>
              <w:rPr>
                <w:rStyle w:val="IndexLink"/>
              </w:rPr>
              <w:t>Institutional abbreviations</w:t>
              <w:tab/>
              <w:t>3</w:t>
            </w:r>
          </w:hyperlink>
        </w:p>
        <w:p>
          <w:pPr>
            <w:pStyle w:val="TOC1"/>
            <w:tabs>
              <w:tab w:val="clear" w:pos="9638"/>
              <w:tab w:val="right" w:pos="9637" w:leader="dot"/>
            </w:tabs>
            <w:rPr/>
          </w:pPr>
          <w:hyperlink w:anchor="__RefHeading___Toc4316_68767826" w:tooltip="Historical background">
            <w:r>
              <w:rPr>
                <w:rStyle w:val="IndexLink"/>
              </w:rPr>
              <w:t>Historical background</w:t>
              <w:tab/>
              <w:t>3</w:t>
            </w:r>
          </w:hyperlink>
        </w:p>
        <w:p>
          <w:pPr>
            <w:pStyle w:val="TOC2"/>
            <w:tabs>
              <w:tab w:val="clear" w:pos="9355"/>
              <w:tab w:val="right" w:pos="9637" w:leader="dot"/>
            </w:tabs>
            <w:rPr/>
          </w:pPr>
          <w:hyperlink w:anchor="__RefHeading___Toc12350_68767826" w:tooltip="Early discoveries of Barosaurus">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tooltip="The AMNH specimen of Barosaurus">
            <w:r>
              <w:rPr>
                <w:rStyle w:val="IndexLink"/>
              </w:rPr>
              <w:t xml:space="preserve">The AMNH specimen of </w:t>
            </w:r>
            <w:r>
              <w:rPr>
                <w:rStyle w:val="IndexLink"/>
                <w:i/>
                <w:iCs/>
              </w:rPr>
              <w:t>Barosaurus</w:t>
            </w:r>
            <w:r>
              <w:rPr>
                <w:rStyle w:val="IndexLink"/>
              </w:rPr>
              <w:tab/>
              <w:t>4</w:t>
            </w:r>
          </w:hyperlink>
        </w:p>
        <w:p>
          <w:pPr>
            <w:pStyle w:val="TOC3"/>
            <w:tabs>
              <w:tab w:val="clear" w:pos="9072"/>
              <w:tab w:val="right" w:pos="9637" w:leader="dot"/>
            </w:tabs>
            <w:rPr/>
          </w:pPr>
          <w:hyperlink w:anchor="__RefHeading___Toc25848_1820571732" w:tooltip="The Carnegie Quarry at Dinosaur National Monument">
            <w:r>
              <w:rPr>
                <w:rStyle w:val="IndexLink"/>
              </w:rPr>
              <w:t>The Carnegie Quarry at Dinosaur National Monument</w:t>
              <w:tab/>
              <w:t>4</w:t>
            </w:r>
          </w:hyperlink>
        </w:p>
        <w:p>
          <w:pPr>
            <w:pStyle w:val="TOC3"/>
            <w:tabs>
              <w:tab w:val="clear" w:pos="9072"/>
              <w:tab w:val="right" w:pos="9637" w:leader="dot"/>
            </w:tabs>
            <w:rPr/>
          </w:pPr>
          <w:hyperlink w:anchor="__RefHeading___Toc25850_1820571732" w:tooltip="USNM work at Dinosaur National Monument">
            <w:r>
              <w:rPr>
                <w:rStyle w:val="IndexLink"/>
              </w:rPr>
              <w:t>USNM work at Dinosaur National Monument</w:t>
              <w:tab/>
              <w:t>5</w:t>
            </w:r>
          </w:hyperlink>
        </w:p>
        <w:p>
          <w:pPr>
            <w:pStyle w:val="TOC3"/>
            <w:tabs>
              <w:tab w:val="clear" w:pos="9072"/>
              <w:tab w:val="right" w:pos="9637" w:leader="dot"/>
            </w:tabs>
            <w:rPr/>
          </w:pPr>
          <w:hyperlink w:anchor="__RefHeading___Toc25852_1820571732" w:tooltip="The skeleton reunited">
            <w:r>
              <w:rPr>
                <w:rStyle w:val="IndexLink"/>
              </w:rPr>
              <w:t>The skeleton reunited</w:t>
              <w:tab/>
              <w:t>6</w:t>
            </w:r>
          </w:hyperlink>
        </w:p>
        <w:p>
          <w:pPr>
            <w:pStyle w:val="TOC1"/>
            <w:tabs>
              <w:tab w:val="clear" w:pos="9638"/>
              <w:tab w:val="right" w:pos="9637" w:leader="dot"/>
            </w:tabs>
            <w:rPr/>
          </w:pPr>
          <w:hyperlink w:anchor="__RefHeading___Toc5351_68767826" w:tooltip="The AMNH mounted Barosaurus">
            <w:r>
              <w:rPr>
                <w:rStyle w:val="IndexLink"/>
              </w:rPr>
              <w:t xml:space="preserve">The AMNH mounted </w:t>
            </w:r>
            <w:r>
              <w:rPr>
                <w:rStyle w:val="IndexLink"/>
                <w:i/>
                <w:iCs/>
              </w:rPr>
              <w:t>Barosaurus</w:t>
            </w:r>
            <w:r>
              <w:rPr>
                <w:rStyle w:val="IndexLink"/>
              </w:rPr>
              <w:tab/>
              <w:t>7</w:t>
            </w:r>
          </w:hyperlink>
        </w:p>
        <w:p>
          <w:pPr>
            <w:pStyle w:val="TOC2"/>
            <w:tabs>
              <w:tab w:val="clear" w:pos="9355"/>
              <w:tab w:val="right" w:pos="9637" w:leader="dot"/>
            </w:tabs>
            <w:rPr/>
          </w:pPr>
          <w:hyperlink w:anchor="__RefHeading___Toc5354_68767826" w:tooltip="The conception of the mount">
            <w:r>
              <w:rPr>
                <w:rStyle w:val="IndexLink"/>
              </w:rPr>
              <w:t>The conception of the mount</w:t>
              <w:tab/>
              <w:t>7</w:t>
            </w:r>
          </w:hyperlink>
        </w:p>
        <w:p>
          <w:pPr>
            <w:pStyle w:val="TOC2"/>
            <w:tabs>
              <w:tab w:val="clear" w:pos="9355"/>
              <w:tab w:val="right" w:pos="9637" w:leader="dot"/>
            </w:tabs>
            <w:rPr/>
          </w:pPr>
          <w:hyperlink w:anchor="__RefHeading___Toc1099_1709072779" w:tooltip="The purpose of the mount">
            <w:r>
              <w:rPr>
                <w:rStyle w:val="IndexLink"/>
                <w:i w:val="false"/>
                <w:iCs w:val="false"/>
              </w:rPr>
              <w:t>The purpose of the mount</w:t>
            </w:r>
            <w:r>
              <w:rPr>
                <w:rStyle w:val="IndexLink"/>
              </w:rPr>
              <w:tab/>
              <w:t>9</w:t>
            </w:r>
          </w:hyperlink>
        </w:p>
        <w:p>
          <w:pPr>
            <w:pStyle w:val="TOC2"/>
            <w:tabs>
              <w:tab w:val="clear" w:pos="9355"/>
              <w:tab w:val="right" w:pos="9637" w:leader="dot"/>
            </w:tabs>
            <w:rPr/>
          </w:pPr>
          <w:hyperlink w:anchor="__RefHeading___Toc18297_68767826" w:tooltip="The creation of the mount">
            <w:r>
              <w:rPr>
                <w:rStyle w:val="IndexLink"/>
              </w:rPr>
              <w:t>The creation of the mount</w:t>
              <w:tab/>
              <w:t>9</w:t>
            </w:r>
          </w:hyperlink>
        </w:p>
        <w:p>
          <w:pPr>
            <w:pStyle w:val="TOC2"/>
            <w:tabs>
              <w:tab w:val="clear" w:pos="9355"/>
              <w:tab w:val="right" w:pos="9637" w:leader="dot"/>
            </w:tabs>
            <w:rPr/>
          </w:pPr>
          <w:hyperlink w:anchor="__RefHeading___Toc5632_2187837281" w:tooltip="Photography of the mount">
            <w:r>
              <w:rPr>
                <w:rStyle w:val="IndexLink"/>
              </w:rPr>
              <w:t>Photography of the mount</w:t>
              <w:tab/>
              <w:t>12</w:t>
            </w:r>
          </w:hyperlink>
        </w:p>
        <w:p>
          <w:pPr>
            <w:pStyle w:val="TOC2"/>
            <w:tabs>
              <w:tab w:val="clear" w:pos="9355"/>
              <w:tab w:val="right" w:pos="9637" w:leader="dot"/>
            </w:tabs>
            <w:rPr/>
          </w:pPr>
          <w:hyperlink w:anchor="__RefHeading___Toc5356_68767826" w:tooltip="The composition of the mount">
            <w:r>
              <w:rPr>
                <w:rStyle w:val="IndexLink"/>
              </w:rPr>
              <w:t>The composition of the mount</w:t>
              <w:tab/>
              <w:t>13</w:t>
            </w:r>
          </w:hyperlink>
        </w:p>
        <w:p>
          <w:pPr>
            <w:pStyle w:val="TOC3"/>
            <w:tabs>
              <w:tab w:val="clear" w:pos="9072"/>
              <w:tab w:val="right" w:pos="9637" w:leader="dot"/>
            </w:tabs>
            <w:rPr/>
          </w:pPr>
          <w:hyperlink w:anchor="__RefHeading___Toc16585_68767826" w:tooltip="Overview">
            <w:r>
              <w:rPr>
                <w:rStyle w:val="IndexLink"/>
              </w:rPr>
              <w:t>Overview</w:t>
              <w:tab/>
              <w:t>13</w:t>
            </w:r>
          </w:hyperlink>
        </w:p>
        <w:p>
          <w:pPr>
            <w:pStyle w:val="TOC3"/>
            <w:tabs>
              <w:tab w:val="clear" w:pos="9072"/>
              <w:tab w:val="right" w:pos="9637" w:leader="dot"/>
            </w:tabs>
            <w:rPr/>
          </w:pPr>
          <w:hyperlink w:anchor="__RefHeading___Toc4995_537823704" w:tooltip="Barosaurus material in the mount">
            <w:r>
              <w:rPr>
                <w:rStyle w:val="IndexLink"/>
                <w:i/>
                <w:iCs/>
              </w:rPr>
              <w:t>Barosaurus</w:t>
            </w:r>
            <w:r>
              <w:rPr>
                <w:rStyle w:val="IndexLink"/>
              </w:rPr>
              <w:t xml:space="preserve"> material in the mount</w:t>
              <w:tab/>
              <w:t>13</w:t>
            </w:r>
          </w:hyperlink>
        </w:p>
        <w:p>
          <w:pPr>
            <w:pStyle w:val="TOC3"/>
            <w:tabs>
              <w:tab w:val="clear" w:pos="9072"/>
              <w:tab w:val="right" w:pos="9637" w:leader="dot"/>
            </w:tabs>
            <w:rPr/>
          </w:pPr>
          <w:hyperlink w:anchor="__RefHeading___Toc25854_1820571732" w:tooltip="Non-Barosaurus material in the mount">
            <w:r>
              <w:rPr>
                <w:rStyle w:val="IndexLink"/>
              </w:rPr>
              <w:t>Non-Barosaurus material in the mount</w:t>
              <w:tab/>
              <w:t>15</w:t>
            </w:r>
          </w:hyperlink>
        </w:p>
        <w:p>
          <w:pPr>
            <w:pStyle w:val="TOC3"/>
            <w:tabs>
              <w:tab w:val="clear" w:pos="9072"/>
              <w:tab w:val="right" w:pos="9637" w:leader="dot"/>
            </w:tabs>
            <w:rPr/>
          </w:pPr>
          <w:hyperlink w:anchor="__RefHeading___Toc16587_68767826" w:tooltip="Skull">
            <w:r>
              <w:rPr>
                <w:rStyle w:val="IndexLink"/>
              </w:rPr>
              <w:t>Skull</w:t>
              <w:tab/>
              <w:t>15</w:t>
            </w:r>
          </w:hyperlink>
        </w:p>
        <w:p>
          <w:pPr>
            <w:pStyle w:val="TOC3"/>
            <w:tabs>
              <w:tab w:val="clear" w:pos="9072"/>
              <w:tab w:val="right" w:pos="9637" w:leader="dot"/>
            </w:tabs>
            <w:rPr/>
          </w:pPr>
          <w:hyperlink w:anchor="__RefHeading___Toc16589_68767826" w:tooltip="Neck">
            <w:r>
              <w:rPr>
                <w:rStyle w:val="IndexLink"/>
              </w:rPr>
              <w:t>Neck</w:t>
              <w:tab/>
              <w:t>15</w:t>
            </w:r>
          </w:hyperlink>
        </w:p>
        <w:p>
          <w:pPr>
            <w:pStyle w:val="TOC3"/>
            <w:tabs>
              <w:tab w:val="clear" w:pos="9072"/>
              <w:tab w:val="right" w:pos="9637" w:leader="dot"/>
            </w:tabs>
            <w:rPr/>
          </w:pPr>
          <w:hyperlink w:anchor="__RefHeading___Toc2466_2187837281" w:tooltip="Torso, sacrum and tail">
            <w:r>
              <w:rPr>
                <w:rStyle w:val="IndexLink"/>
              </w:rPr>
              <w:t>Torso, sacrum and tail</w:t>
              <w:tab/>
              <w:t>16</w:t>
            </w:r>
          </w:hyperlink>
        </w:p>
        <w:p>
          <w:pPr>
            <w:pStyle w:val="TOC3"/>
            <w:tabs>
              <w:tab w:val="clear" w:pos="9072"/>
              <w:tab w:val="right" w:pos="9637" w:leader="dot"/>
            </w:tabs>
            <w:rPr/>
          </w:pPr>
          <w:hyperlink w:anchor="__RefHeading___Toc2470_2187837281" w:tooltip="Forelimbs and girdles">
            <w:r>
              <w:rPr>
                <w:rStyle w:val="IndexLink"/>
              </w:rPr>
              <w:t>Forelimbs and girdles</w:t>
              <w:tab/>
              <w:t>17</w:t>
            </w:r>
          </w:hyperlink>
        </w:p>
        <w:p>
          <w:pPr>
            <w:pStyle w:val="TOC3"/>
            <w:tabs>
              <w:tab w:val="clear" w:pos="9072"/>
              <w:tab w:val="right" w:pos="9637" w:leader="dot"/>
            </w:tabs>
            <w:rPr/>
          </w:pPr>
          <w:hyperlink w:anchor="__RefHeading___Toc25856_1820571732" w:tooltip="Hindlimbs and girdles">
            <w:r>
              <w:rPr>
                <w:rStyle w:val="IndexLink"/>
              </w:rPr>
              <w:t>Hindlimbs and girdles</w:t>
              <w:tab/>
              <w:t>17</w:t>
            </w:r>
          </w:hyperlink>
        </w:p>
        <w:p>
          <w:pPr>
            <w:pStyle w:val="TOC1"/>
            <w:tabs>
              <w:tab w:val="clear" w:pos="9638"/>
              <w:tab w:val="right" w:pos="9637" w:leader="dot"/>
            </w:tabs>
            <w:rPr/>
          </w:pPr>
          <w:hyperlink w:anchor="__RefHeading___Toc3401_68767826" w:tooltip="Discussion">
            <w:r>
              <w:rPr>
                <w:rStyle w:val="IndexLink"/>
              </w:rPr>
              <w:t>Discussion</w:t>
              <w:tab/>
              <w:t>17</w:t>
            </w:r>
          </w:hyperlink>
        </w:p>
        <w:p>
          <w:pPr>
            <w:pStyle w:val="TOC2"/>
            <w:tabs>
              <w:tab w:val="clear" w:pos="9355"/>
              <w:tab w:val="right" w:pos="9637" w:leader="dot"/>
            </w:tabs>
            <w:rPr/>
          </w:pPr>
          <w:hyperlink w:anchor="__RefHeading___Toc2476_2187837281" w:tooltip="Rearing pose">
            <w:r>
              <w:rPr>
                <w:rStyle w:val="IndexLink"/>
              </w:rPr>
              <w:t>Rearing pose</w:t>
              <w:tab/>
              <w:t>17</w:t>
            </w:r>
          </w:hyperlink>
        </w:p>
        <w:p>
          <w:pPr>
            <w:pStyle w:val="TOC2"/>
            <w:tabs>
              <w:tab w:val="clear" w:pos="9355"/>
              <w:tab w:val="right" w:pos="9637" w:leader="dot"/>
            </w:tabs>
            <w:rPr/>
          </w:pPr>
          <w:hyperlink w:anchor="__RefHeading___Toc3786_1986291683" w:tooltip="A short history of rearing sauropods">
            <w:r>
              <w:rPr>
                <w:rStyle w:val="IndexLink"/>
              </w:rPr>
              <w:t>A short history of rearing sauropods</w:t>
              <w:tab/>
              <w:t>19</w:t>
            </w:r>
          </w:hyperlink>
        </w:p>
        <w:p>
          <w:pPr>
            <w:pStyle w:val="TOC2"/>
            <w:tabs>
              <w:tab w:val="clear" w:pos="9355"/>
              <w:tab w:val="right" w:pos="9637" w:leader="dot"/>
            </w:tabs>
            <w:rPr/>
          </w:pPr>
          <w:hyperlink w:anchor="__RefHeading___Toc11689_675290491" w:tooltip="Cultural impact">
            <w:r>
              <w:rPr>
                <w:rStyle w:val="IndexLink"/>
              </w:rPr>
              <w:t>Cultural impact</w:t>
              <w:tab/>
              <w:t>20</w:t>
            </w:r>
          </w:hyperlink>
        </w:p>
        <w:p>
          <w:pPr>
            <w:pStyle w:val="TOC2"/>
            <w:tabs>
              <w:tab w:val="clear" w:pos="9355"/>
              <w:tab w:val="right" w:pos="9637" w:leader="dot"/>
            </w:tabs>
            <w:rPr/>
          </w:pPr>
          <w:hyperlink w:anchor="__RefHeading___Toc21934_68767826" w:tooltip="Size of the AMNH 6341 animal">
            <w:r>
              <w:rPr>
                <w:rStyle w:val="IndexLink"/>
              </w:rPr>
              <w:t>Size of the AMNH 6341 animal</w:t>
              <w:tab/>
              <w:t>21</w:t>
            </w:r>
          </w:hyperlink>
        </w:p>
        <w:p>
          <w:pPr>
            <w:pStyle w:val="TOC1"/>
            <w:tabs>
              <w:tab w:val="clear" w:pos="9638"/>
              <w:tab w:val="right" w:pos="9637" w:leader="dot"/>
            </w:tabs>
            <w:rPr/>
          </w:pPr>
          <w:hyperlink w:anchor="__RefHeading___Toc3403_68767826" w:tooltip="Acknowledgements">
            <w:r>
              <w:rPr>
                <w:rStyle w:val="IndexLink"/>
              </w:rPr>
              <w:t>Acknowledgements</w:t>
              <w:tab/>
              <w:t>22</w:t>
            </w:r>
          </w:hyperlink>
        </w:p>
        <w:p>
          <w:pPr>
            <w:pStyle w:val="TOC1"/>
            <w:tabs>
              <w:tab w:val="clear" w:pos="9638"/>
              <w:tab w:val="right" w:pos="9637" w:leader="dot"/>
            </w:tabs>
            <w:rPr/>
          </w:pPr>
          <w:hyperlink w:anchor="__RefHeading___Toc3405_68767826" w:tooltip="References">
            <w:r>
              <w:rPr>
                <w:rStyle w:val="IndexLink"/>
              </w:rPr>
              <w:t>References</w:t>
              <w:tab/>
              <w:t>23</w:t>
            </w:r>
          </w:hyperlink>
        </w:p>
        <w:p>
          <w:pPr>
            <w:pStyle w:val="TOC1"/>
            <w:tabs>
              <w:tab w:val="clear" w:pos="9638"/>
              <w:tab w:val="right" w:pos="9637" w:leader="dot"/>
            </w:tabs>
            <w:rPr/>
          </w:pPr>
          <w:hyperlink w:anchor="__RefHeading___Toc3407_68767826" w:tooltip="Figure Captions">
            <w:r>
              <w:rPr>
                <w:rStyle w:val="IndexLink"/>
              </w:rPr>
              <w:t>Figure Captions</w:t>
              <w:tab/>
              <w:t>29</w:t>
            </w:r>
          </w:hyperlink>
        </w:p>
        <w:p>
          <w:pPr>
            <w:pStyle w:val="TOC1"/>
            <w:tabs>
              <w:tab w:val="clear" w:pos="9638"/>
              <w:tab w:val="right" w:pos="9637" w:leader="dot"/>
            </w:tabs>
            <w:rPr/>
          </w:pPr>
          <w:hyperlink w:anchor="__RefHeading___Toc25858_1820571732" w:tooltip="Tables">
            <w:r>
              <w:rPr>
                <w:rStyle w:val="IndexLink"/>
              </w:rPr>
              <w:t>Tables</w:t>
              <w:tab/>
              <w:t>33</w:t>
            </w:r>
          </w:hyperlink>
        </w:p>
        <w:p>
          <w:pPr>
            <w:pStyle w:val="TOC2"/>
            <w:tabs>
              <w:tab w:val="clear" w:pos="9355"/>
              <w:tab w:val="right" w:pos="9637" w:leader="dot"/>
            </w:tabs>
            <w:rPr/>
          </w:pPr>
          <w:hyperlink w:anchor="__RefHeading___Toc25860_1820571732" w:tooltip="Table 1">
            <w:r>
              <w:rPr>
                <w:rStyle w:val="IndexLink"/>
              </w:rPr>
              <w:t>Table 1</w:t>
              <w:tab/>
              <w:t>33</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w:t>
      </w:r>
      <w:r>
        <w:rPr/>
        <w:t>1</w:t>
      </w:r>
      <w:r>
        <w:rPr/>
        <w:t>).</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3);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w:t>
      </w:r>
      <w:r>
        <w:rPr/>
        <w:t>5</w:t>
      </w:r>
      <w:r>
        <w:rPr/>
        <w:t>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8)</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 xml:space="preserve">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w:t>
      </w:r>
      <w:r>
        <w:rPr/>
        <w:t>and what few documents were recovered from AMNH archives.</w:t>
      </w:r>
    </w:p>
    <w:p>
      <w:pPr>
        <w:pStyle w:val="BodyText"/>
        <w:rPr/>
      </w:pPr>
      <w:r>
        <w:rPr/>
        <w:t xml:space="preserve">Early in the process, </w:t>
      </w:r>
      <w:r>
        <w:rPr/>
        <w:t xml:space="preserve">around March 1990, </w:t>
      </w:r>
      <w:r>
        <w:rPr/>
        <w:t xml:space="preserve">a prototype model at </w:t>
      </w:r>
      <w:r>
        <w:rPr/>
        <w:t xml:space="preserve">about </w:t>
      </w:r>
      <w:r>
        <w:rPr/>
        <w:t xml:space="preserve">1/16 full size was </w:t>
      </w:r>
      <w:r>
        <w:rPr/>
        <w:t>commissioned at a cost of $3,980 (Galiano 1990)</w:t>
      </w:r>
      <w:r>
        <w:rPr/>
        <w:t xml:space="preserve">, to allow the scene to be created and manipulated at a workable scale (Figure 9).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On 28 March 1990, an agreement was made between Lowell Dingus, acting for the AMNH, and Peter May and Andrew Leitch, acting for Research Casting International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w:t>
      </w:r>
      <w:r>
        <w:rPr/>
        <w:t>(equivalent to $472,000 in 2026 according to usinflationcalculator.com.)</w:t>
      </w:r>
      <w:r>
        <w:rPr/>
        <w:t xml:space="preserve"> </w:t>
      </w:r>
      <w:r>
        <w:rPr/>
        <w:t xml:space="preserve">This amount was </w:t>
      </w:r>
      <w:r>
        <w:rPr/>
        <w:t xml:space="preserve">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w:t>
      </w:r>
      <w:r>
        <w:rPr/>
        <w:t xml:space="preserve">and $4,748 for travel and transport. (Surprisingly, the small juvenile cost more than than adult!). </w:t>
      </w:r>
      <w:r>
        <w:rPr/>
        <w:t>Th</w:t>
      </w:r>
      <w:r>
        <w:rPr/>
        <w:t>e</w:t>
      </w:r>
      <w:r>
        <w:rPr/>
        <w:t xml:space="preserve"> agreement was signed by Dingus on 28 March, by May and Leitch on 30 March, and by AMNH director William J,. Moynihan on 3 April.</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w:t>
      </w:r>
      <w:r>
        <w:rPr/>
        <w:t>RCI</w:t>
      </w:r>
      <w:r>
        <w:rPr/>
        <w:t xml:space="preserve">,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w:t>
      </w:r>
      <w:r>
        <w:rPr/>
        <w:t xml:space="preserve">rocket-plane </w:t>
      </w:r>
      <w:r>
        <w:rPr/>
        <w:t xml:space="preserve">test pilot Rudy Zimmermann. </w:t>
      </w:r>
      <w:r>
        <w:rPr/>
        <w:t>May</w:t>
      </w:r>
      <w:r>
        <w:rPr/>
        <w:t xml:space="preserv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 xml:space="preserve">In November 1991, the work in Toronto was complete, and Blakelock Moving </w:t>
      </w:r>
      <w:r>
        <w:rPr/>
        <w:t xml:space="preserve">were contracted to ship the </w:t>
      </w:r>
      <w:r>
        <w:rPr/>
        <w:t xml:space="preserve">completed exhibit to New York </w:t>
      </w:r>
      <w:r>
        <w:rPr/>
        <w:t xml:space="preserve">on 7 November (Clark 1991), </w:t>
      </w:r>
      <w:r>
        <w:rPr/>
        <w:t xml:space="preserve">in sections for mounting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w:t>
      </w:r>
      <w:r>
        <w:rPr/>
        <w:t>1</w:t>
      </w:r>
      <w:r>
        <w:rPr/>
        <w:t xml:space="preserve">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w:t>
      </w:r>
      <w:r>
        <w:rPr/>
        <w:t>5</w:t>
      </w:r>
      <w:r>
        <w:rPr/>
        <w:t xml:space="preserve">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w:t>
      </w:r>
      <w:r>
        <w:rPr/>
        <w:t>16</w:t>
      </w:r>
      <w:r>
        <w:rPr/>
        <w:t xml:space="preserve">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w:t>
      </w:r>
      <w:r>
        <w:rPr/>
        <w:t>16</w:t>
      </w:r>
      <w:r>
        <w:rPr/>
        <w:t>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w:t>
      </w:r>
    </w:p>
    <w:p>
      <w:pPr>
        <w:pStyle w:val="BodyText"/>
        <w:rPr/>
      </w:pPr>
      <w:r>
        <w:rPr/>
        <w:t xml:space="preserve">To make matters more complicated, photographs show that the completed mount actually has 17 cervicals rather than 16 (e.g. Figure </w:t>
      </w:r>
      <w:r>
        <w:rPr/>
        <w:t>1</w:t>
      </w:r>
      <w:r>
        <w:rPr/>
        <w:t xml:space="preserve">;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altas and axis which were not in place at that time. The assembly process was complex. The neck section containing the head and C1–16 was welded to the torso leaving a stretch of bare armature. The two halves of the seventeenth vertebra (visible on the </w:t>
      </w:r>
      <w:r>
        <w:rPr/>
        <w:t>right</w:t>
      </w:r>
      <w:r>
        <w:rPr/>
        <w:t xml:space="preserve"> side of Figure 13) were then glued together around the armature and bridging the gap between the bones of the neck section and the torso. The special 17th vertebra can be seen in Figure </w:t>
      </w:r>
      <w:r>
        <w:rPr/>
        <w:t>11</w:t>
      </w:r>
      <w:r>
        <w:rPr/>
        <w:t xml:space="preserve">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than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have 17 cervicals,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w:t>
      </w:r>
      <w:r>
        <w:rPr/>
        <w:t>in Figure 15</w:t>
      </w:r>
      <w:r>
        <w:rPr/>
        <w:t xml:space="preserve">, to Gregory S. Paul for permission to reproduce his artwork </w:t>
      </w:r>
      <w:r>
        <w:rPr>
          <w:i/>
          <w:iCs/>
        </w:rPr>
        <w:t>Ambush at Como Creek</w:t>
      </w:r>
      <w:r>
        <w:rPr/>
        <w:t xml:space="preserve"> </w:t>
      </w:r>
      <w:r>
        <w:rPr/>
        <w:t>(Figure 7),</w:t>
      </w:r>
      <w:r>
        <w:rPr/>
        <w:t xml:space="preserve"> to John Gurche for permission to reproduce his life restoration of the rearing </w:t>
      </w:r>
      <w:r>
        <w:rPr>
          <w:i/>
          <w:iCs/>
        </w:rPr>
        <w:t>Barosaurus</w:t>
      </w:r>
      <w:r>
        <w:rPr/>
        <w:t xml:space="preserve"> </w:t>
      </w:r>
      <w:r>
        <w:rPr/>
        <w:t>(Figure 18),</w:t>
      </w:r>
      <w:r>
        <w:rPr/>
        <w:t xml:space="preserve">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6) and the prototype model (Figure 9),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 </w:t>
      </w:r>
      <w:r>
        <w:rPr/>
        <w:t>Matt Wedel (Western University of Health Sciences) helped with the interpretation and identification of some vertebrae.</w:t>
      </w:r>
    </w:p>
    <w:p>
      <w:pPr>
        <w:pStyle w:val="BodyText"/>
        <w:rPr/>
      </w:pPr>
      <w:r>
        <w:rPr/>
        <w:t xml:space="preserve">XXX Acknowledge archives people at AMNH and contact at USNM and everyone in directory </w:t>
      </w:r>
      <w:r>
        <w:rPr/>
        <w:t>and anyone else who provided material for illustrations.</w:t>
      </w:r>
      <w:r>
        <w:br w:type="page"/>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Galiano, Henry. 1990. Letter to James “Chip” Jeffries, Ralph Appelbaum Associates. 22 March 1990.</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 xml:space="preserve">Figure </w:t>
      </w:r>
      <w:r>
        <w:rPr>
          <w:b/>
          <w:bCs/>
        </w:rPr>
        <w:t>1</w:t>
      </w:r>
      <w:r>
        <w:rPr>
          <w:b/>
          <w:bCs/>
        </w:rPr>
        <w:t>.</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bidi w:val="0"/>
        <w:spacing w:before="0" w:after="142"/>
        <w:jc w:val="left"/>
        <w:rPr>
          <w:b w:val="false"/>
          <w:bCs w:val="false"/>
          <w:i w:val="false"/>
          <w:iCs w:val="false"/>
        </w:rPr>
      </w:pPr>
      <w:r>
        <w:rPr>
          <w:b/>
          <w:bCs/>
          <w:i w:val="false"/>
          <w:iCs w:val="false"/>
        </w:rPr>
        <w:t>Figure 2.</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3).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pPr>
      <w:r>
        <w:rPr>
          <w:b/>
          <w:bCs/>
        </w:rPr>
        <w:t>Figure 3.</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4.</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spacing w:before="0" w:after="142"/>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spacing w:before="0" w:after="142"/>
        <w:rPr/>
      </w:pPr>
      <w:r>
        <w:rPr>
          <w:b/>
          <w:bCs/>
        </w:rPr>
        <w:t>Figure 7.</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bidi w:val="0"/>
        <w:spacing w:before="0" w:after="142"/>
        <w:jc w:val="left"/>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9.</w:t>
      </w:r>
      <w:r>
        <w:rPr/>
        <w:t xml:space="preserve"> Prototype model of the proposed display. This model is three feet (91 cm) tall from the bottom of the base to the top of the rearing </w:t>
      </w:r>
      <w:r>
        <w:rPr>
          <w:i/>
          <w:iCs/>
        </w:rPr>
        <w:t>Barosaurus</w:t>
      </w:r>
      <w:r>
        <w:rPr/>
        <w:t xml:space="preserve">, and the base is 44 inches (112 cm) long </w:t>
      </w:r>
      <w:r>
        <w:rPr/>
        <w:t>(Mick Ellison, pers. comm, 2022</w:t>
      </w:r>
      <w:r>
        <w:rPr/>
        <w:t>.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w:t>
      </w:r>
    </w:p>
    <w:p>
      <w:pPr>
        <w:pStyle w:val="FigureCaption"/>
        <w:bidi w:val="0"/>
        <w:spacing w:before="0" w:after="142"/>
        <w:jc w:val="left"/>
        <w:rPr/>
      </w:pPr>
      <w:r>
        <w:rPr>
          <w:b/>
          <w:bCs/>
        </w:rPr>
        <w:t>Figure 13.</w:t>
      </w:r>
      <w:r>
        <w:rPr>
          <w:b w:val="false"/>
          <w:bCs w:val="false"/>
        </w:rPr>
        <w:t xml:space="preserve"> Elements of the cast </w:t>
      </w:r>
      <w:r>
        <w:rPr>
          <w:b w:val="false"/>
          <w:bCs w:val="false"/>
          <w:i/>
          <w:iCs/>
        </w:rPr>
        <w:t>Barosaurus</w:t>
      </w:r>
      <w:r>
        <w:rPr>
          <w:b w:val="false"/>
          <w:bCs w:val="false"/>
        </w:rPr>
        <w:t xml:space="preserve"> skeleton on the floor of the Roosevelt Memorial Hall of the American Museum of Natural History before mounting. Centrally, the skull and cervical vertebrae </w:t>
      </w:r>
      <w:r>
        <w:rPr>
          <w:b w:val="false"/>
          <w:bCs w:val="false"/>
        </w:rPr>
        <w:t>3</w:t>
      </w:r>
      <w:r>
        <w:rPr>
          <w:b w:val="false"/>
          <w:bCs w:val="false"/>
        </w:rPr>
        <w:t>–1</w:t>
      </w:r>
      <w:r>
        <w:rPr>
          <w:b w:val="false"/>
          <w:bCs w:val="false"/>
        </w:rPr>
        <w:t>6</w:t>
      </w:r>
      <w:r>
        <w:rPr>
          <w:b w:val="false"/>
          <w:bCs w:val="false"/>
        </w:rPr>
        <w:t xml:space="preserve">, all articulated in a single piece, </w:t>
      </w:r>
      <w:r>
        <w:rPr>
          <w:b w:val="false"/>
          <w:bCs w:val="false"/>
        </w:rPr>
        <w:t>with the atlas an axis still to be fitted</w:t>
      </w:r>
      <w:r>
        <w:rPr>
          <w:b w:val="false"/>
          <w:bCs w:val="false"/>
        </w:rPr>
        <w:t xml:space="preserve">. By the wall to the </w:t>
      </w:r>
      <w:r>
        <w:rPr>
          <w:b w:val="false"/>
          <w:bCs w:val="false"/>
        </w:rPr>
        <w:t>right</w:t>
      </w:r>
      <w:r>
        <w:rPr>
          <w:b w:val="false"/>
          <w:bCs w:val="false"/>
        </w:rPr>
        <w:t xml:space="preserve"> are </w:t>
      </w:r>
      <w:r>
        <w:rPr>
          <w:b w:val="false"/>
          <w:bCs w:val="false"/>
        </w:rPr>
        <w:t xml:space="preserve">the </w:t>
      </w:r>
      <w:r>
        <w:rPr>
          <w:b w:val="false"/>
          <w:bCs w:val="false"/>
        </w:rPr>
        <w:t xml:space="preserve">two </w:t>
      </w:r>
      <w:r>
        <w:rPr>
          <w:b w:val="false"/>
          <w:bCs w:val="false"/>
        </w:rPr>
        <w:t xml:space="preserve">halves of the 17th cervical </w:t>
      </w:r>
      <w:r>
        <w:rPr>
          <w:b w:val="false"/>
          <w:bCs w:val="false"/>
        </w:rPr>
        <w:t xml:space="preserve">vertebrae: </w:t>
      </w:r>
      <w:r>
        <w:rPr>
          <w:b w:val="false"/>
          <w:bCs w:val="false"/>
        </w:rPr>
        <w:t>the left half, highlighted in red, with anterior towards the camera; and the right half, highlighted in blue, with anterior facing away.</w:t>
      </w:r>
      <w:r>
        <w:rPr>
          <w:b w:val="false"/>
          <w:bCs w:val="false"/>
        </w:rPr>
        <w:t xml:space="preserve"> Between these and the neck is the distal (whiplash) portion of a tail: possibly that of the main </w:t>
      </w:r>
      <w:r>
        <w:rPr>
          <w:b w:val="false"/>
          <w:bCs w:val="false"/>
          <w:i/>
          <w:iCs/>
        </w:rPr>
        <w:t>Barosaurus</w:t>
      </w:r>
      <w:r>
        <w:rPr>
          <w:b w:val="false"/>
          <w:bCs w:val="false"/>
        </w:rPr>
        <w:t xml:space="preserve">, but more likely that of the juvenile based on the small size of the most proximal caudals. Between this and the neck is section that is probably the proximal part of the </w:t>
      </w:r>
      <w:r>
        <w:rPr>
          <w:b w:val="false"/>
          <w:bCs w:val="false"/>
          <w:i/>
          <w:iCs/>
        </w:rPr>
        <w:t>Allosaurus</w:t>
      </w:r>
      <w:r>
        <w:rPr>
          <w:b w:val="false"/>
          <w:bCs w:val="false"/>
        </w:rPr>
        <w:t xml:space="preserve"> tail. Finally, intruding on the image from the </w:t>
      </w:r>
      <w:r>
        <w:rPr>
          <w:b w:val="false"/>
          <w:bCs w:val="false"/>
        </w:rPr>
        <w:t>left</w:t>
      </w:r>
      <w:r>
        <w:rPr>
          <w:b w:val="false"/>
          <w:bCs w:val="false"/>
        </w:rPr>
        <w:t xml:space="preserve"> is the distal part (whiplash) portion of the other </w:t>
      </w:r>
      <w:r>
        <w:rPr>
          <w:b w:val="false"/>
          <w:bCs w:val="false"/>
          <w:i/>
          <w:iCs/>
        </w:rPr>
        <w:t>Barosaurus</w:t>
      </w:r>
      <w:r>
        <w:rPr>
          <w:b w:val="false"/>
          <w:bCs w:val="false"/>
        </w:rPr>
        <w:t xml:space="preserve"> tail, probably that of the adult.</w:t>
      </w:r>
    </w:p>
    <w:p>
      <w:pPr>
        <w:pStyle w:val="FigureCaption"/>
        <w:bidi w:val="0"/>
        <w:spacing w:before="0" w:after="142"/>
        <w:jc w:val="left"/>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i w:val="false"/>
          <w:iCs w:val="false"/>
        </w:rPr>
        <w:t>Figure 17.</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w:t>
      </w:r>
    </w:p>
    <w:p>
      <w:pPr>
        <w:pStyle w:val="FigureCaption"/>
        <w:spacing w:before="0" w:after="142"/>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bidi w:val="0"/>
        <w:spacing w:before="0" w:after="142"/>
        <w:jc w:val="left"/>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25511</TotalTime>
  <Application>LibreOffice/26.2.0.3$MacOSX_AARCH64 LibreOffice_project/afbbd0df0edb6d40b450b0337ac646b0913a760c</Application>
  <AppVersion>15.0000</AppVersion>
  <Pages>35</Pages>
  <Words>16759</Words>
  <Characters>88139</Characters>
  <CharactersWithSpaces>104449</CharactersWithSpaces>
  <Paragraphs>388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2026-07-28T23:13:16Z</dcterms:modified>
  <cp:revision>597</cp:revision>
  <dc:subject/>
  <dc:title/>
</cp:coreProperties>
</file>

<file path=docProps/custom.xml><?xml version="1.0" encoding="utf-8"?>
<Properties xmlns="http://schemas.openxmlformats.org/officeDocument/2006/custom-properties" xmlns:vt="http://schemas.openxmlformats.org/officeDocument/2006/docPropsVTypes"/>
</file>