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header2.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t xml:space="preserve"> in the American Museum of Natural History</w:t>
      </w:r>
    </w:p>
    <w:p>
      <w:pPr>
        <w:pStyle w:val="Author"/>
        <w:rPr/>
      </w:pPr>
      <w:r>
        <w:rPr/>
      </w:r>
    </w:p>
    <w:p>
      <w:pPr>
        <w:pStyle w:val="Author"/>
        <w:rPr/>
      </w:pPr>
      <w:r>
        <w:rPr>
          <w:b/>
          <w:bCs/>
          <w:i w:val="false"/>
        </w:rPr>
        <w:t>Michael P. Taylor.</w:t>
      </w:r>
      <w:r>
        <w:rPr>
          <w:i w:val="false"/>
        </w:rPr>
        <w:t xml:space="preserve"> Department of Earth Sciences, University of Bristol, Bristol BS8 1RJ, UK. </w:t>
      </w:r>
      <w:hyperlink r:id="rId2">
        <w:r>
          <w:rPr>
            <w:rStyle w:val="Hyperlink"/>
            <w:i w:val="false"/>
          </w:rPr>
          <w:t>dino@miketaylor.org.uk</w:t>
        </w:r>
      </w:hyperlink>
      <w:r>
        <w:rPr>
          <w:i w:val="false"/>
        </w:rPr>
        <w:t xml:space="preserve"> (corresponding author)</w:t>
      </w:r>
    </w:p>
    <w:p>
      <w:pPr>
        <w:pStyle w:val="Author"/>
        <w:rPr/>
      </w:pPr>
      <w:r>
        <w:rPr>
          <w:b/>
          <w:bCs/>
          <w:i w:val="false"/>
        </w:rPr>
        <w:t>Peter May.</w:t>
      </w:r>
      <w:r>
        <w:rPr>
          <w:i w:val="false"/>
        </w:rPr>
        <w:t xml:space="preserve"> Research Casting International, 15 Dufferin Ave, Trenton, Ontario K8V 5C8, Canada. </w:t>
      </w:r>
      <w:hyperlink r:id="rId3">
        <w:r>
          <w:rPr>
            <w:rStyle w:val="Hyperlink"/>
            <w:i w:val="false"/>
          </w:rPr>
          <w:t>pmay@rescast.com</w:t>
        </w:r>
      </w:hyperlink>
    </w:p>
    <w:p>
      <w:pPr>
        <w:pStyle w:val="Author"/>
        <w:rPr/>
      </w:pPr>
      <w:r>
        <w:rPr>
          <w:b/>
          <w:bCs/>
          <w:i w:val="false"/>
        </w:rPr>
        <w:t>Lowell Dingus.</w:t>
      </w:r>
      <w:r>
        <w:rPr>
          <w:i w:val="false"/>
        </w:rPr>
        <w:t xml:space="preserve"> Division of Paleontology, American Museum of Natural History, New York, New York, USA. </w:t>
      </w:r>
      <w:hyperlink r:id="rId4">
        <w:r>
          <w:rPr>
            <w:rStyle w:val="Hyperlink"/>
            <w:i w:val="false"/>
          </w:rPr>
          <w:t>dinglowell@gmail.com</w:t>
        </w:r>
      </w:hyperlink>
    </w:p>
    <w:p>
      <w:pPr>
        <w:pStyle w:val="Author"/>
        <w:rPr/>
      </w:pPr>
      <w:r>
        <w:rPr>
          <w:b/>
          <w:bCs/>
          <w:i w:val="false"/>
        </w:rPr>
        <w:t>Eugene S. Gaffney.</w:t>
      </w:r>
      <w:r>
        <w:rPr>
          <w:i w:val="false"/>
        </w:rPr>
        <w:t xml:space="preserve"> </w:t>
      </w:r>
      <w:bookmarkStart w:id="0" w:name="__DdeLink__2703_3823776798"/>
      <w:r>
        <w:rPr>
          <w:i w:val="false"/>
        </w:rPr>
        <w:t xml:space="preserve">Division of Paleontology, American Museum of Natural History, New York, New York, USA. </w:t>
      </w:r>
      <w:hyperlink r:id="rId5">
        <w:r>
          <w:rPr>
            <w:rStyle w:val="Hyperlink"/>
            <w:i w:val="false"/>
          </w:rPr>
          <w:t>genegaffney373@comcast.net</w:t>
        </w:r>
      </w:hyperlink>
      <w:bookmarkEnd w:id="0"/>
    </w:p>
    <w:p>
      <w:pPr>
        <w:pStyle w:val="Author"/>
        <w:rPr>
          <w:i w:val="false"/>
          <w:iCs w:val="false"/>
        </w:rPr>
      </w:pPr>
      <w:r>
        <w:rPr>
          <w:b/>
          <w:bCs/>
          <w:i w:val="false"/>
          <w:iCs w:val="false"/>
        </w:rPr>
        <w:t>John S. McIntosh</w:t>
      </w:r>
      <w:r>
        <w:rPr>
          <w:i w:val="false"/>
          <w:iCs w:val="false"/>
        </w:rPr>
        <w:t>. Wesleyan University, Science Tower, Middle Town, Connecticut 06457, USA.  (Deceased 2015)</w:t>
      </w:r>
    </w:p>
    <w:p>
      <w:pPr>
        <w:pStyle w:val="Author"/>
        <w:rPr>
          <w:i w:val="false"/>
          <w:iCs w:val="false"/>
        </w:rPr>
      </w:pPr>
      <w:r>
        <w:rPr>
          <w:b/>
          <w:bCs/>
          <w:i w:val="false"/>
          <w:iCs w:val="false"/>
        </w:rPr>
        <w:t>Mark A. Norell.</w:t>
      </w:r>
      <w:r>
        <w:rPr>
          <w:i w:val="false"/>
          <w:iCs w:val="false"/>
        </w:rPr>
        <w:t xml:space="preserve"> Division of Paleontology, American Museum of Natural History, New York, New York, USA. (Deceased 2025).</w:t>
      </w:r>
    </w:p>
    <w:p>
      <w:pPr>
        <w:pStyle w:val="Author"/>
        <w:rPr>
          <w:i w:val="false"/>
        </w:rPr>
      </w:pPr>
      <w:r>
        <w:rPr>
          <w:i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i w:val="false"/>
          <w:iCs w:val="false"/>
        </w:rPr>
      </w:pPr>
      <w:r>
        <w:rPr>
          <w:i w:val="false"/>
          <w:iCs w:val="false"/>
        </w:rPr>
        <w:t xml:space="preserve">The rearing mounted skeleton of </w:t>
      </w:r>
      <w:r>
        <w:rPr/>
        <w:t>Barosaurus lentus</w:t>
      </w:r>
      <w:r>
        <w:rPr>
          <w:i w:val="false"/>
          <w:iCs w:val="false"/>
        </w:rPr>
        <w:t xml:space="preserve"> in the Roosevelt Memorial Hall of the American Museum of Natural History (AMNH) is among the most culturally influential of all dinosaur exhibits. We review the history of the genus and of AMNH 6341, the specimen on which the mount is principally based. Excavated by Earl Douglass from the Carnegie Quarry at what is now Dinosaur National Monument, this skeleton was divided between three institutions before Barnum Brown reunited it at the AMNH around 1930. It was then largely neglected for six decades. We document the conception of the rearing mount during the 1986–1991 renovation of the fossil halls, when Lowell Dingus and Eugene Gaffney independently arrived at the idea of a rearing sauropod inspired in part by Gregory S. Paul’s painting </w:t>
      </w:r>
      <w:r>
        <w:rPr/>
        <w:t>Ambush at Como Creek</w:t>
      </w:r>
      <w:r>
        <w:rPr>
          <w:i w:val="false"/>
          <w:iCs w:val="false"/>
        </w:rPr>
        <w:t xml:space="preserve">, and the construction of the cast by Research Casting International. At about 15 m, it is the tallest free-standing mounted skeleton in the world. Crucially, the mount’s purpose was not to assert that </w:t>
      </w:r>
      <w:r>
        <w:rPr/>
        <w:t>Barosaurus</w:t>
      </w:r>
      <w:r>
        <w:rPr>
          <w:i w:val="false"/>
          <w:iCs w:val="false"/>
        </w:rPr>
        <w:t xml:space="preserve"> habitually reared, but to provoke visitors to think about what fossils can and cannot tell us about extinct animals. About 80% of the material in the mount was cast from AMNH 6341. Most of the rest cast from second-generation molds of the Carnegie </w:t>
      </w:r>
      <w:r>
        <w:rPr/>
        <w:t>Diplodocus</w:t>
      </w:r>
      <w:r>
        <w:rPr>
          <w:i w:val="false"/>
          <w:iCs w:val="false"/>
        </w:rPr>
        <w:t>, including a third of the neck and some residual camarasaurid material in the manus. We summarise the controversy the pose provoked, trace the longer history of rearing sauropods in science and art, and assess the mount’s substantial impact on popular culture.</w:t>
      </w:r>
    </w:p>
    <w:p>
      <w:pPr>
        <w:pStyle w:val="Abstract"/>
        <w:rPr/>
      </w:pPr>
      <w:r>
        <w:rPr>
          <w:b/>
          <w:bCs/>
          <w:i w:val="false"/>
          <w:iCs w:val="false"/>
        </w:rPr>
        <w:t>Keywords:</w:t>
      </w:r>
      <w:r>
        <w:rPr>
          <w:i w:val="false"/>
          <w:iCs w:val="false"/>
        </w:rPr>
        <w:t xml:space="preserve"> </w:t>
      </w:r>
      <w:r>
        <w:rPr/>
        <w:t>Barosaurus</w:t>
      </w:r>
      <w:r>
        <w:rPr>
          <w:i w:val="false"/>
          <w:iCs w:val="false"/>
        </w:rPr>
        <w:t>, sauropod, neck, rearing, skeletal mount, cast</w:t>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tooltip="Introduction">
            <w:r>
              <w:rPr>
                <w:rStyle w:val="IndexLink"/>
              </w:rPr>
              <w:t>Introduction</w:t>
              <w:tab/>
              <w:t>2</w:t>
            </w:r>
          </w:hyperlink>
        </w:p>
        <w:p>
          <w:pPr>
            <w:pStyle w:val="TOC2"/>
            <w:tabs>
              <w:tab w:val="clear" w:pos="9355"/>
              <w:tab w:val="right" w:pos="9637" w:leader="dot"/>
            </w:tabs>
            <w:rPr/>
          </w:pPr>
          <w:hyperlink w:anchor="__RefHeading___Toc3323_2187837281" w:tooltip="Anatomical nomenclature">
            <w:r>
              <w:rPr>
                <w:rStyle w:val="IndexLink"/>
              </w:rPr>
              <w:t>Anatomical nomenclature</w:t>
              <w:tab/>
              <w:t>3</w:t>
            </w:r>
          </w:hyperlink>
        </w:p>
        <w:p>
          <w:pPr>
            <w:pStyle w:val="TOC2"/>
            <w:tabs>
              <w:tab w:val="clear" w:pos="9355"/>
              <w:tab w:val="right" w:pos="9637" w:leader="dot"/>
            </w:tabs>
            <w:rPr/>
          </w:pPr>
          <w:hyperlink w:anchor="__RefHeading___Toc5349_68767826" w:tooltip="Institutional abbreviations">
            <w:r>
              <w:rPr>
                <w:rStyle w:val="IndexLink"/>
              </w:rPr>
              <w:t>Institutional abbreviations</w:t>
              <w:tab/>
              <w:t>3</w:t>
            </w:r>
          </w:hyperlink>
        </w:p>
        <w:p>
          <w:pPr>
            <w:pStyle w:val="TOC1"/>
            <w:tabs>
              <w:tab w:val="clear" w:pos="9638"/>
              <w:tab w:val="right" w:pos="9637" w:leader="dot"/>
            </w:tabs>
            <w:rPr/>
          </w:pPr>
          <w:hyperlink w:anchor="__RefHeading___Toc4316_68767826" w:tooltip="Historical background">
            <w:r>
              <w:rPr>
                <w:rStyle w:val="IndexLink"/>
              </w:rPr>
              <w:t>Historical background</w:t>
              <w:tab/>
              <w:t>3</w:t>
            </w:r>
          </w:hyperlink>
        </w:p>
        <w:p>
          <w:pPr>
            <w:pStyle w:val="TOC2"/>
            <w:tabs>
              <w:tab w:val="clear" w:pos="9355"/>
              <w:tab w:val="right" w:pos="9637" w:leader="dot"/>
            </w:tabs>
            <w:rPr/>
          </w:pPr>
          <w:hyperlink w:anchor="__RefHeading___Toc12350_68767826" w:tooltip="Early discoveries of Barosaurus">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tooltip="The AMNH specimen of Barosaurus">
            <w:r>
              <w:rPr>
                <w:rStyle w:val="IndexLink"/>
              </w:rPr>
              <w:t xml:space="preserve">The AMNH specimen of </w:t>
            </w:r>
            <w:r>
              <w:rPr>
                <w:rStyle w:val="IndexLink"/>
                <w:i/>
                <w:iCs/>
              </w:rPr>
              <w:t>Barosaurus</w:t>
            </w:r>
            <w:r>
              <w:rPr>
                <w:rStyle w:val="IndexLink"/>
              </w:rPr>
              <w:tab/>
              <w:t>4</w:t>
            </w:r>
          </w:hyperlink>
        </w:p>
        <w:p>
          <w:pPr>
            <w:pStyle w:val="TOC3"/>
            <w:tabs>
              <w:tab w:val="clear" w:pos="9072"/>
              <w:tab w:val="right" w:pos="9637" w:leader="dot"/>
            </w:tabs>
            <w:rPr/>
          </w:pPr>
          <w:hyperlink w:anchor="__RefHeading___Toc25848_1820571732" w:tooltip="The Carnegie Quarry at Dinosaur National Monument">
            <w:r>
              <w:rPr>
                <w:rStyle w:val="IndexLink"/>
              </w:rPr>
              <w:t>The Carnegie Quarry at Dinosaur National Monument</w:t>
              <w:tab/>
              <w:t>4</w:t>
            </w:r>
          </w:hyperlink>
        </w:p>
        <w:p>
          <w:pPr>
            <w:pStyle w:val="TOC3"/>
            <w:tabs>
              <w:tab w:val="clear" w:pos="9072"/>
              <w:tab w:val="right" w:pos="9637" w:leader="dot"/>
            </w:tabs>
            <w:rPr/>
          </w:pPr>
          <w:hyperlink w:anchor="__RefHeading___Toc25850_1820571732" w:tooltip="USNM work at Dinosaur National Monument">
            <w:r>
              <w:rPr>
                <w:rStyle w:val="IndexLink"/>
              </w:rPr>
              <w:t>USNM work at Dinosaur National Monument</w:t>
              <w:tab/>
              <w:t>5</w:t>
            </w:r>
          </w:hyperlink>
        </w:p>
        <w:p>
          <w:pPr>
            <w:pStyle w:val="TOC3"/>
            <w:tabs>
              <w:tab w:val="clear" w:pos="9072"/>
              <w:tab w:val="right" w:pos="9637" w:leader="dot"/>
            </w:tabs>
            <w:rPr/>
          </w:pPr>
          <w:hyperlink w:anchor="__RefHeading___Toc25852_1820571732" w:tooltip="The skeleton reunited">
            <w:r>
              <w:rPr>
                <w:rStyle w:val="IndexLink"/>
              </w:rPr>
              <w:t>The skeleton reunited</w:t>
              <w:tab/>
              <w:t>6</w:t>
            </w:r>
          </w:hyperlink>
        </w:p>
        <w:p>
          <w:pPr>
            <w:pStyle w:val="TOC1"/>
            <w:tabs>
              <w:tab w:val="clear" w:pos="9638"/>
              <w:tab w:val="right" w:pos="9637" w:leader="dot"/>
            </w:tabs>
            <w:rPr/>
          </w:pPr>
          <w:hyperlink w:anchor="__RefHeading___Toc5351_68767826" w:tooltip="The AMNH mounted Barosaurus">
            <w:r>
              <w:rPr>
                <w:rStyle w:val="IndexLink"/>
              </w:rPr>
              <w:t xml:space="preserve">The AMNH mounted </w:t>
            </w:r>
            <w:r>
              <w:rPr>
                <w:rStyle w:val="IndexLink"/>
                <w:i/>
                <w:iCs/>
              </w:rPr>
              <w:t>Barosaurus</w:t>
            </w:r>
            <w:r>
              <w:rPr>
                <w:rStyle w:val="IndexLink"/>
              </w:rPr>
              <w:tab/>
              <w:t>8</w:t>
            </w:r>
          </w:hyperlink>
        </w:p>
        <w:p>
          <w:pPr>
            <w:pStyle w:val="TOC2"/>
            <w:tabs>
              <w:tab w:val="clear" w:pos="9355"/>
              <w:tab w:val="right" w:pos="9637" w:leader="dot"/>
            </w:tabs>
            <w:rPr/>
          </w:pPr>
          <w:hyperlink w:anchor="__RefHeading___Toc5354_68767826" w:tooltip="The conception of the mount">
            <w:r>
              <w:rPr>
                <w:rStyle w:val="IndexLink"/>
              </w:rPr>
              <w:t>The conception of the mount</w:t>
              <w:tab/>
              <w:t>8</w:t>
            </w:r>
          </w:hyperlink>
        </w:p>
        <w:p>
          <w:pPr>
            <w:pStyle w:val="TOC2"/>
            <w:tabs>
              <w:tab w:val="clear" w:pos="9355"/>
              <w:tab w:val="right" w:pos="9637" w:leader="dot"/>
            </w:tabs>
            <w:rPr/>
          </w:pPr>
          <w:hyperlink w:anchor="__RefHeading___Toc1099_1709072779" w:tooltip="The purpose of the mount">
            <w:r>
              <w:rPr>
                <w:rStyle w:val="IndexLink"/>
              </w:rPr>
              <w:t>The purpose of the mount</w:t>
              <w:tab/>
              <w:t>9</w:t>
            </w:r>
          </w:hyperlink>
        </w:p>
        <w:p>
          <w:pPr>
            <w:pStyle w:val="TOC2"/>
            <w:tabs>
              <w:tab w:val="clear" w:pos="9355"/>
              <w:tab w:val="right" w:pos="9637" w:leader="dot"/>
            </w:tabs>
            <w:rPr/>
          </w:pPr>
          <w:hyperlink w:anchor="__RefHeading___Toc18297_68767826" w:tooltip="The creation of the mount">
            <w:r>
              <w:rPr>
                <w:rStyle w:val="IndexLink"/>
              </w:rPr>
              <w:t>The creation of the mount</w:t>
              <w:tab/>
              <w:t>10</w:t>
            </w:r>
          </w:hyperlink>
        </w:p>
        <w:p>
          <w:pPr>
            <w:pStyle w:val="TOC2"/>
            <w:tabs>
              <w:tab w:val="clear" w:pos="9355"/>
              <w:tab w:val="right" w:pos="9637" w:leader="dot"/>
            </w:tabs>
            <w:rPr/>
          </w:pPr>
          <w:hyperlink w:anchor="__RefHeading___Toc5632_2187837281" w:tooltip="Photography of the mount">
            <w:r>
              <w:rPr>
                <w:rStyle w:val="IndexLink"/>
              </w:rPr>
              <w:t>Photography of the mount</w:t>
              <w:tab/>
              <w:t>13</w:t>
            </w:r>
          </w:hyperlink>
        </w:p>
        <w:p>
          <w:pPr>
            <w:pStyle w:val="TOC2"/>
            <w:tabs>
              <w:tab w:val="clear" w:pos="9355"/>
              <w:tab w:val="right" w:pos="9637" w:leader="dot"/>
            </w:tabs>
            <w:rPr/>
          </w:pPr>
          <w:hyperlink w:anchor="__RefHeading___Toc5356_68767826" w:tooltip="The composition of the mount">
            <w:r>
              <w:rPr>
                <w:rStyle w:val="IndexLink"/>
              </w:rPr>
              <w:t>The composition of the mount</w:t>
              <w:tab/>
              <w:t>13</w:t>
            </w:r>
          </w:hyperlink>
        </w:p>
        <w:p>
          <w:pPr>
            <w:pStyle w:val="TOC3"/>
            <w:tabs>
              <w:tab w:val="clear" w:pos="9072"/>
              <w:tab w:val="right" w:pos="9637" w:leader="dot"/>
            </w:tabs>
            <w:rPr/>
          </w:pPr>
          <w:hyperlink w:anchor="__RefHeading___Toc16585_68767826" w:tooltip="Overview">
            <w:r>
              <w:rPr>
                <w:rStyle w:val="IndexLink"/>
              </w:rPr>
              <w:t>Overview</w:t>
              <w:tab/>
              <w:t>13</w:t>
            </w:r>
          </w:hyperlink>
        </w:p>
        <w:p>
          <w:pPr>
            <w:pStyle w:val="TOC3"/>
            <w:tabs>
              <w:tab w:val="clear" w:pos="9072"/>
              <w:tab w:val="right" w:pos="9637" w:leader="dot"/>
            </w:tabs>
            <w:rPr/>
          </w:pPr>
          <w:hyperlink w:anchor="__RefHeading___Toc4995_537823704" w:tooltip="Barosaurus material in the mount">
            <w:r>
              <w:rPr>
                <w:rStyle w:val="IndexLink"/>
                <w:i/>
                <w:iCs/>
              </w:rPr>
              <w:t>Barosaurus</w:t>
            </w:r>
            <w:r>
              <w:rPr>
                <w:rStyle w:val="IndexLink"/>
              </w:rPr>
              <w:t xml:space="preserve"> material in the mount</w:t>
              <w:tab/>
              <w:t>14</w:t>
            </w:r>
          </w:hyperlink>
        </w:p>
        <w:p>
          <w:pPr>
            <w:pStyle w:val="TOC3"/>
            <w:tabs>
              <w:tab w:val="clear" w:pos="9072"/>
              <w:tab w:val="right" w:pos="9637" w:leader="dot"/>
            </w:tabs>
            <w:rPr/>
          </w:pPr>
          <w:hyperlink w:anchor="__RefHeading___Toc25854_1820571732" w:tooltip="Non-Barosaurus material in the mount">
            <w:r>
              <w:rPr>
                <w:rStyle w:val="IndexLink"/>
              </w:rPr>
              <w:t>Non-</w:t>
            </w:r>
            <w:r>
              <w:rPr>
                <w:rStyle w:val="IndexLink"/>
                <w:i/>
                <w:iCs/>
              </w:rPr>
              <w:t>Barosaurus</w:t>
            </w:r>
            <w:r>
              <w:rPr>
                <w:rStyle w:val="IndexLink"/>
              </w:rPr>
              <w:t xml:space="preserve"> material in the mount</w:t>
              <w:tab/>
              <w:t>15</w:t>
            </w:r>
          </w:hyperlink>
        </w:p>
        <w:p>
          <w:pPr>
            <w:pStyle w:val="TOC3"/>
            <w:tabs>
              <w:tab w:val="clear" w:pos="9072"/>
              <w:tab w:val="right" w:pos="9637" w:leader="dot"/>
            </w:tabs>
            <w:rPr/>
          </w:pPr>
          <w:hyperlink w:anchor="__RefHeading___Toc16587_68767826" w:tooltip="Skull">
            <w:r>
              <w:rPr>
                <w:rStyle w:val="IndexLink"/>
              </w:rPr>
              <w:t>Skull</w:t>
              <w:tab/>
              <w:t>16</w:t>
            </w:r>
          </w:hyperlink>
        </w:p>
        <w:p>
          <w:pPr>
            <w:pStyle w:val="TOC3"/>
            <w:tabs>
              <w:tab w:val="clear" w:pos="9072"/>
              <w:tab w:val="right" w:pos="9637" w:leader="dot"/>
            </w:tabs>
            <w:rPr/>
          </w:pPr>
          <w:hyperlink w:anchor="__RefHeading___Toc16589_68767826" w:tooltip="Neck">
            <w:r>
              <w:rPr>
                <w:rStyle w:val="IndexLink"/>
              </w:rPr>
              <w:t>Neck</w:t>
              <w:tab/>
              <w:t>16</w:t>
            </w:r>
          </w:hyperlink>
        </w:p>
        <w:p>
          <w:pPr>
            <w:pStyle w:val="TOC3"/>
            <w:tabs>
              <w:tab w:val="clear" w:pos="9072"/>
              <w:tab w:val="right" w:pos="9637" w:leader="dot"/>
            </w:tabs>
            <w:rPr/>
          </w:pPr>
          <w:hyperlink w:anchor="__RefHeading___Toc2466_2187837281" w:tooltip="Torso, sacrum and tail">
            <w:r>
              <w:rPr>
                <w:rStyle w:val="IndexLink"/>
              </w:rPr>
              <w:t>Torso, sacrum and tail</w:t>
              <w:tab/>
              <w:t>17</w:t>
            </w:r>
          </w:hyperlink>
        </w:p>
        <w:p>
          <w:pPr>
            <w:pStyle w:val="TOC3"/>
            <w:tabs>
              <w:tab w:val="clear" w:pos="9072"/>
              <w:tab w:val="right" w:pos="9637" w:leader="dot"/>
            </w:tabs>
            <w:rPr/>
          </w:pPr>
          <w:hyperlink w:anchor="__RefHeading___Toc2470_2187837281" w:tooltip="Forelimbs and girdles">
            <w:r>
              <w:rPr>
                <w:rStyle w:val="IndexLink"/>
              </w:rPr>
              <w:t>Forelimbs and girdles</w:t>
              <w:tab/>
              <w:t>17</w:t>
            </w:r>
          </w:hyperlink>
        </w:p>
        <w:p>
          <w:pPr>
            <w:pStyle w:val="TOC3"/>
            <w:tabs>
              <w:tab w:val="clear" w:pos="9072"/>
              <w:tab w:val="right" w:pos="9637" w:leader="dot"/>
            </w:tabs>
            <w:rPr/>
          </w:pPr>
          <w:hyperlink w:anchor="__RefHeading___Toc25856_1820571732" w:tooltip="Hindlimbs and girdles">
            <w:r>
              <w:rPr>
                <w:rStyle w:val="IndexLink"/>
              </w:rPr>
              <w:t>Hindlimbs and girdles</w:t>
              <w:tab/>
              <w:t>18</w:t>
            </w:r>
          </w:hyperlink>
        </w:p>
        <w:p>
          <w:pPr>
            <w:pStyle w:val="TOC1"/>
            <w:tabs>
              <w:tab w:val="clear" w:pos="9638"/>
              <w:tab w:val="right" w:pos="9637" w:leader="dot"/>
            </w:tabs>
            <w:rPr/>
          </w:pPr>
          <w:hyperlink w:anchor="__RefHeading___Toc3401_68767826" w:tooltip="Discussion">
            <w:r>
              <w:rPr>
                <w:rStyle w:val="IndexLink"/>
              </w:rPr>
              <w:t>Discussion</w:t>
              <w:tab/>
              <w:t>18</w:t>
            </w:r>
          </w:hyperlink>
        </w:p>
        <w:p>
          <w:pPr>
            <w:pStyle w:val="TOC2"/>
            <w:tabs>
              <w:tab w:val="clear" w:pos="9355"/>
              <w:tab w:val="right" w:pos="9637" w:leader="dot"/>
            </w:tabs>
            <w:rPr/>
          </w:pPr>
          <w:hyperlink w:anchor="__RefHeading___Toc21934_68767826" w:tooltip="Size of the AMNH 6341 animal">
            <w:r>
              <w:rPr>
                <w:rStyle w:val="IndexLink"/>
              </w:rPr>
              <w:t>Size of the AMNH 6341 animal</w:t>
              <w:tab/>
              <w:t>18</w:t>
            </w:r>
          </w:hyperlink>
        </w:p>
        <w:p>
          <w:pPr>
            <w:pStyle w:val="TOC2"/>
            <w:tabs>
              <w:tab w:val="clear" w:pos="9355"/>
              <w:tab w:val="right" w:pos="9637" w:leader="dot"/>
            </w:tabs>
            <w:rPr/>
          </w:pPr>
          <w:hyperlink w:anchor="__RefHeading___Toc7947_4188845286" w:tooltip="Rearing pose">
            <w:r>
              <w:rPr>
                <w:rStyle w:val="IndexLink"/>
              </w:rPr>
              <w:t>Rearing pose</w:t>
              <w:tab/>
              <w:t>19</w:t>
            </w:r>
          </w:hyperlink>
        </w:p>
        <w:p>
          <w:pPr>
            <w:pStyle w:val="TOC2"/>
            <w:tabs>
              <w:tab w:val="clear" w:pos="9355"/>
              <w:tab w:val="right" w:pos="9637" w:leader="dot"/>
            </w:tabs>
            <w:rPr/>
          </w:pPr>
          <w:hyperlink w:anchor="__RefHeading___Toc3786_1986291683" w:tooltip="A short history of rearing sauropods">
            <w:r>
              <w:rPr>
                <w:rStyle w:val="IndexLink"/>
              </w:rPr>
              <w:t>A short history of rearing sauropods</w:t>
              <w:tab/>
              <w:t>20</w:t>
            </w:r>
          </w:hyperlink>
        </w:p>
        <w:p>
          <w:pPr>
            <w:pStyle w:val="TOC2"/>
            <w:tabs>
              <w:tab w:val="clear" w:pos="9355"/>
              <w:tab w:val="right" w:pos="9637" w:leader="dot"/>
            </w:tabs>
            <w:rPr/>
          </w:pPr>
          <w:hyperlink w:anchor="__RefHeading___Toc11689_675290491" w:tooltip="Cultural impact">
            <w:r>
              <w:rPr>
                <w:rStyle w:val="IndexLink"/>
              </w:rPr>
              <w:t>Cultural impact</w:t>
              <w:tab/>
              <w:t>22</w:t>
            </w:r>
          </w:hyperlink>
        </w:p>
        <w:p>
          <w:pPr>
            <w:pStyle w:val="TOC1"/>
            <w:tabs>
              <w:tab w:val="clear" w:pos="9638"/>
              <w:tab w:val="right" w:pos="9637" w:leader="dot"/>
            </w:tabs>
            <w:rPr/>
          </w:pPr>
          <w:hyperlink w:anchor="__RefHeading___Toc8168_4188845286" w:tooltip="Conclusion">
            <w:r>
              <w:rPr>
                <w:rStyle w:val="IndexLink"/>
              </w:rPr>
              <w:t>Conclusion</w:t>
              <w:tab/>
              <w:t>23</w:t>
            </w:r>
          </w:hyperlink>
        </w:p>
        <w:p>
          <w:pPr>
            <w:pStyle w:val="TOC1"/>
            <w:tabs>
              <w:tab w:val="clear" w:pos="9638"/>
              <w:tab w:val="right" w:pos="9637" w:leader="dot"/>
            </w:tabs>
            <w:rPr/>
          </w:pPr>
          <w:hyperlink w:anchor="__RefHeading___Toc3403_68767826" w:tooltip="Acknowledgements">
            <w:r>
              <w:rPr>
                <w:rStyle w:val="IndexLink"/>
              </w:rPr>
              <w:t>Acknowledgements</w:t>
              <w:tab/>
              <w:t>23</w:t>
            </w:r>
          </w:hyperlink>
        </w:p>
        <w:p>
          <w:pPr>
            <w:pStyle w:val="TOC1"/>
            <w:tabs>
              <w:tab w:val="clear" w:pos="9638"/>
              <w:tab w:val="right" w:pos="9637" w:leader="dot"/>
            </w:tabs>
            <w:rPr/>
          </w:pPr>
          <w:hyperlink w:anchor="__RefHeading___Toc3405_68767826" w:tooltip="References">
            <w:r>
              <w:rPr>
                <w:rStyle w:val="IndexLink"/>
              </w:rPr>
              <w:t>References</w:t>
              <w:tab/>
              <w:t>25</w:t>
            </w:r>
          </w:hyperlink>
        </w:p>
        <w:p>
          <w:pPr>
            <w:pStyle w:val="TOC1"/>
            <w:tabs>
              <w:tab w:val="clear" w:pos="9638"/>
              <w:tab w:val="right" w:pos="9637" w:leader="dot"/>
            </w:tabs>
            <w:rPr/>
          </w:pPr>
          <w:hyperlink w:anchor="__RefHeading___Toc3407_68767826" w:tooltip="Figure Captions">
            <w:r>
              <w:rPr>
                <w:rStyle w:val="IndexLink"/>
              </w:rPr>
              <w:t>Figure Captions</w:t>
              <w:tab/>
              <w:t>32</w:t>
            </w:r>
          </w:hyperlink>
        </w:p>
        <w:p>
          <w:pPr>
            <w:pStyle w:val="TOC1"/>
            <w:tabs>
              <w:tab w:val="clear" w:pos="9638"/>
              <w:tab w:val="right" w:pos="9637" w:leader="dot"/>
            </w:tabs>
            <w:rPr/>
          </w:pPr>
          <w:hyperlink w:anchor="__RefHeading___Toc25858_1820571732" w:tooltip="Tables">
            <w:r>
              <w:rPr>
                <w:rStyle w:val="IndexLink"/>
              </w:rPr>
              <w:t>Tables</w:t>
              <w:tab/>
              <w:t>36</w:t>
            </w:r>
          </w:hyperlink>
        </w:p>
        <w:p>
          <w:pPr>
            <w:pStyle w:val="TOC2"/>
            <w:tabs>
              <w:tab w:val="clear" w:pos="9355"/>
              <w:tab w:val="right" w:pos="9637" w:leader="dot"/>
            </w:tabs>
            <w:rPr/>
          </w:pPr>
          <w:hyperlink w:anchor="__RefHeading___Toc25860_1820571732" w:tooltip="Table 1">
            <w:r>
              <w:rPr>
                <w:rStyle w:val="IndexLink"/>
              </w:rPr>
              <w:t>Table 1</w:t>
              <w:tab/>
              <w:t>36</w:t>
            </w:r>
          </w:hyperlink>
          <w:r>
            <w:rPr>
              <w:rStyle w:val="IndexLink"/>
            </w:rPr>
            <w:fldChar w:fldCharType="end"/>
          </w:r>
        </w:p>
      </w:sdtContent>
    </w:sdt>
    <w:p>
      <w:pPr>
        <w:pStyle w:val="BodyText"/>
        <w:rPr>
          <w:i/>
          <w:iCs/>
        </w:rPr>
      </w:pPr>
      <w:r>
        <w:rPr>
          <w:i/>
          <w:iCs/>
        </w:rPr>
      </w:r>
    </w:p>
    <w:p>
      <w:pPr>
        <w:pStyle w:val="Heading1"/>
        <w:rPr/>
      </w:pPr>
      <w:bookmarkStart w:id="1" w:name="__RefHeading___Toc3784_1986291683"/>
      <w:bookmarkEnd w:id="1"/>
      <w:r>
        <w:rPr/>
        <w:t>Introduction</w:t>
      </w:r>
    </w:p>
    <w:p>
      <w:pPr>
        <w:pStyle w:val="BodyText"/>
        <w:rPr/>
      </w:pPr>
      <w:r>
        <w:rPr>
          <w:i/>
          <w:iCs/>
        </w:rPr>
        <w:t>Barosaurus</w:t>
      </w:r>
      <w:r>
        <w:rPr/>
        <w:t xml:space="preserve"> is a diplodocid sauropod from the Late Jurassic of North America, found in the extensive Morrison Formation of the American West.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1).</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We will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the pose was decided on, summarize the controversy generated by the mount, survey the history of rearing sauropods, and consider the cultural impact of the AMNH exhibit.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t xml:space="preserve">We follow McIntosh’s (2005) interpretation of the presacral vertebrae of </w:t>
      </w:r>
      <w:r>
        <w:rPr>
          <w:i/>
          <w:iCs/>
        </w:rPr>
        <w:t>Barosaurus</w:t>
      </w:r>
      <w:r>
        <w:rPr/>
        <w:t xml:space="preserve"> consisting of 16 cervicals and nine dorsals, rather than 15 and 10 as in </w:t>
      </w:r>
      <w:r>
        <w:rPr>
          <w:i/>
          <w:iCs/>
        </w:rPr>
        <w:t>Diplodocus</w:t>
      </w:r>
      <w:r>
        <w:rPr/>
        <w:t xml:space="preserve"> (although see discussion below).</w:t>
      </w:r>
    </w:p>
    <w:p>
      <w:pPr>
        <w:pStyle w:val="Heading2"/>
        <w:rPr/>
      </w:pPr>
      <w:bookmarkStart w:id="3" w:name="__RefHeading___Toc5349_68767826"/>
      <w:bookmarkEnd w:id="3"/>
      <w:r>
        <w:rPr/>
        <w:t>Institutional abbreviations</w:t>
      </w:r>
    </w:p>
    <w:p>
      <w:pPr>
        <w:pStyle w:val="BodyText"/>
        <w:numPr>
          <w:ilvl w:val="0"/>
          <w:numId w:val="4"/>
        </w:numPr>
        <w:rPr/>
      </w:pPr>
      <w:r>
        <w:rPr/>
        <w:t>AMNH — American Museum of Natural History, New York, New York, USA.</w:t>
      </w:r>
    </w:p>
    <w:p>
      <w:pPr>
        <w:pStyle w:val="BodyText"/>
        <w:numPr>
          <w:ilvl w:val="0"/>
          <w:numId w:val="4"/>
        </w:numPr>
        <w:rPr/>
      </w:pPr>
      <w:r>
        <w:rPr/>
        <w:t>CM — Carnegie Museum of Natural History, Pittsburgh, Pennsylvania, USA.</w:t>
      </w:r>
    </w:p>
    <w:p>
      <w:pPr>
        <w:pStyle w:val="BodyText"/>
        <w:numPr>
          <w:ilvl w:val="0"/>
          <w:numId w:val="4"/>
        </w:numPr>
        <w:rPr/>
      </w:pPr>
      <w:r>
        <w:rPr/>
        <w:t>HMNS — Houston Museum of Nature and Science, Houston, Texas, USA.</w:t>
      </w:r>
    </w:p>
    <w:p>
      <w:pPr>
        <w:pStyle w:val="BodyText"/>
        <w:numPr>
          <w:ilvl w:val="0"/>
          <w:numId w:val="4"/>
        </w:numPr>
        <w:rPr/>
      </w:pPr>
      <w:r>
        <w:rPr/>
        <w:t>MB — Museum für Naturkunde Berlin, Berlin, Germany; specimen numbers for fossil reptiles take the form MB.R.</w:t>
      </w:r>
      <w:r>
        <w:rPr>
          <w:i/>
          <w:iCs/>
        </w:rPr>
        <w:t>nnnn</w:t>
      </w:r>
      <w:r>
        <w:rPr/>
        <w:t>.</w:t>
      </w:r>
    </w:p>
    <w:p>
      <w:pPr>
        <w:pStyle w:val="BodyText"/>
        <w:numPr>
          <w:ilvl w:val="0"/>
          <w:numId w:val="4"/>
        </w:numPr>
        <w:rPr/>
      </w:pPr>
      <w:r>
        <w:rPr/>
        <w:t>ROM — Royal Ontario Museum, Toronto, Ontario, Canada.</w:t>
      </w:r>
    </w:p>
    <w:p>
      <w:pPr>
        <w:pStyle w:val="BodyText"/>
        <w:numPr>
          <w:ilvl w:val="0"/>
          <w:numId w:val="4"/>
        </w:numPr>
        <w:rPr/>
      </w:pPr>
      <w:r>
        <w:rPr/>
        <w:t>USNM – United States National Museum, Washington, D.C., USA.</w:t>
      </w:r>
    </w:p>
    <w:p>
      <w:pPr>
        <w:pStyle w:val="BodyText"/>
        <w:numPr>
          <w:ilvl w:val="0"/>
          <w:numId w:val="4"/>
        </w:numPr>
        <w:rPr/>
      </w:pPr>
      <w:r>
        <w:rPr/>
        <w:t>YPM — Yale Peabody Museum, New Haven, Connecticut, USA.</w:t>
      </w:r>
    </w:p>
    <w:p>
      <w:pPr>
        <w:pStyle w:val="Heading1"/>
        <w:numPr>
          <w:ilvl w:val="0"/>
          <w:numId w:val="2"/>
        </w:numPr>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on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correspondence collection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once excavated, would be mounted in the Carnegie Museum in 1913. It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and described in detail by Gilmore (1936).</w:t>
      </w:r>
    </w:p>
    <w:p>
      <w:pPr>
        <w:pStyle w:val="BodyText"/>
        <w:rPr/>
      </w:pPr>
      <w:r>
        <w:rPr/>
        <w:t>As Douglass and his colleagues excavated,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USNM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In a brief telegram on 10 November, Douglass reported to Merrill the existence of two sauropods in the quarry (Douglass 1922a). The next day, Merrill wrote to Douglass requesting technical and logistical information. Douglass replied on 22 November (Douglass 1922b) with a long and helpful letter explaining how the two sauropod skeletons, both thought to be </w:t>
      </w:r>
      <w:r>
        <w:rPr>
          <w:i/>
          <w:iCs/>
        </w:rPr>
        <w:t>Diplodocus</w:t>
      </w:r>
      <w:r>
        <w:rPr/>
        <w:t xml:space="preserve">, were positioned — #355 and #340, the former lying partly above the latter (Figure 3) — and stating that blocks containing most of the neck of #340 had been taken out of the quarry. </w:t>
      </w:r>
    </w:p>
    <w:p>
      <w:pPr>
        <w:pStyle w:val="BodyText"/>
        <w:rPr/>
      </w:pPr>
      <w:r>
        <w:rPr/>
        <w:t>Douglass listed 10 skeletons that had been partly or completely taken out during the year. Among those listed was “No. 340 — </w:t>
      </w:r>
      <w:r>
        <w:rPr>
          <w:i/>
          <w:iCs/>
        </w:rPr>
        <w:t>Diplodocus</w:t>
      </w:r>
      <w:r>
        <w:rPr/>
        <w:t xml:space="preserve">. Apparently nearly complete skeleton but only neck taken out. The remainder still in the ledge” (Douglass 1922c). By the end of the 1922 season, “all but two skeletons — those of </w:t>
      </w:r>
      <w:r>
        <w:rPr>
          <w:i/>
          <w:iCs/>
        </w:rPr>
        <w:t>Diplodocus</w:t>
      </w:r>
      <w:r>
        <w:rPr/>
        <w:t xml:space="preserve"> — were removed” (Douglass 1923).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the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Douglass also handed over to Gilmore four large blocks and several smaller ones containing much of the neck of #340, which as noted above had been extracted from the quarry but not prepared out. It was Gilmore’s intention to extract #355 (the more complete of the two) for the USNM, then secure the parts of #340 necessary to complete the skeleton (Gilmore 1923b). Skeleton #355 was subsequently accessioned as USNM 10865 and mounted in Washington D.C. (Gilmore 1932), where it remains in the public gallery to this day.</w:t>
      </w:r>
    </w:p>
    <w:p>
      <w:pPr>
        <w:pStyle w:val="BodyText"/>
        <w:rPr/>
      </w:pPr>
      <w:r>
        <w:rPr/>
        <w:t>On 8 August 1923, Gilmore wrote briefly to Ravenel to say that work in the quarry was complete and the extracted blocks would be shipped to the USNM soon after 19 August (Gilmore 1923a), and sent a more comprehensive report in 30 August (Gilmore 1923b). In 1924, all excavation at the quarry ended.</w:t>
      </w:r>
    </w:p>
    <w:p>
      <w:pPr>
        <w:pStyle w:val="BodyText"/>
        <w:rPr/>
      </w:pPr>
      <w:r>
        <w:rPr/>
        <w:t xml:space="preserve">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w:t>
      </w:r>
      <w:r>
        <w:rPr>
          <w:i/>
          <w:iCs/>
        </w:rPr>
        <w:t>three</w:t>
      </w:r>
      <w:r>
        <w:rPr/>
        <w:t xml:space="preserv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of #340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(AMNH 5428, now USNM 12814),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w:t>
      </w:r>
      <w:r>
        <w:rPr/>
        <w:t>T</w:t>
      </w:r>
      <w:r>
        <w:rPr/>
        <w:t xml:space="preserve">hey </w:t>
      </w:r>
      <w:r>
        <w:rPr/>
        <w:t xml:space="preserve">may </w:t>
      </w:r>
      <w:r>
        <w:rPr/>
        <w:t xml:space="preserve">still lurk unrecognised in the USNM collections. </w:t>
      </w:r>
      <w:r>
        <w:rPr/>
        <w:t>Matt Caranno (pers. comm., 2026) thinks it is possible they are in the oversized collection at the remote storage facility, but a detailed search would be laborious.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lower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some time in the next 30 years,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photographs from that time (Figure 5B) show the anteriormost cervical vertebra on display, and it is recognizable as the C8 that is the anteriormost currently preserved vertebra; and the signage that accompanied the exhibit (Figure 6) indicates that nine cervicals were present.</w:t>
      </w:r>
    </w:p>
    <w:p>
      <w:pPr>
        <w:pStyle w:val="Heading1"/>
        <w:numPr>
          <w:ilvl w:val="0"/>
          <w:numId w:val="2"/>
        </w:numPr>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1933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 with its impressive, barrel-vaulted ceiling.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long-neglected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palaeontologist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rPr>
        <w:t>Allosaurus</w:t>
      </w:r>
      <w:r>
        <w:rPr/>
        <w:t xml:space="preserve">. As the carnivore attacks, one </w:t>
      </w:r>
      <w:r>
        <w:rPr>
          <w:i/>
          <w:iCs/>
        </w:rPr>
        <w:t>Diplodocus</w:t>
      </w:r>
      <w:r>
        <w:rPr/>
        <w:t xml:space="preserve"> provides cover for its retreating allies by facing down the predator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palaeontologist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had told Gaffney that the museum had one of the best preserved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t>The purpose of the mount</w:t>
      </w:r>
    </w:p>
    <w:p>
      <w:pPr>
        <w:pStyle w:val="BodyText"/>
        <w:rPr/>
      </w:pPr>
      <w:r>
        <w:rPr/>
        <w:t>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extinct animals, and what can’t we know based on the limited kinds of data preserved in their fossils? The exhibition label for the mount clearly stated this conundrum in a section entitled “Did this really happen?” (Figure 8):</w:t>
      </w:r>
    </w:p>
    <w:p>
      <w:pPr>
        <w:pStyle w:val="BlockQuotationuser"/>
        <w:rPr/>
      </w:pPr>
      <w:r>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t xml:space="preserve">) or on their two hind legs (like </w:t>
      </w:r>
      <w:r>
        <w:rPr>
          <w:i/>
          <w:iCs/>
        </w:rPr>
        <w:t>Allosaurus</w:t>
      </w:r>
      <w:r>
        <w:rPr/>
        <w:t xml:space="preserve">). They do not tell us, however, if </w:t>
      </w:r>
      <w:r>
        <w:rPr>
          <w:i/>
          <w:iCs/>
        </w:rPr>
        <w:t>Barosaurus</w:t>
      </w:r>
      <w:r>
        <w:rPr/>
        <w:t xml:space="preserve"> could rear up or if </w:t>
      </w:r>
      <w:r>
        <w:rPr>
          <w:i/>
          <w:iCs/>
        </w:rPr>
        <w:t>Allosaurus</w:t>
      </w:r>
      <w:r>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the process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and the relatively few documents that were recovered from AMNH archives.</w:t>
      </w:r>
    </w:p>
    <w:p>
      <w:pPr>
        <w:pStyle w:val="BodyText"/>
        <w:rPr/>
      </w:pPr>
      <w:r>
        <w:rPr/>
        <w:t>Early in the process, around March 1990, a prototype model at about 1/16 full size was commissioned at a cost of $3,980 (Galiano 1990), to allow the scene to be created and manipulated at a workable scale (Figure 9). This was created by a model-maker at Maxilla and Mandible,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replicas. </w:t>
      </w:r>
      <w:r>
        <w:rPr/>
        <w:t xml:space="preserve">(The real presacral vertebrae are on display under the glass walkway behind the mounted </w:t>
      </w:r>
      <w:r>
        <w:rPr>
          <w:i/>
          <w:iCs/>
        </w:rPr>
        <w:t>Apatosaurus</w:t>
      </w:r>
      <w:r>
        <w:rPr/>
        <w:t xml:space="preserve"> in the Hall of Saurischian Dinosaurs, and have been since the Hall opened in June 1995: see the photo in Dingus 1996:71.)</w:t>
      </w:r>
    </w:p>
    <w:p>
      <w:pPr>
        <w:pStyle w:val="BodyText"/>
        <w:rPr/>
      </w:pPr>
      <w:r>
        <w:rPr/>
        <w:t xml:space="preserve">The bones of AMNH 6341, the </w:t>
      </w:r>
      <w:r>
        <w:rPr>
          <w:i/>
          <w:iCs/>
        </w:rPr>
        <w:t>Barosaurus</w:t>
      </w:r>
      <w:r>
        <w:rPr/>
        <w:t xml:space="preserve"> specimen that was to provide most of the mount, were in poor condition by 1990. The presacral vertebrae, scapulocoracoid and humerus had been in collections for the best part of 40 years, since Colbert’s early-1950s renovation; the rest of the bones had been there for 60 years, ever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 recently established organization specializing in mounting prehistoric animals. Founder Peter May had started working with fossil mounts at the Royal Ontario Museum, beginning in 1977, where he learned the techniques from paleontology technician Gordon Gyrmov and former WW2 Luftwaffe rocket-plane test pilot Rudy Zimmermann. May rose to become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1990 at the AMNH.</w:t>
      </w:r>
    </w:p>
    <w:p>
      <w:pPr>
        <w:pStyle w:val="BodyText"/>
        <w:rPr/>
      </w:pPr>
      <w:r>
        <w:rPr/>
        <w:t xml:space="preserve">On 28 March 1990, an agreement was made between Lowell Dingus, acting for the AMNH, and Peter May and Andrew Leitch, acting for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(equivalent to $472,000 in 2026 according to usinflationcalculator.com). This amount was 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and $4,748 for travel and transport. (Surprisingly, the small juvenile cost more than the adult!). The agreement was signed by Dingus on 28 March, by May and Leitch on 30 March, and by AMNH director William J, Moynihan on 3 April.</w:t>
      </w:r>
    </w:p>
    <w:p>
      <w:pPr>
        <w:pStyle w:val="BodyText"/>
        <w:rPr/>
      </w:pPr>
      <w:r>
        <w:rPr/>
        <w:t xml:space="preserve">In the fall 1990, the RCI crew took the repaired and cleaned </w:t>
      </w:r>
      <w:r>
        <w:rPr>
          <w:i/>
          <w:iCs/>
        </w:rPr>
        <w:t>Barosaurus</w:t>
      </w:r>
      <w:r>
        <w:rPr/>
        <w:t xml:space="preserve"> fossils in a semi 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vertebrae. (These fragile projections are rarely preserved intact.) The missing parts of the skeleton were mostly replaced by elements cast from the Carnegie </w:t>
      </w:r>
      <w:r>
        <w:rPr>
          <w:i/>
          <w:iCs/>
        </w:rPr>
        <w:t>Diplodocus</w:t>
      </w:r>
      <w:r>
        <w:rPr/>
        <w:t>, though some were fabricated in Toronto. Records do not show exactly which 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 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Blakelock Moving were contracted to ship the completed exhibit in sections for mounting to New York on 7 November (Clark 1991;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C11 and C13 in Figures 1 and 14B and in other contemporary photos such as those of Dingus (1996:26) and Lindsay (1992:18–20). It was soon corrected, however, in a near-disastrous but ultimately successful late-night operation (Dingus 1996:28), and the resulting line of the neck is smooth and elegant.</w:t>
      </w:r>
    </w:p>
    <w:p>
      <w:pPr>
        <w:pStyle w:val="BodyText"/>
        <w:rPr/>
      </w:pPr>
      <w:r>
        <w:rPr/>
        <w:t>In a non-technical children’s book simply titled, “</w:t>
      </w:r>
      <w:r>
        <w:rPr>
          <w:i/>
          <w:iCs/>
        </w:rPr>
        <w:t>Barosaurus</w:t>
      </w:r>
      <w:r>
        <w:rPr/>
        <w:t>”, 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seems to be in error regarding numerous elements being modeled from scratch. A complete list of the elements of AMNH 6341 itself can be assembled from the published works and notes of McIntosh, old signage, and letters between Gilmore and the USNM (see below). Peter May recalls that with some exceptions discussed below, the missing bones were filled in with casts taken from molds made from the Utah Field House’s concrete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with observations of materials on exhibition in the past and present, and in light of historical correspondence, it is possible to arrive at a complete list of material as follows:</w:t>
      </w:r>
    </w:p>
    <w:p>
      <w:pPr>
        <w:pStyle w:val="BodyText"/>
        <w:numPr>
          <w:ilvl w:val="0"/>
          <w:numId w:val="8"/>
        </w:numPr>
        <w:rPr/>
      </w:pPr>
      <w:r>
        <w:rPr/>
        <w:t>the posterior part of the neck (cervicals 8–16)</w:t>
      </w:r>
    </w:p>
    <w:p>
      <w:pPr>
        <w:pStyle w:val="BodyText"/>
        <w:numPr>
          <w:ilvl w:val="0"/>
          <w:numId w:val="8"/>
        </w:numPr>
        <w:rPr/>
      </w:pPr>
      <w:r>
        <w:rPr/>
        <w:t>all nine dorsal vertebrae (dorsals 1–9)</w:t>
      </w:r>
    </w:p>
    <w:p>
      <w:pPr>
        <w:pStyle w:val="BodyText"/>
        <w:numPr>
          <w:ilvl w:val="0"/>
          <w:numId w:val="8"/>
        </w:numPr>
        <w:rPr/>
      </w:pPr>
      <w:r>
        <w:rPr/>
        <w:t>the complete sacrum (sacral vertebrae 1–5)</w:t>
      </w:r>
    </w:p>
    <w:p>
      <w:pPr>
        <w:pStyle w:val="BodyText"/>
        <w:numPr>
          <w:ilvl w:val="0"/>
          <w:numId w:val="8"/>
        </w:numPr>
        <w:rPr/>
      </w:pPr>
      <w:r>
        <w:rPr/>
        <w:t>the anterior part of the tail (caudals 1–29)</w:t>
      </w:r>
    </w:p>
    <w:p>
      <w:pPr>
        <w:pStyle w:val="BodyText"/>
        <w:numPr>
          <w:ilvl w:val="0"/>
          <w:numId w:val="8"/>
        </w:numPr>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rPr/>
      </w:pPr>
      <w:r>
        <w:rPr/>
        <w:t>a single chevron, from further back than Ca13 and likely in the region Ca22–Ca28.</w:t>
      </w:r>
    </w:p>
    <w:p>
      <w:pPr>
        <w:pStyle w:val="BodyText"/>
        <w:numPr>
          <w:ilvl w:val="0"/>
          <w:numId w:val="8"/>
        </w:numPr>
        <w:rPr/>
      </w:pPr>
      <w:r>
        <w:rPr/>
        <w:t>right (not left as in McIntosh 2005:43) scapulocoracoid, fully fused together; distal end of left scapula; left coracoid</w:t>
      </w:r>
    </w:p>
    <w:p>
      <w:pPr>
        <w:pStyle w:val="BodyText"/>
        <w:numPr>
          <w:ilvl w:val="0"/>
          <w:numId w:val="8"/>
        </w:numPr>
        <w:rPr/>
      </w:pPr>
      <w:r>
        <w:rPr/>
        <w:t>right (not left as in McIntosh 2005:43) humerus</w:t>
      </w:r>
    </w:p>
    <w:p>
      <w:pPr>
        <w:pStyle w:val="BodyText"/>
        <w:numPr>
          <w:ilvl w:val="0"/>
          <w:numId w:val="8"/>
        </w:numPr>
        <w:rPr/>
      </w:pPr>
      <w:r>
        <w:rPr/>
        <w:t>right ilium complete except small part of the upper border; acetabular portion and “distal ends” of left ilium</w:t>
      </w:r>
    </w:p>
    <w:p>
      <w:pPr>
        <w:pStyle w:val="BodyText"/>
        <w:numPr>
          <w:ilvl w:val="0"/>
          <w:numId w:val="8"/>
        </w:numPr>
        <w:rPr/>
      </w:pPr>
      <w:r>
        <w:rPr/>
        <w:t>both pubes and ischia complete except parts of the proximal ends of both pubes and the right ischium</w:t>
      </w:r>
    </w:p>
    <w:p>
      <w:pPr>
        <w:pStyle w:val="BodyText"/>
        <w:numPr>
          <w:ilvl w:val="0"/>
          <w:numId w:val="8"/>
        </w:numPr>
        <w:rPr/>
      </w:pPr>
      <w:r>
        <w:rPr/>
        <w:t>complete right hindlimb (femur, tibia, fibula, astragalus)</w:t>
      </w:r>
    </w:p>
    <w:p>
      <w:pPr>
        <w:pStyle w:val="BodyText"/>
        <w:numPr>
          <w:ilvl w:val="0"/>
          <w:numId w:val="8"/>
        </w:numPr>
        <w:rPr/>
      </w:pPr>
      <w:r>
        <w:rPr/>
        <w:t>elements of the right pes: metatarsals I, II and V, phalanges I-I and V-I, two 2nd phalanges, one ungual</w:t>
      </w:r>
    </w:p>
    <w:p>
      <w:pPr>
        <w:pStyle w:val="BodyText"/>
        <w:numPr>
          <w:ilvl w:val="0"/>
          <w:numId w:val="8"/>
        </w:numPr>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assignments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5B)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rPr/>
      </w:pPr>
      <w:bookmarkStart w:id="19" w:name="__RefHeading___Toc25854_1820571732"/>
      <w:bookmarkEnd w:id="19"/>
      <w:r>
        <w:rPr/>
        <w:t>Non-</w:t>
      </w:r>
      <w:r>
        <w:rPr>
          <w:i/>
          <w:iCs/>
        </w:rPr>
        <w:t>Barosaurus</w:t>
      </w:r>
      <w:r>
        <w:rPr/>
        <w:t xml:space="preserve"> material in the mount</w:t>
      </w:r>
    </w:p>
    <w:p>
      <w:pPr>
        <w:pStyle w:val="BodyText"/>
        <w:rPr>
          <w:lang w:val="en-US"/>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These new molds were then used to create several additional </w:t>
      </w:r>
      <w:r>
        <w:rPr>
          <w:i/>
          <w:iCs/>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lang w:val="en-US"/>
        </w:rPr>
        <w:t>With this in mind, we will now consider the source of specific elements of the cast.</w:t>
      </w:r>
    </w:p>
    <w:p>
      <w:pPr>
        <w:pStyle w:val="Heading3"/>
        <w:numPr>
          <w:ilvl w:val="2"/>
          <w:numId w:val="6"/>
        </w:numPr>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16A–B).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16C).</w:t>
      </w:r>
    </w:p>
    <w:p>
      <w:pPr>
        <w:pStyle w:val="Heading3"/>
        <w:numPr>
          <w:ilvl w:val="2"/>
          <w:numId w:val="7"/>
        </w:numPr>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 </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 though these are not in place in Figures 13 and 17.</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atlas and axis which were not in place at that time but which, when added, would bring the total to 16. The assembly process was complex. The neck section containing the head and C1–16 was welded to the torso leaving a stretch of bare armature. The two halves of the seventeenth vertebra (visible on the right side of Figure 13) were then glued together around the armature, bridging the gap between the bones of the neck section and the torso. The special 17th vertebra can be seen in Figure 11B, distinctly darker than the cervicals above it and the dorsals below. Since there are no duplicate vertebrae in the neck, the special C17 must have come from elsewhere. Careful comparisons </w:t>
      </w:r>
      <w:r>
        <w:rPr/>
        <w:t xml:space="preserve">between photographs of the 17th cervical and 3D models of the Carnegie </w:t>
      </w:r>
      <w:r>
        <w:rPr>
          <w:i/>
          <w:iCs/>
        </w:rPr>
        <w:t>Diplodocus</w:t>
      </w:r>
      <w:r>
        <w:rPr>
          <w:i w:val="false"/>
          <w:iCs w:val="false"/>
        </w:rPr>
        <w:t xml:space="preserve"> provided by Heinrich Mallison (for the Berlin cast) and Paul Barrett (for the London cast) show that the former is not a replica of any of the posterior cervicals of the latter. Since the Carnegie </w:t>
      </w:r>
      <w:r>
        <w:rPr>
          <w:i/>
          <w:iCs/>
        </w:rPr>
        <w:t>Diplodocus</w:t>
      </w:r>
      <w:r>
        <w:rPr>
          <w:i w:val="false"/>
          <w:iCs w:val="false"/>
        </w:rPr>
        <w:t xml:space="preserve"> was the only source of cast elements (other than the metacarpals discussed below), the 17th cervical of the mounted skeleton must be a sculpture, crafted as an intermediate between C16 and D1.</w:t>
      </w:r>
    </w:p>
    <w:p>
      <w:pPr>
        <w:pStyle w:val="BodyText"/>
        <w:rPr/>
      </w:pPr>
      <w:r>
        <w:rPr/>
        <w:t xml:space="preserve">(Note: it is quite possible that </w:t>
      </w:r>
      <w:r>
        <w:rPr>
          <w:i/>
          <w:iCs/>
        </w:rPr>
        <w:t>Barosaurus</w:t>
      </w:r>
      <w:r>
        <w:rPr/>
        <w:t xml:space="preserve"> did indeed have 17 cervicals —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 xml:space="preserve">CM 84, the specimen that forms most of the Carnegie mount, includes C2–8 (and the subsequent cervicals), but not the atlas (C1). As discussed by Taylor et al. (2025:71–72), it is not clear which specimen supplied the atlas in the Carnegie mount, and it seems most likely that this element was a sculpture not based on any specific fossil specimen — and so the same would be true in the mounted </w:t>
      </w:r>
      <w:r>
        <w:rPr>
          <w:i/>
          <w:iCs/>
        </w:rPr>
        <w:t>Barosaurus</w:t>
      </w:r>
      <w:r>
        <w:rPr/>
        <w:t>.</w:t>
      </w:r>
    </w:p>
    <w:p>
      <w:pPr>
        <w:pStyle w:val="Heading3"/>
        <w:numPr>
          <w:ilvl w:val="2"/>
          <w:numId w:val="1"/>
        </w:numPr>
        <w:rPr/>
      </w:pPr>
      <w:bookmarkStart w:id="22" w:name="__RefHeading___Toc2466_2187837281"/>
      <w:bookmarkEnd w:id="22"/>
      <w:r>
        <w:rPr/>
        <w:t>Torso, sacrum and tail</w:t>
      </w:r>
    </w:p>
    <w:p>
      <w:pPr>
        <w:pStyle w:val="BodyText"/>
        <w:rPr/>
      </w:pPr>
      <w:r>
        <w:rPr/>
        <w:t>The complete dorsal sequence (of nine vertebrae) and complete sacrum (of five vertebrae) are present in AMNH 6341. However, McIntosh’s (2005:43) account says that only “six ribs and fragments” were included from a total of 18 (two per dorsal vertebra), and as noted above the identification of these ribs is uncertain.</w:t>
      </w:r>
    </w:p>
    <w:p>
      <w:pPr>
        <w:pStyle w:val="BodyText"/>
        <w:rPr/>
      </w:pPr>
      <w:r>
        <w:rPr/>
        <w:t xml:space="preserve">AMNH 6341 includes the first 29 caudals (or perhaps caudals 1–20 and 22–30, see above) but only one chevron. The missing caudals and chevrons were most likely provided once more by casts of the Carnegie </w:t>
      </w:r>
      <w:r>
        <w:rPr>
          <w:i/>
          <w:iCs/>
        </w:rPr>
        <w:t>Diplodocus</w:t>
      </w:r>
      <w:r>
        <w:rPr/>
        <w:t>.</w:t>
      </w:r>
    </w:p>
    <w:p>
      <w:pPr>
        <w:pStyle w:val="Heading3"/>
        <w:numPr>
          <w:ilvl w:val="2"/>
          <w:numId w:val="1"/>
        </w:numPr>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instead of one,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molds,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the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o</w:t>
      </w:r>
      <w:r>
        <w:rPr/>
        <w:t>f</w:t>
      </w:r>
      <w:r>
        <w:rPr/>
        <w:t xml:space="preserve"> both the original mounted </w:t>
      </w:r>
      <w:r>
        <w:rPr>
          <w:i/>
          <w:iCs/>
        </w:rPr>
        <w:t>Diplodocus</w:t>
      </w:r>
      <w:r>
        <w:rPr/>
        <w:t xml:space="preserve"> and the casts). And the </w:t>
      </w:r>
      <w:r>
        <w:rPr>
          <w:i/>
          <w:iCs/>
        </w:rPr>
        <w:t>Barosaurus</w:t>
      </w:r>
      <w:r>
        <w:rPr/>
        <w:t xml:space="preserve"> cast probably used second-generation casts of these sculptures.</w:t>
      </w:r>
    </w:p>
    <w:p>
      <w:pPr>
        <w:pStyle w:val="Heading1"/>
        <w:numPr>
          <w:ilvl w:val="0"/>
          <w:numId w:val="3"/>
        </w:numPr>
        <w:rPr/>
      </w:pPr>
      <w:bookmarkStart w:id="25" w:name="__RefHeading___Toc3401_68767826"/>
      <w:bookmarkEnd w:id="25"/>
      <w:r>
        <w:rPr/>
        <w:t>Discussion</w:t>
      </w:r>
    </w:p>
    <w:p>
      <w:pPr>
        <w:pStyle w:val="Heading2"/>
        <w:rPr/>
      </w:pPr>
      <w:bookmarkStart w:id="26" w:name="__RefHeading___Toc21934_68767826"/>
      <w:bookmarkEnd w:id="26"/>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Berlin brachiosaur which has “a skull located more than 13 m above the level of the feet” (Remes et al. 2011:309). </w:t>
      </w:r>
      <w:r>
        <w:rPr/>
        <w:t>(The Berlin brachiosaur was also mounted by RCI — or rather, remounted in 2005–2007, following the original mounting in 1938 under the direction of Werner Janensch.)</w:t>
      </w:r>
    </w:p>
    <w:p>
      <w:pPr>
        <w:pStyle w:val="BodyText"/>
        <w:rPr/>
      </w:pPr>
      <w:r>
        <w:rPr/>
        <w:t xml:space="preserve">The mass of </w:t>
      </w:r>
      <w:r>
        <w:rPr>
          <w:i/>
          <w:iCs/>
          <w:u w:val="none"/>
        </w:rPr>
        <w:t>Barosaurus</w:t>
      </w:r>
      <w:r>
        <w:rPr/>
        <w:t xml:space="preserve"> </w:t>
      </w:r>
      <w:r>
        <w:rPr/>
        <w:t xml:space="preserve">AMNH 6341 </w:t>
      </w:r>
      <w:r>
        <w:rPr/>
        <w:t xml:space="preserve">is generally considered to be </w:t>
      </w:r>
      <w:r>
        <w:rPr/>
        <w:t>similar to</w:t>
      </w:r>
      <w:r>
        <w:rPr/>
        <w:t xml:space="preserve"> that of </w:t>
      </w:r>
      <w:r>
        <w:rPr>
          <w:i/>
          <w:iCs/>
        </w:rPr>
        <w:t xml:space="preserve">Diplodocus </w:t>
      </w:r>
      <w:r>
        <w:rPr>
          <w:i/>
          <w:iCs/>
        </w:rPr>
        <w:t>carnegii</w:t>
      </w:r>
      <w:r>
        <w:rPr/>
        <w:t xml:space="preserve">, as its torso is about the same size and the longer neck is balanced by </w:t>
      </w:r>
      <w:r>
        <w:rPr>
          <w:i/>
          <w:iCs/>
        </w:rPr>
        <w:t>Diplodocus</w:t>
      </w:r>
      <w:r>
        <w:rPr/>
        <w:t xml:space="preserve">’s longer tail. Seebacher (2001) gave a </w:t>
      </w:r>
      <w:r>
        <w:rPr/>
        <w:t>mass</w:t>
      </w:r>
      <w:r>
        <w:rPr/>
        <w:t xml:space="preserve"> estimate of 20,040 kg based on graphic double integration (</w:t>
      </w:r>
      <w:r>
        <w:rPr/>
        <w:t xml:space="preserve">compared with 19,655 kg for </w:t>
      </w:r>
      <w:r>
        <w:rPr>
          <w:i/>
          <w:iCs/>
        </w:rPr>
        <w:t>Diplodocus carnegii</w:t>
      </w:r>
      <w:r>
        <w:rPr/>
        <w:t xml:space="preserve">). Henderson (2013) estimated 15,800 kg by slicing a digital model </w:t>
      </w:r>
      <w:r>
        <w:rPr/>
        <w:t xml:space="preserve">(compared with 11,900 kg for </w:t>
      </w:r>
      <w:r>
        <w:rPr>
          <w:i/>
          <w:iCs/>
        </w:rPr>
        <w:t>Diplodocus carnegii</w:t>
      </w:r>
      <w:r>
        <w:rPr/>
        <w:t>)</w:t>
      </w:r>
      <w:r>
        <w:rPr/>
        <w:t xml:space="preserve">. Benson et al. (2014), in supplementary information </w:t>
      </w:r>
      <w:r>
        <w:rPr/>
        <w:t>S1</w:t>
      </w:r>
      <w:r>
        <w:rPr/>
        <w:t>, gave an estimate of 13,16</w:t>
      </w:r>
      <w:r>
        <w:rPr/>
        <w:t>4</w:t>
      </w:r>
      <w:r>
        <w:rPr/>
        <w:t xml:space="preserve"> kg for AMNH 6341 based on limb-bone measurements </w:t>
      </w:r>
      <w:r>
        <w:rPr/>
        <w:t xml:space="preserve">(compared with 13,801 kg for </w:t>
      </w:r>
      <w:r>
        <w:rPr>
          <w:i/>
          <w:iCs/>
          <w:u w:val="none"/>
        </w:rPr>
        <w:t>Diplodocus carnegii</w:t>
      </w:r>
      <w:r>
        <w:rPr/>
        <w:t>)</w:t>
      </w:r>
      <w:r>
        <w:rPr/>
        <w:t>.</w:t>
      </w:r>
    </w:p>
    <w:p>
      <w:pPr>
        <w:pStyle w:val="Heading2"/>
        <w:rPr/>
      </w:pPr>
      <w:bookmarkStart w:id="27" w:name="__RefHeading___Toc7947_4188845286"/>
      <w:bookmarkEnd w:id="27"/>
      <w:r>
        <w:rPr/>
        <w:t>Rearing pose</w:t>
      </w:r>
    </w:p>
    <w:p>
      <w:pPr>
        <w:pStyle w:val="BodyText"/>
        <w:rPr/>
      </w:pPr>
      <w:r>
        <w:rPr/>
        <w:t xml:space="preserve">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(Sander et al. 2008).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mount’s critics were encouraging the public to think about the controversy for themselves.</w:t>
      </w:r>
    </w:p>
    <w:p>
      <w:pPr>
        <w:pStyle w:val="Heading2"/>
        <w:rPr/>
      </w:pPr>
      <w:bookmarkStart w:id="28" w:name="__RefHeading___Toc3786_1986291683"/>
      <w:bookmarkEnd w:id="28"/>
      <w:r>
        <w:rPr/>
        <w:t>A short history of rearing sauropods</w:t>
      </w:r>
    </w:p>
    <w:p>
      <w:pPr>
        <w:pStyle w:val="BodyText"/>
        <w:rPr/>
      </w:pPr>
      <w:r>
        <w:rPr/>
        <w:t xml:space="preserve">The notion of rearing sauropods has a long heritage.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on land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t xml:space="preserve">” (= </w:t>
      </w:r>
      <w:r>
        <w:rPr>
          <w:i/>
          <w:iCs/>
        </w:rPr>
        <w:t>Neuquensaurus</w:t>
      </w:r>
      <w:r>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 1978). In his widely read popular-science book </w:t>
      </w:r>
      <w:r>
        <w:rPr>
          <w:i/>
          <w:iCs/>
        </w:rPr>
        <w:t>The Dinosaur Heresies</w:t>
      </w:r>
      <w:r>
        <w:rPr/>
        <w:t xml:space="preserve">, Bakker (1986:190–192) reiterated and expanded his own argument that diplodocids, including </w:t>
      </w:r>
      <w:r>
        <w:rPr>
          <w:i/>
          <w:iCs/>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influential painting </w:t>
      </w:r>
      <w:r>
        <w:rPr>
          <w:i/>
          <w:iCs/>
        </w:rPr>
        <w:t>Ambush at Como Creek</w:t>
      </w:r>
      <w:r>
        <w:rPr/>
        <w:t xml:space="preserve"> (see above), argued that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t xml:space="preserve"> (considered by McIntosh et al. (1996) to be a species of </w:t>
      </w:r>
      <w:r>
        <w:rPr>
          <w:i/>
          <w:iCs/>
        </w:rPr>
        <w:t>Camarasaurus</w:t>
      </w:r>
      <w:r>
        <w:rPr/>
        <w:t xml:space="preserve"> but regarded as its own genus by Tschopp et al. 2014). Jensen (1988:124–128)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supracostal plates in the sacral vertebrae, and 20-degree forward rotation of the ilia relative to the sacrum. While some of these features do not seem directly related to rearing and others are likely age-related, the rotation of the ilium remains unique and is difficult to interpret as anything other than a rearing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biomechanically justified.</w:t>
      </w:r>
    </w:p>
    <w:p>
      <w:pPr>
        <w:pStyle w:val="Heading2"/>
        <w:rPr/>
      </w:pPr>
      <w:bookmarkStart w:id="29" w:name="__RefHeading___Toc11689_675290491"/>
      <w:bookmarkEnd w:id="29"/>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in </w:t>
      </w:r>
      <w:r>
        <w:rPr>
          <w:i/>
          <w:iCs/>
        </w:rPr>
        <w:t>Prehistoric Planet</w:t>
      </w:r>
      <w:r>
        <w:rPr/>
        <w:t xml:space="preserve"> (2022). Episode 2 (</w:t>
      </w:r>
      <w:r>
        <w:rPr>
          <w:i/>
          <w:iCs/>
        </w:rPr>
        <w:t>Deserts</w:t>
      </w:r>
      <w:r>
        <w:rPr/>
        <w:t xml:space="preserve">) included a lengthy scene beginning at four minutes, in which </w:t>
      </w:r>
      <w:r>
        <w:rPr>
          <w:i/>
          <w:iCs/>
        </w:rPr>
        <w:t>Dreadnoughtus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(Adam Smith, pers. comm., 2024), including 50 versions of </w:t>
      </w:r>
      <w:r>
        <w:rPr>
          <w:i/>
          <w:iCs/>
        </w:rPr>
        <w:t>Brachiosaurus</w:t>
      </w:r>
      <w:r>
        <w:rPr/>
        <w:t xml:space="preserve">, 38 of </w:t>
      </w:r>
      <w:r>
        <w:rPr>
          <w:i/>
          <w:iCs/>
        </w:rPr>
        <w:t>Apatosaurus</w:t>
      </w:r>
      <w:r>
        <w:rPr/>
        <w:t xml:space="preserve"> and 22 of </w:t>
      </w:r>
      <w:r>
        <w:rPr>
          <w:i/>
          <w:iCs/>
        </w:rPr>
        <w:t>Diplodocus</w:t>
      </w:r>
      <w:r>
        <w:rPr/>
        <w:t xml:space="preserve"> — but not a single </w:t>
      </w:r>
      <w:r>
        <w:rPr>
          <w:i/>
          <w:iCs/>
        </w:rPr>
        <w:t>Barosaurus</w:t>
      </w:r>
      <w:r>
        <w:rPr/>
        <w:t xml:space="preserve"> toy. The only </w:t>
      </w:r>
      <w:r>
        <w:rPr>
          <w:i/>
          <w:iCs/>
        </w:rPr>
        <w:t>Barosaurus</w:t>
      </w:r>
      <w:r>
        <w:rPr/>
        <w:t xml:space="preserve"> “toys” on the market at the time of writing seem to be large museum-quality maquettes costing $500 or more. A Lego model of the rearing AMNH </w:t>
      </w:r>
      <w:r>
        <w:rPr>
          <w:i/>
          <w:iCs/>
        </w:rPr>
        <w:t>Barosaurus</w:t>
      </w:r>
      <w:r>
        <w:rPr/>
        <w:t xml:space="preserve"> has been created by Ambrosino (a pseudonym) and its instructions made freely available (Ambrosino 2023; Figure 19).</w:t>
      </w:r>
    </w:p>
    <w:p>
      <w:pPr>
        <w:pStyle w:val="Heading1"/>
        <w:rPr/>
      </w:pPr>
      <w:bookmarkStart w:id="30" w:name="__RefHeading___Toc8168_4188845286"/>
      <w:bookmarkEnd w:id="30"/>
      <w:r>
        <w:rPr/>
        <w:t>Conclusion</w:t>
      </w:r>
    </w:p>
    <w:p>
      <w:pPr>
        <w:pStyle w:val="BodyText"/>
        <w:rPr/>
      </w:pPr>
      <w:r>
        <w:rPr/>
        <w:t xml:space="preserve">It is ironic that the AMNH had no part in the excavation or preparation of what is arguably its most iconic fossil specimen, Barnum Brown having reunited it after a diaspora to three different museums. It doubly ironic that, having acquired the skeleton, the museum did not even display it for several years, then removed it from display after little more than a decade. Subsequent developments show the value of palaeoart as a hypothesis-generating machine: there would be no rearing </w:t>
      </w:r>
      <w:r>
        <w:rPr>
          <w:i/>
          <w:iCs/>
        </w:rPr>
        <w:t>Barosaurus</w:t>
      </w:r>
      <w:r>
        <w:rPr/>
        <w:t xml:space="preserve"> mount without Greg Paul’s painting </w:t>
      </w:r>
      <w:r>
        <w:rPr>
          <w:i/>
          <w:iCs/>
        </w:rPr>
        <w:t>Ambush at Como Creek</w:t>
      </w:r>
      <w:r>
        <w:rPr/>
        <w:t>. It is striking that Dingus and Gaffney independently had the idea for a rearing mount, despite their distaste for speculative palaeobiology, each of them expecting the other to object — and that Norell, who they both expected to veto the idea, was also on board. And it is satisfying that the biomechanical feasibility of rearing diplodocines has subsequently been demonstrated mathematically. The mount certainly achieved its stated goals of provoking not just public discussion, but much further scientific work.</w:t>
      </w:r>
    </w:p>
    <w:p>
      <w:pPr>
        <w:pStyle w:val="Heading1"/>
        <w:numPr>
          <w:ilvl w:val="0"/>
          <w:numId w:val="3"/>
        </w:numPr>
        <w:rPr/>
      </w:pPr>
      <w:bookmarkStart w:id="31" w:name="__RefHeading___Toc3403_68767826"/>
      <w:bookmarkEnd w:id="31"/>
      <w:r>
        <w:rPr/>
        <w:t>Acknowledgements</w:t>
      </w:r>
    </w:p>
    <w:p>
      <w:pPr>
        <w:pStyle w:val="BodyText"/>
        <w:rPr/>
      </w:pPr>
      <w:r>
        <w:rPr/>
        <w:t xml:space="preserve">We are grateful to Gregory S. Paul for permission to reproduce his artwork </w:t>
      </w:r>
      <w:r>
        <w:rPr>
          <w:i/>
          <w:iCs/>
        </w:rPr>
        <w:t>Ambush at Como Creek</w:t>
      </w:r>
      <w:r>
        <w:rPr/>
        <w:t xml:space="preserve"> (Figure 7), to Scott Hartman (University of Wisconsin-Madison) for allowing us to use his </w:t>
      </w:r>
      <w:r>
        <w:rPr>
          <w:i/>
          <w:iCs/>
        </w:rPr>
        <w:t>Barosaurus lentus</w:t>
      </w:r>
      <w:r>
        <w:rPr/>
        <w:t xml:space="preserve"> skeletal reconstruction in Figure 15, to John Gurche for permission to reproduce his life restoration of the rearing </w:t>
      </w:r>
      <w:r>
        <w:rPr>
          <w:i/>
          <w:iCs/>
        </w:rPr>
        <w:t>Barosaurus</w:t>
      </w:r>
      <w:r>
        <w:rPr/>
        <w:t xml:space="preserve"> (Figure 18),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 (Western University of Health Sciences); we thank them both.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 xml:space="preserve">Melissa Posen, Dingus’s administrative assistant on the </w:t>
      </w:r>
      <w:r>
        <w:rPr>
          <w:i/>
          <w:iCs/>
        </w:rPr>
        <w:t>Barosaurus</w:t>
      </w:r>
      <w:r>
        <w:rPr/>
        <w:t xml:space="preserve"> mounting project, took most of the photographs of the initial assembly in Toronto. Denis Finnin, the Museum Photographer, took most of the photos of the assembly in the Rotunda. It is likely that their work is included in one or more of our illustrations, but individual photo credits have been lost.</w:t>
      </w:r>
    </w:p>
    <w:p>
      <w:pPr>
        <w:pStyle w:val="BodyText"/>
        <w:rPr/>
      </w:pPr>
      <w:r>
        <w:rPr/>
        <w:t xml:space="preserve">Mai Reitmeyer (Department of Library Services, AMNH) helped us to obtain historical photographs. Kiana Clark (AMNH Vertebrate Paleontology Archives), provided numerous historical documents and photographs. Abby Telfer (United States National Museum), provided helpful documents in establish the early history of the AMNH 6341 material. ReBecca Hunt-Forster (Dinosaur National Monument) provided an invaluable archive of correspondence relating to the early years of the quarry. 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Matt Wedel helped with the interpretation and identification of some vertebrae, </w:t>
      </w:r>
      <w:r>
        <w:rPr/>
        <w:t>and provided valuable feedback on the manuscript</w:t>
      </w:r>
      <w:r>
        <w:rPr/>
        <w:t>.</w:t>
      </w:r>
    </w:p>
    <w:p>
      <w:pPr>
        <w:pStyle w:val="BodyText"/>
        <w:rPr/>
      </w:pPr>
      <w:r>
        <w:rPr/>
        <w:t xml:space="preserve">Heinrich Mallison (Palaeo3D) and Paul M. Barrett (Natural History Museum) provided 3D scans of two casts of the Carnegie </w:t>
      </w:r>
      <w:r>
        <w:rPr>
          <w:i/>
          <w:iCs/>
        </w:rPr>
        <w:t>Diplodocus</w:t>
      </w:r>
      <w:r>
        <w:rPr/>
        <w:t xml:space="preserve">. </w:t>
      </w:r>
      <w:r>
        <w:rPr/>
        <w:t xml:space="preserve">Carl Mehling (AMNH) searched collections for the missing C7 and concluded it was absent. Matt Caranno </w:t>
      </w:r>
      <w:r>
        <w:rPr/>
        <w:t xml:space="preserve">(USNM), </w:t>
      </w:r>
      <w:r>
        <w:rPr/>
        <w:t>Mick Ellison, Lynton Gardiner, Jack Horner (Chapman University), Carl Mehling, Gregory S. Paul. Paul Sereno (University of Chicago), Adam Smith (Nottingham Natural History Museum) and Abby Telfer (USNM) allowed us to cite personal communications.</w:t>
      </w:r>
      <w:r>
        <w:br w:type="page"/>
      </w:r>
    </w:p>
    <w:p>
      <w:pPr>
        <w:pStyle w:val="Heading1"/>
        <w:numPr>
          <w:ilvl w:val="0"/>
          <w:numId w:val="3"/>
        </w:numPr>
        <w:spacing w:before="0" w:after="142"/>
        <w:rPr/>
      </w:pPr>
      <w:bookmarkStart w:id="32" w:name="__RefHeading___Toc3405_68767826"/>
      <w:bookmarkEnd w:id="32"/>
      <w:r>
        <w:rPr/>
        <w:t>References</w:t>
      </w:r>
    </w:p>
    <w:p>
      <w:pPr>
        <w:pStyle w:val="Reference"/>
        <w:rPr/>
      </w:pPr>
      <w:r>
        <w:rPr/>
        <w:t xml:space="preserve">Alexander, R. McNeill. 1985. Mechanics of posture and gait of some large dinosaurs: </w:t>
      </w:r>
      <w:r>
        <w:rPr>
          <w:i/>
          <w:iCs/>
        </w:rPr>
        <w:t>Zoological Journal of the Linnean Society</w:t>
      </w:r>
      <w:r>
        <w:rPr/>
        <w:t xml:space="preserve"> </w:t>
      </w:r>
      <w:r>
        <w:rPr>
          <w:b/>
          <w:bCs/>
        </w:rPr>
        <w:t>83</w:t>
      </w:r>
      <w:r>
        <w:rPr/>
        <w:t>:1–25.</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Benson Roger B. J., Nicolás E. Campione, Matthew T. Carrano, Philip D. Mannion, Corwin Sullivan, Paul Upchurch and David C. Evans. 2014. Rates of dinosaur body mass evolution indicate 170 million years of sustained ecological innovation on the avian stem lineage. </w:t>
      </w:r>
      <w:r>
        <w:rPr>
          <w:i/>
          <w:iCs/>
        </w:rPr>
        <w:t>PLoS Biology</w:t>
      </w:r>
      <w:r>
        <w:rPr/>
        <w:t xml:space="preserve"> </w:t>
      </w:r>
      <w:r>
        <w:rPr>
          <w:b/>
          <w:bCs/>
        </w:rPr>
        <w:t>12(5)</w:t>
      </w:r>
      <w:r>
        <w:rPr/>
        <w:t>:e1001853. doi:10.1371/journal.pbio.1001853</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 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 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1922c. Report of Work Done by the Carnegie Museum at the Dinosaur National Monument in Uinta County, Utah, under the Supervision of Earl Douglass, in the year 1922. 24 March 1923.</w:t>
      </w:r>
    </w:p>
    <w:p>
      <w:pPr>
        <w:pStyle w:val="Reference"/>
        <w:rPr/>
      </w:pPr>
      <w:r>
        <w:rPr/>
        <w:t>Douglass, Earl. 1923. Report of Work Done by the Carnegie Museum at the Dinosaur National Monument in Uinta County, Utah, under the Supervision of Earl Douglass,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3" w:name="__DdeLink__2788_55120580"/>
      <w:r>
        <w:rPr>
          <w:i/>
          <w:iCs/>
        </w:rPr>
        <w:t>Proceedings of the United States National Museum</w:t>
      </w:r>
      <w:bookmarkEnd w:id="33"/>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Henderson, D</w:t>
      </w:r>
      <w:r>
        <w:rPr/>
        <w:t xml:space="preserve">onald </w:t>
      </w:r>
      <w:r>
        <w:rPr/>
        <w:t xml:space="preserve">M. 2013. Sauropod </w:t>
      </w:r>
      <w:r>
        <w:rPr/>
        <w:t>n</w:t>
      </w:r>
      <w:r>
        <w:rPr/>
        <w:t xml:space="preserve">ecks: </w:t>
      </w:r>
      <w:r>
        <w:rPr/>
        <w:t>a</w:t>
      </w:r>
      <w:r>
        <w:rPr/>
        <w:t xml:space="preserve">re </w:t>
      </w:r>
      <w:r>
        <w:rPr/>
        <w:t>t</w:t>
      </w:r>
      <w:r>
        <w:rPr/>
        <w:t xml:space="preserve">hey </w:t>
      </w:r>
      <w:r>
        <w:rPr/>
        <w:t>r</w:t>
      </w:r>
      <w:r>
        <w:rPr/>
        <w:t xml:space="preserve">eally for </w:t>
      </w:r>
      <w:r>
        <w:rPr/>
        <w:t>h</w:t>
      </w:r>
      <w:r>
        <w:rPr/>
        <w:t xml:space="preserve">eat </w:t>
      </w:r>
      <w:r>
        <w:rPr/>
        <w:t>l</w:t>
      </w:r>
      <w:r>
        <w:rPr/>
        <w:t xml:space="preserve">oss? </w:t>
      </w:r>
      <w:r>
        <w:rPr>
          <w:i/>
          <w:iCs/>
        </w:rPr>
        <w:t>PLoS ONE</w:t>
      </w:r>
      <w:r>
        <w:rPr/>
        <w:t xml:space="preserve"> </w:t>
      </w:r>
      <w:r>
        <w:rPr>
          <w:b/>
          <w:bCs/>
        </w:rPr>
        <w:t>8(10)</w:t>
      </w:r>
      <w:r>
        <w:rPr/>
        <w:t xml:space="preserve">: e77108. </w:t>
      </w:r>
      <w:r>
        <w:rPr/>
        <w:t>d</w:t>
      </w:r>
      <w:r>
        <w:rPr/>
        <w:t>oi:10.1371/journal.pone.0077108</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Huene, Friedrich von. 1929. Die Besonderheit der Titanosaurier [The characteristics of titanosaurs]. </w:t>
      </w:r>
      <w:r>
        <w:rPr>
          <w:i/>
          <w:iCs/>
        </w:rPr>
        <w:t>Centralblatt für Mineralogie, Geologie und Palaontologie</w:t>
      </w:r>
      <w:r>
        <w:rPr/>
        <w:t xml:space="preserve"> </w:t>
      </w:r>
      <w:r>
        <w:rPr>
          <w:b/>
          <w:bCs/>
        </w:rPr>
        <w:t>1929(B)</w:t>
      </w:r>
      <w:r>
        <w:rPr/>
        <w:t>:493–499.</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Janensch, Werner. 1950. Die Skelettrekonstruktion von </w:t>
      </w:r>
      <w:r>
        <w:rPr>
          <w:i/>
          <w:iCs/>
        </w:rPr>
        <w:t>Brachiosaurus brancai</w:t>
      </w:r>
      <w:r>
        <w:rPr/>
        <w:t xml:space="preserve">. </w:t>
      </w:r>
      <w:r>
        <w:rPr>
          <w:i/>
          <w:iCs/>
        </w:rPr>
        <w:t>Palaeontographica</w:t>
      </w:r>
      <w:r>
        <w:rPr/>
        <w:t xml:space="preserve"> (Supplement 7) </w:t>
      </w:r>
      <w:r>
        <w:rPr>
          <w:b/>
          <w:bCs/>
        </w:rPr>
        <w:t>3</w:t>
      </w:r>
      <w:r>
        <w:rPr/>
        <w:t>:97–103, and plates VI–VIII.</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t xml:space="preserve"> </w:t>
      </w:r>
      <w:r>
        <w:rPr>
          <w:b/>
          <w:bCs/>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 xml:space="preserve">:81–86. </w:t>
      </w:r>
      <w:hyperlink r:id="rId9">
        <w:r>
          <w:rPr>
            <w:rStyle w:val="Hyperlink"/>
          </w:rPr>
          <w:t>doi:10.2475/ajs.s3-39.229.81</w:t>
        </w:r>
      </w:hyperlink>
    </w:p>
    <w:p>
      <w:pPr>
        <w:pStyle w:val="Reference"/>
        <w:rPr/>
      </w:pPr>
      <w:r>
        <w:rPr/>
        <w:t xml:space="preserve">Marsh, Othniel C. 1891. Restoration of </w:t>
      </w:r>
      <w:r>
        <w:rPr>
          <w:i/>
          <w:iCs/>
        </w:rPr>
        <w:t>Triceratops</w:t>
      </w:r>
      <w:r>
        <w:rPr/>
        <w:t xml:space="preserve"> (with plates XV and XVI). </w:t>
      </w:r>
      <w:r>
        <w:rPr>
          <w:i/>
          <w:iCs/>
        </w:rPr>
        <w:t>American Journal of Science</w:t>
      </w:r>
      <w:r>
        <w:rPr/>
        <w:t xml:space="preserve">, 3rd series, </w:t>
      </w:r>
      <w:r>
        <w:rPr>
          <w:b/>
          <w:bCs/>
        </w:rPr>
        <w:t>41(244)</w:t>
      </w:r>
      <w:r>
        <w:rPr/>
        <w:t>:339–342.</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4" w:name="__DdeLink__16582_68767826"/>
      <w:r>
        <w:rPr/>
        <w:t>Nieuwland</w:t>
      </w:r>
      <w:bookmarkEnd w:id="34"/>
      <w:r>
        <w:rPr/>
        <w:t xml:space="preserve">, Ilja. 2019. </w:t>
      </w:r>
      <w:r>
        <w:rPr>
          <w:i/>
          <w:iCs/>
        </w:rPr>
        <w:t xml:space="preserve">American dinosaur abroad: a cultural history of Carnegie’s plaster </w:t>
      </w:r>
      <w:r>
        <w:rPr/>
        <w:t>Diplodocus.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10">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1">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t>Mamenchisaurus youngi.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Sander, P. Martin, Christian Peitz, Frankie D. Jackson and Luis M. Chiappe. 2008. Upper Cretaceous titanosaur nesting sites and their implications for sauropod dinosaur reproductive biology. </w:t>
      </w:r>
      <w:r>
        <w:rPr>
          <w:i/>
          <w:iCs/>
        </w:rPr>
        <w:t>Palaeontographica Abteilung A</w:t>
      </w:r>
      <w:r>
        <w:rPr/>
        <w:t xml:space="preserve"> </w:t>
      </w:r>
      <w:r>
        <w:rPr>
          <w:b/>
          <w:bCs/>
        </w:rPr>
        <w:t>284</w:t>
      </w:r>
      <w:r>
        <w:rPr/>
        <w:t xml:space="preserve">:69–107. </w:t>
      </w:r>
      <w:hyperlink r:id="rId12">
        <w:r>
          <w:rPr>
            <w:rStyle w:val="Hyperlink"/>
          </w:rPr>
          <w:t>doi:10.1127/pala/284/2008/69</w:t>
        </w:r>
      </w:hyperlink>
    </w:p>
    <w:p>
      <w:pPr>
        <w:pStyle w:val="Reference"/>
        <w:rPr/>
      </w:pPr>
      <w:r>
        <w:rPr/>
        <w:t xml:space="preserve">Seebacher, Frank. 2001. A new method to calculate allometric length-mass relationships of dinosaurs. </w:t>
      </w:r>
      <w:r>
        <w:rPr>
          <w:i/>
          <w:iCs/>
        </w:rPr>
        <w:t>Journal of Vertebrate Paleontology</w:t>
      </w:r>
      <w:r>
        <w:rPr/>
        <w:t xml:space="preserve"> </w:t>
      </w:r>
      <w:r>
        <w:rPr>
          <w:b/>
          <w:bCs/>
        </w:rPr>
        <w:t>21</w:t>
      </w:r>
      <w:r>
        <w:rPr/>
        <w:t>:51–60. doi:10.1671/0272-4634(2001)021[0051:ANMTCA]2.0.CO;2</w:t>
      </w:r>
    </w:p>
    <w:p>
      <w:pPr>
        <w:pStyle w:val="Reference"/>
        <w:rPr/>
      </w:pPr>
      <w:r>
        <w:rPr/>
        <w:t xml:space="preserve">Smith, Adam S. (with contributions from 20 other authors). 2007. Dinosaur Toy Blog. </w:t>
      </w:r>
      <w:hyperlink r:id="rId13">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4">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t xml:space="preserve">. </w:t>
      </w:r>
      <w:r>
        <w:rPr>
          <w:i/>
          <w:iCs/>
        </w:rPr>
        <w:t>Annals of the Carnegie Museum</w:t>
      </w:r>
      <w:r>
        <w:rPr/>
        <w:t xml:space="preserve"> </w:t>
      </w:r>
      <w:r>
        <w:rPr>
          <w:b/>
          <w:bCs/>
        </w:rPr>
        <w:t>91(1)</w:t>
      </w:r>
      <w:r>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5">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 XXXXX is this right?</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6">
        <w:r>
          <w:rPr>
            <w:rStyle w:val="Hyperlink"/>
          </w:rPr>
          <w:t>https://naturalhistory.si.edu/sites/default/files/media/translated_publications/Young%26amp%3BZhao_72.pdf</w:t>
        </w:r>
      </w:hyperlink>
      <w:r>
        <w:rPr/>
        <w:t xml:space="preserve"> </w:t>
      </w:r>
      <w:r>
        <w:br w:type="page"/>
      </w:r>
    </w:p>
    <w:p>
      <w:pPr>
        <w:pStyle w:val="Heading1"/>
        <w:numPr>
          <w:ilvl w:val="0"/>
          <w:numId w:val="3"/>
        </w:numPr>
        <w:spacing w:before="0" w:after="142"/>
        <w:rPr/>
      </w:pPr>
      <w:bookmarkStart w:id="35" w:name="__RefHeading___Toc3407_68767826"/>
      <w:bookmarkEnd w:id="35"/>
      <w:r>
        <w:rPr/>
        <w:t>Figure Captions</w:t>
      </w:r>
    </w:p>
    <w:p>
      <w:pPr>
        <w:pStyle w:val="FigureCaption"/>
        <w:rPr/>
      </w:pPr>
      <w:r>
        <w:rPr>
          <w:b/>
          <w:bCs/>
        </w:rPr>
        <w:t>Figure 1.</w:t>
      </w:r>
      <w:r>
        <w:rPr/>
        <w:t xml:space="preserve"> The mounted skeleton of </w:t>
      </w:r>
      <w:r>
        <w:rPr>
          <w:i/>
          <w:iCs/>
        </w:rPr>
        <w:t>Barosaurus lentus</w:t>
      </w:r>
      <w:r>
        <w:rPr/>
        <w:t xml:space="preserve"> AMNH 6341 in the Theodore Roosevelt Rotunda of the American Museum of Natural History, New York, as it appeared after the initial mounting and before repairs to the middle of the neck (see text). Photograph provided by Department of Vertebrate Paleontology Archive, Copyright © AMNH.</w:t>
      </w:r>
    </w:p>
    <w:p>
      <w:pPr>
        <w:pStyle w:val="FigureCaption"/>
        <w:rPr/>
      </w:pPr>
      <w:r>
        <w:rPr>
          <w:b/>
          <w:bCs/>
        </w:rPr>
        <w:t>Figure 2.</w:t>
      </w:r>
      <w:r>
        <w:rPr/>
        <w:t xml:space="preserve"> Earl Douglass, aged 60, at the Carnegie Quarry in August 1922. He is seen here standing in front of the left femur of </w:t>
      </w:r>
      <w:r>
        <w:rPr>
          <w:i/>
          <w:iCs/>
        </w:rPr>
        <w:t>Diplodocus</w:t>
      </w:r>
      <w:r>
        <w:rPr/>
        <w:t xml:space="preserve"> specimen #355 (now USNM 10865), with the sacrum, partial left ilium, last five dorsal vertebral centra and some ribs also in view (compare Figure 3, in which the femur is labelled 23, the ilium 24 and the last five dorsals 7–11). The </w:t>
      </w:r>
      <w:r>
        <w:rPr>
          <w:i/>
          <w:iCs/>
        </w:rPr>
        <w:t>Diplodocus</w:t>
      </w:r>
      <w:r>
        <w:rPr/>
        <w:t xml:space="preserve"> is seen in ventral view with anterior to the top. Photograph uploaded to Wikimedia Commons by Ken Carpenter.</w:t>
      </w:r>
    </w:p>
    <w:p>
      <w:pPr>
        <w:pStyle w:val="FigureCaption"/>
        <w:rPr/>
      </w:pPr>
      <w:r>
        <w:rPr>
          <w:b/>
          <w:bCs/>
        </w:rPr>
        <w:t>Figure 3.</w:t>
      </w:r>
      <w:r>
        <w:rPr/>
        <w:t xml:space="preserve"> Carnegie Quarry map showing the relative positions of two iconic sauropod specimens: #355 (</w:t>
      </w:r>
      <w:r>
        <w:rPr>
          <w:i/>
          <w:iCs/>
        </w:rPr>
        <w:t>Diplodocus</w:t>
      </w:r>
      <w:r>
        <w:rPr/>
        <w:t>, right) and #340 (</w:t>
      </w:r>
      <w:r>
        <w:rPr>
          <w:i/>
          <w:iCs/>
        </w:rPr>
        <w:t>Barosaurus</w:t>
      </w:r>
      <w:r>
        <w:rPr/>
        <w:t xml:space="preserve">, left, highlighted in pink, initially thought to be be a second </w:t>
      </w:r>
      <w:r>
        <w:rPr>
          <w:i/>
          <w:iCs/>
        </w:rPr>
        <w:t>Diplodocus</w:t>
      </w:r>
      <w:r>
        <w:rPr/>
        <w:t xml:space="preserve">). Modified from Gilmore (1932:figure 1). The </w:t>
      </w:r>
      <w:r>
        <w:rPr>
          <w:i/>
          <w:iCs/>
        </w:rPr>
        <w:t>Diplodocus</w:t>
      </w:r>
      <w:r>
        <w:rPr/>
        <w:t xml:space="preserve"> specimen would become USNM 10865, and the </w:t>
      </w:r>
      <w:r>
        <w:rPr>
          <w:i/>
          <w:iCs/>
        </w:rPr>
        <w:t>Barosaurus</w:t>
      </w:r>
      <w:r>
        <w:rPr/>
        <w:t xml:space="preserve"> would become AMNH 6341. Note that in this map the cervical vertebrae of </w:t>
      </w:r>
      <w:r>
        <w:rPr>
          <w:i/>
          <w:iCs/>
        </w:rPr>
        <w:t>Barosaurus</w:t>
      </w:r>
      <w:r>
        <w:rPr/>
        <w:t xml:space="preserve"> #340 are drawn to look like those of </w:t>
      </w:r>
      <w:r>
        <w:rPr>
          <w:i/>
          <w:iCs/>
        </w:rPr>
        <w:t>Diplodocus</w:t>
      </w:r>
      <w:r>
        <w:rPr/>
        <w:t>, which they were originally assumed to represent. Note also that the number of cervical vertebrae illustrated is ten, compared with the preserved count of nine, weakly corroborating the possibility that there was originally an additional, more anterior vertebra (C7 of present usage).</w:t>
      </w:r>
    </w:p>
    <w:p>
      <w:pPr>
        <w:pStyle w:val="FigureCaption"/>
        <w:rPr/>
      </w:pPr>
      <w:r>
        <w:rPr>
          <w:b/>
          <w:bCs/>
        </w:rPr>
        <w:t>Figure 4.</w:t>
      </w:r>
      <w:r>
        <w:rPr/>
        <w:t xml:space="preserve"> </w:t>
      </w:r>
      <w:r>
        <w:rPr>
          <w:i/>
          <w:iCs/>
        </w:rPr>
        <w:t>Barosaurus</w:t>
      </w:r>
      <w:r>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(1891: plate XVI)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ind w:hanging="0" w:start="283"/>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(1906:251–252) for </w:t>
      </w:r>
      <w:r>
        <w:rPr>
          <w:i/>
          <w:iCs/>
        </w:rPr>
        <w:t>Diplodocus</w:t>
      </w:r>
      <w:r>
        <w:rPr/>
        <w:t>.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rPr/>
      </w:pPr>
      <w:r>
        <w:rPr>
          <w:b/>
          <w:bCs/>
        </w:rPr>
        <w:t>Figure 7.</w:t>
      </w:r>
      <w:r>
        <w:rPr/>
        <w:t xml:space="preserve"> </w:t>
      </w:r>
      <w:r>
        <w:rPr>
          <w:i/>
          <w:iCs/>
        </w:rPr>
        <w:t>Ambush at Como Creek</w:t>
      </w:r>
      <w:r>
        <w:rPr/>
        <w:t xml:space="preserve">, painted by Gregory S. Paul in the late 1970s or early 1980s. In this revised version, completed in 1985,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rPr/>
      </w:pPr>
      <w:r>
        <w:rPr>
          <w:b/>
          <w:bCs/>
        </w:rPr>
        <w:t>Figure 9.</w:t>
      </w:r>
      <w:r>
        <w:rPr/>
        <w:t xml:space="preserve"> Prototype model of the proposed display. This model is three feet (91 cm) tall from the bottom of the base to the top of the rearing </w:t>
      </w:r>
      <w:r>
        <w:rPr>
          <w:i/>
          <w:iCs/>
        </w:rPr>
        <w:t>Barosaurus</w:t>
      </w:r>
      <w:r>
        <w:rPr/>
        <w:t>, and the base is 44 inches (112 cm) long (Mick Ellison, pers. comm, 2022).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with anterior to the left. The separator on the mold wall allows the rubber latex for the next mold section to be applied without adhering to the first mold section, so that the mold sections will separate easily. Photograph provided by Department of Vertebrate Paleontology Archive.</w:t>
      </w:r>
    </w:p>
    <w:p>
      <w:pPr>
        <w:pStyle w:val="FigureCaption"/>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Note that the two missing cervical vertebra have been added, and that the posterior one is a different colour from the others. The ribs are a noticeably lighter colour than the rest of the skeleton, presumably because they had not been painted at this point. Photographs provided by Department of Vertebrate Paleontology Archive.</w:t>
      </w:r>
    </w:p>
    <w:p>
      <w:pPr>
        <w:pStyle w:val="FigureCaption"/>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Photographs provided by Department of Vertebrate Paleontology Archive.</w:t>
      </w:r>
    </w:p>
    <w:p>
      <w:pPr>
        <w:pStyle w:val="FigureCaption"/>
        <w:rPr/>
      </w:pPr>
      <w:r>
        <w:rPr>
          <w:b/>
          <w:bCs/>
        </w:rPr>
        <w:t>Figure 13.</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3–16, all articulated in a single piece, with the atlas an axis still to be fitted behind the skull. By the wall to the right are the two halves of the 17th cervical vertebrae: the left half, highlighted in red, with anterior towards the camera; and the right half, highlighted in blue, with anterior facing away.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a section that is probably the proximal part of the </w:t>
      </w:r>
      <w:r>
        <w:rPr>
          <w:i/>
          <w:iCs/>
        </w:rPr>
        <w:t>Allosaurus</w:t>
      </w:r>
      <w:r>
        <w:rPr/>
        <w:t xml:space="preserve"> tail. Finally, intruding on the image from the left is the distal (whiplash) portion of the other </w:t>
      </w:r>
      <w:r>
        <w:rPr>
          <w:i/>
          <w:iCs/>
        </w:rPr>
        <w:t>Barosaurus</w:t>
      </w:r>
      <w:r>
        <w:rPr/>
        <w:t xml:space="preserve"> tail, probably that of the adult. Photograph provided by Department of Vertebrate Paleontology Archive, Copyright © AMNH.</w:t>
      </w:r>
    </w:p>
    <w:p>
      <w:pPr>
        <w:pStyle w:val="FigureCaption"/>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Photographs provided by Department of Vertebrate Paleontology Archive, Copyright ©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rPr/>
      </w:pPr>
      <w:r>
        <w:rPr>
          <w:b/>
          <w:bCs/>
        </w:rPr>
        <w:t>Figure 17.</w:t>
      </w:r>
      <w:r>
        <w:rPr/>
        <w:t xml:space="preserve"> The anterior part of the AMNH </w:t>
      </w:r>
      <w:r>
        <w:rPr>
          <w:i/>
          <w:iCs/>
        </w:rPr>
        <w:t>Barosaurus</w:t>
      </w:r>
      <w:r>
        <w:rPr/>
        <w:t xml:space="preserve"> neck (skull and first eight cervicals, though the atlas and axis are absent at this point) during the mounting process. </w:t>
      </w:r>
      <w:r>
        <w:rPr>
          <w:b/>
          <w:bCs/>
        </w:rPr>
        <w:t>A.</w:t>
      </w:r>
      <w:r>
        <w:rPr/>
        <w:t xml:space="preserve"> lying on the floor, seen in roughly dorsal view. </w:t>
      </w:r>
      <w:r>
        <w:rPr>
          <w:b/>
          <w:bCs/>
        </w:rPr>
        <w:t>B.</w:t>
      </w:r>
      <w:r>
        <w:rPr/>
        <w:t xml:space="preserve"> held upright, seen in right lateral view. Note that the vertebrae in positions 3–7 are those of </w:t>
      </w:r>
      <w:r>
        <w:rPr>
          <w:i/>
          <w:iCs/>
        </w:rPr>
        <w:t>Diplodocus</w:t>
      </w:r>
      <w:r>
        <w:rPr/>
        <w:t xml:space="preserve">, with relatively high bifurcated neural spines, while the vertebra in position 8 is that of </w:t>
      </w:r>
      <w:r>
        <w:rPr>
          <w:i/>
          <w:iCs/>
        </w:rPr>
        <w:t>Barosaurus</w:t>
      </w:r>
      <w:r>
        <w:rPr/>
        <w:t xml:space="preserve">, with a low and unbifurcated spine. Comparison with the Carnegie </w:t>
      </w:r>
      <w:r>
        <w:rPr>
          <w:i/>
          <w:iCs/>
        </w:rPr>
        <w:t>Diplodocus</w:t>
      </w:r>
      <w:r>
        <w:rPr/>
        <w:t xml:space="preserve"> shows that those in positions 3–6 are C3–C6 of </w:t>
      </w:r>
      <w:r>
        <w:rPr>
          <w:i/>
          <w:iCs/>
        </w:rPr>
        <w:t>Diplodocus</w:t>
      </w:r>
      <w:r>
        <w:rPr/>
        <w:t>, but that the 8th cervical vertebra of Diplodocus is used in position 7 to give a more even progression of increasing length. Photographs provided by Department of Vertebrate Paleontology Archive, Copyright © AMNH.</w:t>
      </w:r>
    </w:p>
    <w:p>
      <w:pPr>
        <w:pStyle w:val="FigureCaption"/>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spacing w:before="0" w:after="142"/>
        <w:rPr/>
      </w:pPr>
      <w:bookmarkStart w:id="36" w:name="__RefHeading___Toc25858_1820571732"/>
      <w:bookmarkEnd w:id="36"/>
      <w:r>
        <w:rPr/>
        <w:t>Tables</w:t>
      </w:r>
    </w:p>
    <w:p>
      <w:pPr>
        <w:pStyle w:val="Heading2"/>
        <w:rPr/>
      </w:pPr>
      <w:bookmarkStart w:id="37" w:name="__RefHeading___Toc25860_1820571732"/>
      <w:bookmarkEnd w:id="37"/>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start"/>
        <w:tblInd w:w="0" w:type="dxa"/>
        <w:tblLayout w:type="fixed"/>
        <w:tblCellMar>
          <w:top w:w="0" w:type="dxa"/>
          <w:start w:w="0" w:type="dxa"/>
          <w:bottom w:w="0" w:type="dxa"/>
          <w:end w:w="0" w:type="dxa"/>
        </w:tblCellMar>
        <w:tblLook w:val="04a0" w:noVBand="1" w:noHBand="0" w:lastColumn="0" w:firstColumn="1" w:lastRow="0" w:firstRow="1"/>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widowControl w:val="false"/>
              <w:suppressLineNumber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widowControl w:val="false"/>
              <w:suppressLineNumber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widowControl w:val="false"/>
              <w:suppressLineNumbers/>
              <w:spacing w:before="0" w:after="113"/>
              <w:rPr/>
            </w:pPr>
            <w:r>
              <w:rPr/>
              <w:t>1890</w:t>
            </w:r>
          </w:p>
        </w:tc>
        <w:tc>
          <w:tcPr>
            <w:tcW w:w="7431" w:type="dxa"/>
            <w:tcBorders/>
          </w:tcPr>
          <w:p>
            <w:pPr>
              <w:pStyle w:val="TableContents"/>
              <w:widowControl w:val="false"/>
              <w:suppressLineNumber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widowControl w:val="false"/>
              <w:suppressLineNumbers/>
              <w:spacing w:before="0" w:after="113"/>
              <w:rPr/>
            </w:pPr>
            <w:r>
              <w:rPr/>
              <w:t>Late August 1898</w:t>
            </w:r>
          </w:p>
        </w:tc>
        <w:tc>
          <w:tcPr>
            <w:tcW w:w="7431" w:type="dxa"/>
            <w:tcBorders/>
          </w:tcPr>
          <w:p>
            <w:pPr>
              <w:pStyle w:val="TableContents"/>
              <w:widowControl w:val="false"/>
              <w:suppressLineNumbers/>
              <w:spacing w:before="0" w:after="113"/>
              <w:rPr/>
            </w:pPr>
            <w:r>
              <w:rPr/>
              <w:t>Marsh sent George Wieland to collect the rest of the skeleton.</w:t>
            </w:r>
          </w:p>
        </w:tc>
      </w:tr>
      <w:tr>
        <w:trPr>
          <w:trHeight w:val="235" w:hRule="atLeast"/>
        </w:trPr>
        <w:tc>
          <w:tcPr>
            <w:tcW w:w="2207" w:type="dxa"/>
            <w:tcBorders/>
          </w:tcPr>
          <w:p>
            <w:pPr>
              <w:pStyle w:val="TableContents"/>
              <w:widowControl w:val="false"/>
              <w:suppressLineNumbers/>
              <w:spacing w:before="0" w:after="113"/>
              <w:rPr/>
            </w:pPr>
            <w:r>
              <w:rPr/>
              <w:t>1899</w:t>
            </w:r>
          </w:p>
        </w:tc>
        <w:tc>
          <w:tcPr>
            <w:tcW w:w="7431" w:type="dxa"/>
            <w:tcBorders/>
          </w:tcPr>
          <w:p>
            <w:pPr>
              <w:pStyle w:val="TableContents"/>
              <w:widowControl w:val="false"/>
              <w:suppressLineNumber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widowControl w:val="false"/>
              <w:suppressLineNumbers/>
              <w:spacing w:before="0" w:after="113"/>
              <w:rPr/>
            </w:pPr>
            <w:r>
              <w:rPr/>
              <w:t>1907</w:t>
            </w:r>
          </w:p>
        </w:tc>
        <w:tc>
          <w:tcPr>
            <w:tcW w:w="7431" w:type="dxa"/>
            <w:tcBorders/>
          </w:tcPr>
          <w:p>
            <w:pPr>
              <w:pStyle w:val="TableContents"/>
              <w:widowControl w:val="false"/>
              <w:suppressLineNumber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widowControl w:val="false"/>
              <w:suppressLineNumbers/>
              <w:spacing w:before="0" w:after="113"/>
              <w:rPr/>
            </w:pPr>
            <w:r>
              <w:rPr/>
              <w:t>Late 1916</w:t>
            </w:r>
          </w:p>
        </w:tc>
        <w:tc>
          <w:tcPr>
            <w:tcW w:w="7431" w:type="dxa"/>
            <w:tcBorders/>
          </w:tcPr>
          <w:p>
            <w:pPr>
              <w:pStyle w:val="TableContents"/>
              <w:widowControl w:val="false"/>
              <w:suppressLineNumber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widowControl w:val="false"/>
              <w:suppressLineNumbers/>
              <w:spacing w:before="0" w:after="113"/>
              <w:rPr/>
            </w:pPr>
            <w:r>
              <w:rPr/>
              <w:t>1917</w:t>
            </w:r>
          </w:p>
        </w:tc>
        <w:tc>
          <w:tcPr>
            <w:tcW w:w="7431" w:type="dxa"/>
            <w:tcBorders/>
          </w:tcPr>
          <w:p>
            <w:pPr>
              <w:pStyle w:val="TableContents"/>
              <w:widowControl w:val="false"/>
              <w:suppressLineNumbers/>
              <w:spacing w:before="0" w:after="113"/>
              <w:rPr/>
            </w:pPr>
            <w:r>
              <w:rPr/>
              <w:t>Lull’s published abstract very briefly described the type specimen.</w:t>
            </w:r>
          </w:p>
        </w:tc>
      </w:tr>
      <w:tr>
        <w:trPr>
          <w:trHeight w:val="235" w:hRule="atLeast"/>
        </w:trPr>
        <w:tc>
          <w:tcPr>
            <w:tcW w:w="2207" w:type="dxa"/>
            <w:tcBorders/>
          </w:tcPr>
          <w:p>
            <w:pPr>
              <w:pStyle w:val="TableContents"/>
              <w:widowControl w:val="false"/>
              <w:suppressLineNumbers/>
              <w:spacing w:before="0" w:after="113"/>
              <w:rPr/>
            </w:pPr>
            <w:r>
              <w:rPr/>
              <w:t>1919</w:t>
            </w:r>
          </w:p>
        </w:tc>
        <w:tc>
          <w:tcPr>
            <w:tcW w:w="7431" w:type="dxa"/>
            <w:tcBorders/>
          </w:tcPr>
          <w:p>
            <w:pPr>
              <w:pStyle w:val="TableContents"/>
              <w:widowControl w:val="false"/>
              <w:suppressLineNumbers/>
              <w:spacing w:before="0" w:after="113"/>
              <w:rPr/>
            </w:pPr>
            <w:r>
              <w:rPr/>
              <w:t>Lull’s detailed monographic description of the type specimen.</w:t>
            </w:r>
          </w:p>
        </w:tc>
      </w:tr>
      <w:tr>
        <w:trPr>
          <w:trHeight w:val="235" w:hRule="atLeast"/>
        </w:trPr>
        <w:tc>
          <w:tcPr>
            <w:tcW w:w="2207" w:type="dxa"/>
            <w:tcBorders/>
          </w:tcPr>
          <w:p>
            <w:pPr>
              <w:pStyle w:val="TableContents"/>
              <w:widowControl w:val="false"/>
              <w:suppressLineNumbers/>
              <w:spacing w:before="0" w:after="113"/>
              <w:rPr/>
            </w:pPr>
            <w:r>
              <w:rPr/>
              <w:t>1922</w:t>
            </w:r>
          </w:p>
        </w:tc>
        <w:tc>
          <w:tcPr>
            <w:tcW w:w="7431" w:type="dxa"/>
            <w:tcBorders/>
          </w:tcPr>
          <w:p>
            <w:pPr>
              <w:pStyle w:val="TableContents"/>
              <w:widowControl w:val="false"/>
              <w:suppressLineNumber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widowControl w:val="false"/>
              <w:suppressLineNumbers/>
              <w:spacing w:before="0" w:after="113"/>
              <w:rPr/>
            </w:pPr>
            <w:r>
              <w:rPr/>
              <w:t>1922–1923</w:t>
            </w:r>
          </w:p>
        </w:tc>
        <w:tc>
          <w:tcPr>
            <w:tcW w:w="7431" w:type="dxa"/>
            <w:tcBorders/>
          </w:tcPr>
          <w:p>
            <w:pPr>
              <w:pStyle w:val="TableContents"/>
              <w:widowControl w:val="false"/>
              <w:suppressLineNumber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widowControl w:val="false"/>
              <w:suppressLineNumbers/>
              <w:spacing w:before="0" w:after="113"/>
              <w:rPr/>
            </w:pPr>
            <w:r>
              <w:rPr/>
              <w:t>1923</w:t>
            </w:r>
          </w:p>
        </w:tc>
        <w:tc>
          <w:tcPr>
            <w:tcW w:w="7431" w:type="dxa"/>
            <w:tcBorders/>
          </w:tcPr>
          <w:p>
            <w:pPr>
              <w:pStyle w:val="TableContents"/>
              <w:widowControl w:val="false"/>
              <w:suppressLineNumbers/>
              <w:spacing w:before="0" w:after="113"/>
              <w:rPr/>
            </w:pPr>
            <w:r>
              <w:rPr/>
              <w:t xml:space="preserve">The neck of #340 was sent to the USNM to provide material for a </w:t>
            </w:r>
            <w:r>
              <w:rPr>
                <w:i/>
                <w:iCs/>
              </w:rPr>
              <w:t>Diplodocus</w:t>
            </w:r>
            <w:r>
              <w:rPr/>
              <w:t xml:space="preserve"> skeletal mount based on the other diplodocine #355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widowControl w:val="false"/>
              <w:suppressLineNumbers/>
              <w:spacing w:before="0" w:after="113"/>
              <w:rPr/>
            </w:pPr>
            <w:r>
              <w:rPr/>
              <w:t>1929</w:t>
            </w:r>
          </w:p>
        </w:tc>
        <w:tc>
          <w:tcPr>
            <w:tcW w:w="7431" w:type="dxa"/>
            <w:tcBorders/>
          </w:tcPr>
          <w:p>
            <w:pPr>
              <w:pStyle w:val="TableContents"/>
              <w:widowControl w:val="false"/>
              <w:suppressLineNumber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widowControl w:val="false"/>
              <w:suppressLineNumbers/>
              <w:spacing w:before="0" w:after="113"/>
              <w:rPr/>
            </w:pPr>
            <w:r>
              <w:rPr/>
              <w:t>1931</w:t>
            </w:r>
          </w:p>
        </w:tc>
        <w:tc>
          <w:tcPr>
            <w:tcW w:w="7431" w:type="dxa"/>
            <w:tcBorders/>
          </w:tcPr>
          <w:p>
            <w:pPr>
              <w:pStyle w:val="TableContents"/>
              <w:widowControl w:val="false"/>
              <w:suppressLineNumber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widowControl w:val="false"/>
              <w:suppressLineNumbers/>
              <w:spacing w:before="0" w:after="113"/>
              <w:rPr/>
            </w:pPr>
            <w:r>
              <w:rPr/>
              <w:t>9 February 1933</w:t>
            </w:r>
          </w:p>
        </w:tc>
        <w:tc>
          <w:tcPr>
            <w:tcW w:w="7431" w:type="dxa"/>
            <w:tcBorders/>
          </w:tcPr>
          <w:p>
            <w:pPr>
              <w:pStyle w:val="TableContents"/>
              <w:widowControl w:val="false"/>
              <w:suppressLineNumber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widowControl w:val="false"/>
              <w:suppressLineNumbers/>
              <w:spacing w:before="0" w:after="113"/>
              <w:rPr/>
            </w:pPr>
            <w:r>
              <w:rPr/>
              <w:t>17 April 1939</w:t>
            </w:r>
          </w:p>
        </w:tc>
        <w:tc>
          <w:tcPr>
            <w:tcW w:w="7431" w:type="dxa"/>
            <w:tcBorders/>
          </w:tcPr>
          <w:p>
            <w:pPr>
              <w:pStyle w:val="TableContents"/>
              <w:widowControl w:val="false"/>
              <w:suppressLineNumbers/>
              <w:spacing w:before="0" w:after="113"/>
              <w:rPr/>
            </w:pPr>
            <w:r>
              <w:rPr/>
              <w:t>The presacral vertebrae, scapulocoracoid and humerus of AMNH 6341 were exhibited in the Hall of Early Dinosaurs.</w:t>
            </w:r>
          </w:p>
        </w:tc>
      </w:tr>
      <w:tr>
        <w:trPr>
          <w:trHeight w:val="246" w:hRule="atLeast"/>
        </w:trPr>
        <w:tc>
          <w:tcPr>
            <w:tcW w:w="2207" w:type="dxa"/>
            <w:tcBorders/>
          </w:tcPr>
          <w:p>
            <w:pPr>
              <w:pStyle w:val="TableContents"/>
              <w:widowControl w:val="false"/>
              <w:suppressLineNumbers/>
              <w:spacing w:before="0" w:after="113"/>
              <w:rPr/>
            </w:pPr>
            <w:r>
              <w:rPr/>
              <w:t>Early 1950s</w:t>
            </w:r>
          </w:p>
        </w:tc>
        <w:tc>
          <w:tcPr>
            <w:tcW w:w="7431" w:type="dxa"/>
            <w:tcBorders/>
          </w:tcPr>
          <w:p>
            <w:pPr>
              <w:pStyle w:val="TableContents"/>
              <w:widowControl w:val="false"/>
              <w:suppressLineNumber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widowControl w:val="false"/>
              <w:suppressLineNumbers/>
              <w:spacing w:before="0" w:after="113"/>
              <w:rPr/>
            </w:pPr>
            <w:r>
              <w:rPr/>
              <w:t>1952</w:t>
            </w:r>
          </w:p>
        </w:tc>
        <w:tc>
          <w:tcPr>
            <w:tcW w:w="7431" w:type="dxa"/>
            <w:tcBorders/>
          </w:tcPr>
          <w:p>
            <w:pPr>
              <w:pStyle w:val="TableContents"/>
              <w:widowControl w:val="false"/>
              <w:suppressLineNumber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widowControl w:val="false"/>
              <w:suppressLineNumbers/>
              <w:spacing w:before="0" w:after="113"/>
              <w:rPr/>
            </w:pPr>
            <w:r>
              <w:rPr/>
              <w:t>8 June, 1957</w:t>
            </w:r>
          </w:p>
        </w:tc>
        <w:tc>
          <w:tcPr>
            <w:tcW w:w="7431" w:type="dxa"/>
            <w:tcBorders/>
          </w:tcPr>
          <w:p>
            <w:pPr>
              <w:pStyle w:val="TableContents"/>
              <w:widowControl w:val="false"/>
              <w:suppressLineNumber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widowControl w:val="false"/>
              <w:suppressLineNumbers/>
              <w:spacing w:before="0" w:after="113"/>
              <w:rPr/>
            </w:pPr>
            <w:r>
              <w:rPr/>
              <w:t>1970</w:t>
            </w:r>
          </w:p>
        </w:tc>
        <w:tc>
          <w:tcPr>
            <w:tcW w:w="7431" w:type="dxa"/>
            <w:tcBorders/>
          </w:tcPr>
          <w:p>
            <w:pPr>
              <w:pStyle w:val="TableContents"/>
              <w:widowControl w:val="false"/>
              <w:suppressLineNumber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widowControl w:val="false"/>
              <w:suppressLineNumbers/>
              <w:spacing w:before="0" w:after="113"/>
              <w:rPr/>
            </w:pPr>
            <w:r>
              <w:rPr/>
              <w:t>1977</w:t>
            </w:r>
          </w:p>
        </w:tc>
        <w:tc>
          <w:tcPr>
            <w:tcW w:w="7431" w:type="dxa"/>
            <w:tcBorders/>
          </w:tcPr>
          <w:p>
            <w:pPr>
              <w:pStyle w:val="TableContents"/>
              <w:widowControl w:val="false"/>
              <w:suppressLineNumbers/>
              <w:spacing w:before="0" w:after="113"/>
              <w:rPr/>
            </w:pPr>
            <w:r>
              <w:rPr/>
              <w:t>Peter May began working with skeletal mounts at the Royal Ontario Museum.</w:t>
            </w:r>
          </w:p>
        </w:tc>
      </w:tr>
      <w:tr>
        <w:trPr>
          <w:trHeight w:val="246" w:hRule="atLeast"/>
        </w:trPr>
        <w:tc>
          <w:tcPr>
            <w:tcW w:w="2207" w:type="dxa"/>
            <w:tcBorders/>
          </w:tcPr>
          <w:p>
            <w:pPr>
              <w:pStyle w:val="TableContents"/>
              <w:widowControl w:val="false"/>
              <w:suppressLineNumbers/>
              <w:spacing w:before="0" w:after="113"/>
              <w:rPr/>
            </w:pPr>
            <w:r>
              <w:rPr/>
              <w:t>1978</w:t>
            </w:r>
          </w:p>
        </w:tc>
        <w:tc>
          <w:tcPr>
            <w:tcW w:w="7431" w:type="dxa"/>
            <w:tcBorders/>
          </w:tcPr>
          <w:p>
            <w:pPr>
              <w:pStyle w:val="TableContents"/>
              <w:widowControl w:val="false"/>
              <w:suppressLineNumber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1986</w:t>
            </w:r>
          </w:p>
        </w:tc>
        <w:tc>
          <w:tcPr>
            <w:tcW w:w="7431" w:type="dxa"/>
            <w:tcBorders/>
          </w:tcPr>
          <w:p>
            <w:pPr>
              <w:pStyle w:val="TableContents"/>
              <w:widowControl w:val="false"/>
              <w:suppressLineNumbers/>
              <w:spacing w:before="0" w:after="113"/>
              <w:rPr/>
            </w:pPr>
            <w:r>
              <w:rPr/>
              <w:t>The AMNH began planning an extensive renovation of its fossil halls.</w:t>
            </w:r>
          </w:p>
        </w:tc>
      </w:tr>
      <w:tr>
        <w:trPr>
          <w:trHeight w:val="246" w:hRule="atLeast"/>
        </w:trPr>
        <w:tc>
          <w:tcPr>
            <w:tcW w:w="2207" w:type="dxa"/>
            <w:tcBorders/>
          </w:tcPr>
          <w:p>
            <w:pPr>
              <w:pStyle w:val="TableContents"/>
              <w:widowControl w:val="false"/>
              <w:suppressLineNumbers/>
              <w:spacing w:before="0" w:after="113"/>
              <w:rPr/>
            </w:pPr>
            <w:r>
              <w:rPr/>
              <w:t>1989</w:t>
            </w:r>
          </w:p>
        </w:tc>
        <w:tc>
          <w:tcPr>
            <w:tcW w:w="7431" w:type="dxa"/>
            <w:tcBorders/>
          </w:tcPr>
          <w:p>
            <w:pPr>
              <w:pStyle w:val="TableContents"/>
              <w:widowControl w:val="false"/>
              <w:suppressLineNumber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w:t>
            </w:r>
          </w:p>
        </w:tc>
      </w:tr>
      <w:tr>
        <w:trPr>
          <w:trHeight w:val="246" w:hRule="atLeast"/>
        </w:trPr>
        <w:tc>
          <w:tcPr>
            <w:tcW w:w="2207" w:type="dxa"/>
            <w:tcBorders/>
          </w:tcPr>
          <w:p>
            <w:pPr>
              <w:pStyle w:val="TableContents"/>
              <w:widowControl w:val="false"/>
              <w:suppressLineNumbers/>
              <w:spacing w:before="0" w:after="113"/>
              <w:rPr/>
            </w:pPr>
            <w:r>
              <w:rPr/>
              <w:t>1990</w:t>
            </w:r>
          </w:p>
        </w:tc>
        <w:tc>
          <w:tcPr>
            <w:tcW w:w="7431" w:type="dxa"/>
            <w:tcBorders/>
          </w:tcPr>
          <w:p>
            <w:pPr>
              <w:pStyle w:val="TableContents"/>
              <w:widowControl w:val="false"/>
              <w:suppressLineNumbers/>
              <w:spacing w:before="0" w:after="113"/>
              <w:rPr/>
            </w:pPr>
            <w:r>
              <w:rPr/>
              <w:t>Peter May went full time with his company Research Casting International (RCI).</w:t>
            </w:r>
          </w:p>
        </w:tc>
      </w:tr>
      <w:tr>
        <w:trPr>
          <w:trHeight w:val="246" w:hRule="atLeast"/>
        </w:trPr>
        <w:tc>
          <w:tcPr>
            <w:tcW w:w="2207" w:type="dxa"/>
            <w:tcBorders/>
          </w:tcPr>
          <w:p>
            <w:pPr>
              <w:pStyle w:val="TableContents"/>
              <w:widowControl w:val="false"/>
              <w:suppressLineNumbers/>
              <w:spacing w:before="0" w:after="113"/>
              <w:rPr/>
            </w:pPr>
            <w:r>
              <w:rPr/>
              <w:t>28 March 1990</w:t>
            </w:r>
          </w:p>
        </w:tc>
        <w:tc>
          <w:tcPr>
            <w:tcW w:w="7431" w:type="dxa"/>
            <w:tcBorders/>
          </w:tcPr>
          <w:p>
            <w:pPr>
              <w:pStyle w:val="TableContents"/>
              <w:widowControl w:val="false"/>
              <w:suppressLineNumbers/>
              <w:spacing w:before="0" w:after="113"/>
              <w:rPr/>
            </w:pPr>
            <w:r>
              <w:rPr/>
              <w:t xml:space="preserve">A formal agreement was made between AMNH and RCI for the project to mount a cast of </w:t>
            </w:r>
            <w:r>
              <w:rPr>
                <w:i/>
                <w:iCs/>
              </w:rPr>
              <w:t>Barosaurus</w:t>
            </w:r>
            <w:r>
              <w:rPr/>
              <w:t xml:space="preserve"> AMNH 6341 along with a juvenile </w:t>
            </w:r>
            <w:r>
              <w:rPr>
                <w:i/>
                <w:iCs/>
              </w:rPr>
              <w:t>Barosaurus</w:t>
            </w:r>
            <w:r>
              <w:rPr/>
              <w:t xml:space="preserve"> and an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Fall 1990</w:t>
            </w:r>
          </w:p>
        </w:tc>
        <w:tc>
          <w:tcPr>
            <w:tcW w:w="7431" w:type="dxa"/>
            <w:tcBorders/>
          </w:tcPr>
          <w:p>
            <w:pPr>
              <w:pStyle w:val="TableContents"/>
              <w:widowControl w:val="false"/>
              <w:suppressLineNumber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widowControl w:val="false"/>
              <w:suppressLineNumbers/>
              <w:spacing w:before="0" w:after="113"/>
              <w:rPr/>
            </w:pPr>
            <w:r>
              <w:rPr/>
              <w:t>Late 1990/early 1991</w:t>
            </w:r>
          </w:p>
        </w:tc>
        <w:tc>
          <w:tcPr>
            <w:tcW w:w="7431" w:type="dxa"/>
            <w:tcBorders/>
          </w:tcPr>
          <w:p>
            <w:pPr>
              <w:pStyle w:val="TableContents"/>
              <w:widowControl w:val="false"/>
              <w:suppressLineNumber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widowControl w:val="false"/>
              <w:suppressLineNumbers/>
              <w:spacing w:before="0" w:after="113"/>
              <w:rPr/>
            </w:pPr>
            <w:r>
              <w:rPr/>
              <w:t>Spring 1991</w:t>
            </w:r>
          </w:p>
        </w:tc>
        <w:tc>
          <w:tcPr>
            <w:tcW w:w="7431" w:type="dxa"/>
            <w:tcBorders/>
          </w:tcPr>
          <w:p>
            <w:pPr>
              <w:pStyle w:val="TableContents"/>
              <w:widowControl w:val="false"/>
              <w:suppressLineNumber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widowControl w:val="false"/>
              <w:suppressLineNumbers/>
              <w:spacing w:before="0" w:after="113"/>
              <w:rPr/>
            </w:pPr>
            <w:r>
              <w:rPr/>
              <w:t>Summer 1991</w:t>
            </w:r>
          </w:p>
        </w:tc>
        <w:tc>
          <w:tcPr>
            <w:tcW w:w="7431" w:type="dxa"/>
            <w:tcBorders/>
          </w:tcPr>
          <w:p>
            <w:pPr>
              <w:pStyle w:val="TableContents"/>
              <w:widowControl w:val="false"/>
              <w:suppressLineNumber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widowControl w:val="false"/>
              <w:suppressLineNumbers/>
              <w:spacing w:before="0" w:after="113"/>
              <w:rPr/>
            </w:pPr>
            <w:r>
              <w:rPr/>
              <w:t>November 1991</w:t>
            </w:r>
          </w:p>
        </w:tc>
        <w:tc>
          <w:tcPr>
            <w:tcW w:w="7431" w:type="dxa"/>
            <w:tcBorders/>
          </w:tcPr>
          <w:p>
            <w:pPr>
              <w:pStyle w:val="TableContents"/>
              <w:widowControl w:val="false"/>
              <w:suppressLineNumber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widowControl w:val="false"/>
              <w:suppressLineNumbers/>
              <w:spacing w:before="0" w:after="113"/>
              <w:rPr/>
            </w:pPr>
            <w:r>
              <w:rPr/>
              <w:t>29 November 1991</w:t>
            </w:r>
          </w:p>
        </w:tc>
        <w:tc>
          <w:tcPr>
            <w:tcW w:w="7431" w:type="dxa"/>
            <w:tcBorders/>
          </w:tcPr>
          <w:p>
            <w:pPr>
              <w:pStyle w:val="TableContents"/>
              <w:widowControl w:val="false"/>
              <w:suppressLineNumber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widowControl w:val="false"/>
              <w:suppressLineNumbers/>
              <w:spacing w:before="0" w:after="113"/>
              <w:rPr/>
            </w:pPr>
            <w:r>
              <w:rPr/>
              <w:t>3 December 1991</w:t>
            </w:r>
          </w:p>
        </w:tc>
        <w:tc>
          <w:tcPr>
            <w:tcW w:w="7431" w:type="dxa"/>
            <w:tcBorders/>
          </w:tcPr>
          <w:p>
            <w:pPr>
              <w:pStyle w:val="TableContents"/>
              <w:widowControl w:val="false"/>
              <w:suppressLineNumber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widowControl w:val="false"/>
              <w:suppressLineNumbers/>
              <w:spacing w:before="0" w:after="113"/>
              <w:rPr/>
            </w:pPr>
            <w:r>
              <w:rPr/>
              <w:t>4 December 1991</w:t>
            </w:r>
          </w:p>
        </w:tc>
        <w:tc>
          <w:tcPr>
            <w:tcW w:w="7431" w:type="dxa"/>
            <w:tcBorders/>
          </w:tcPr>
          <w:p>
            <w:pPr>
              <w:pStyle w:val="TableContents"/>
              <w:widowControl w:val="false"/>
              <w:suppressLineNumbers/>
              <w:spacing w:before="0" w:after="113"/>
              <w:rPr/>
            </w:pPr>
            <w:r>
              <w:rPr/>
              <w:t>The exhibit was opened to the public.</w:t>
            </w:r>
          </w:p>
        </w:tc>
      </w:tr>
    </w:tbl>
    <w:p>
      <w:pPr>
        <w:pStyle w:val="BodyText"/>
        <w:spacing w:lineRule="auto" w:line="276" w:before="0" w:after="140"/>
        <w:rPr/>
      </w:pPr>
      <w:r>
        <w:rPr/>
      </w:r>
    </w:p>
    <w:sectPr>
      <w:headerReference w:type="even" r:id="rId17"/>
      <w:headerReference w:type="default" r:id="rId18"/>
      <w:headerReference w:type="first" r:id="rId19"/>
      <w:type w:val="nextPage"/>
      <w:pgSz w:w="11906" w:h="16838"/>
      <w:pgMar w:left="1134" w:right="1134" w:gutter="0" w:header="1134" w:top="1692"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Baskerville">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Gill Sans">
    <w:charset w:val="01" w:characterSet="utf-8"/>
    <w:family w:val="roman"/>
    <w:pitch w:val="variable"/>
  </w:font>
  <w:font w:name="Symbol">
    <w:charset w:val="01"/>
    <w:family w:val="auto"/>
    <w:pitch w:val="variable"/>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37</w:t>
    </w:r>
    <w:r>
      <w:rPr/>
      <w:fldChar w:fldCharType="end"/>
    </w:r>
    <w:r>
      <w:rPr/>
      <w:t>/</w:t>
    </w:r>
    <w:r>
      <w:rPr/>
      <w:fldChar w:fldCharType="begin"/>
    </w:r>
    <w:r>
      <w:rPr/>
      <w:instrText xml:space="preserve"> NUMPAGES </w:instrText>
    </w:r>
    <w:r>
      <w:rPr/>
      <w:fldChar w:fldCharType="separate"/>
    </w:r>
    <w:r>
      <w:rPr/>
      <w:t>37</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37</w:t>
    </w:r>
    <w:r>
      <w:rPr/>
      <w:fldChar w:fldCharType="end"/>
    </w:r>
    <w:r>
      <w:rPr/>
      <w:t>/</w:t>
    </w:r>
    <w:r>
      <w:rPr/>
      <w:fldChar w:fldCharType="begin"/>
    </w:r>
    <w:r>
      <w:rPr/>
      <w:instrText xml:space="preserve"> NUMPAGES </w:instrText>
    </w:r>
    <w:r>
      <w:rPr/>
      <w:fldChar w:fldCharType="separate"/>
    </w:r>
    <w:r>
      <w:rPr/>
      <w:t>37</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6">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7">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uiPriority w:val="9"/>
    <w:qFormat/>
    <w:pPr>
      <w:spacing w:before="567" w:after="142"/>
      <w:outlineLvl w:val="0"/>
    </w:pPr>
    <w:rPr>
      <w:bCs/>
      <w:sz w:val="32"/>
      <w:szCs w:val="36"/>
    </w:rPr>
  </w:style>
  <w:style w:type="paragraph" w:styleId="Heading2">
    <w:name w:val="heading 2"/>
    <w:basedOn w:val="Heading"/>
    <w:next w:val="BodyText"/>
    <w:uiPriority w:val="9"/>
    <w:unhideWhenUsed/>
    <w:qFormat/>
    <w:pPr>
      <w:spacing w:before="198" w:after="119"/>
      <w:outlineLvl w:val="1"/>
    </w:pPr>
    <w:rPr>
      <w:rFonts w:eastAsia="Songti SC"/>
      <w:bCs/>
      <w:sz w:val="26"/>
      <w:szCs w:val="26"/>
    </w:rPr>
  </w:style>
  <w:style w:type="paragraph" w:styleId="Heading3">
    <w:name w:val="heading 3"/>
    <w:basedOn w:val="Heading"/>
    <w:next w:val="BodyText"/>
    <w:uiPriority w:val="9"/>
    <w:unhideWhenUsed/>
    <w:qFormat/>
    <w:pPr>
      <w:numPr>
        <w:ilvl w:val="2"/>
        <w:numId w:val="5"/>
      </w:numPr>
      <w:spacing w:before="142" w:after="142"/>
      <w:outlineLvl w:val="2"/>
    </w:pPr>
    <w:rPr>
      <w:bCs/>
      <w:sz w:val="20"/>
      <w:szCs w:val="20"/>
    </w:rPr>
  </w:style>
  <w:style w:type="paragraph" w:styleId="Heading4">
    <w:name w:val="heading 4"/>
    <w:basedOn w:val="Heading"/>
    <w:next w:val="BodyText"/>
    <w:uiPriority w:val="9"/>
    <w:semiHidden/>
    <w:unhideWhenUsed/>
    <w:qFormat/>
    <w:pPr>
      <w:spacing w:before="120" w:after="120"/>
      <w:outlineLvl w:val="3"/>
    </w:pPr>
    <w:rPr>
      <w:rFonts w:ascii="Liberation Serif" w:hAnsi="Liberation Serif" w:eastAsia="Songti SC"/>
      <w:bCs/>
      <w:sz w:val="24"/>
      <w:szCs w:val="24"/>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llowedHyperlink">
    <w:name w:val="FollowedHyperlink"/>
    <w:qFormat/>
    <w:rPr>
      <w:color w:val="800000"/>
      <w:u w:val="single"/>
    </w:rPr>
  </w:style>
  <w:style w:type="character" w:styleId="IndexLink" w:customStyle="1">
    <w:name w:val="Index Link"/>
    <w:qFormat/>
    <w:rPr/>
  </w:style>
  <w:style w:type="character" w:styleId="Bulletsuser" w:customStyle="1">
    <w:name w:val="Bullets (user)"/>
    <w:qFormat/>
    <w:rPr>
      <w:rFonts w:ascii="OpenSymbol" w:hAnsi="OpenSymbol" w:eastAsia="OpenSymbol" w:cs="OpenSymbol"/>
    </w:rPr>
  </w:style>
  <w:style w:type="character" w:styleId="Teletype" w:customStyle="1">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character" w:styleId="CommentReference">
    <w:name w:val="annotation reference"/>
    <w:basedOn w:val="DefaultParagraphFont"/>
    <w:uiPriority w:val="99"/>
    <w:semiHidden/>
    <w:unhideWhenUsed/>
    <w:qFormat/>
    <w:rsid w:val="00bf1f32"/>
    <w:rPr>
      <w:sz w:val="16"/>
      <w:szCs w:val="16"/>
    </w:rPr>
  </w:style>
  <w:style w:type="character" w:styleId="CommentTextChar" w:customStyle="1">
    <w:name w:val="Comment Text Char"/>
    <w:basedOn w:val="DefaultParagraphFont"/>
    <w:link w:val="CommentText"/>
    <w:uiPriority w:val="99"/>
    <w:qFormat/>
    <w:rsid w:val="00bf1f32"/>
    <w:rPr>
      <w:rFonts w:ascii="Baskerville" w:hAnsi="Baskerville" w:cs="Mangal"/>
      <w:szCs w:val="18"/>
    </w:rPr>
  </w:style>
  <w:style w:type="character" w:styleId="CommentSubjectChar" w:customStyle="1">
    <w:name w:val="Comment Subject Char"/>
    <w:basedOn w:val="CommentTextChar"/>
    <w:link w:val="annotationsubject"/>
    <w:uiPriority w:val="99"/>
    <w:semiHidden/>
    <w:qFormat/>
    <w:rsid w:val="00bf1f32"/>
    <w:rPr>
      <w:rFonts w:ascii="Baskerville" w:hAnsi="Baskerville" w:cs="Mangal"/>
      <w:b/>
      <w:bCs/>
      <w:szCs w:val="18"/>
    </w:rPr>
  </w:style>
  <w:style w:type="paragraph" w:styleId="Heading" w:customStyle="1">
    <w:name w:val="Heading"/>
    <w:basedOn w:val="Normal"/>
    <w:next w:val="BodyText"/>
    <w:qFormat/>
    <w:pPr>
      <w:keepNext w:val="true"/>
      <w:spacing w:before="240" w:after="120"/>
    </w:pPr>
    <w:rPr>
      <w:rFonts w:ascii="Gill Sans" w:hAnsi="Gill Sans" w:eastAsia="PingFang SC"/>
      <w:b/>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spacing w:before="238" w:after="119"/>
    </w:pPr>
    <w:rPr>
      <w:bCs/>
      <w:sz w:val="38"/>
      <w:szCs w:val="56"/>
    </w:rPr>
  </w:style>
  <w:style w:type="paragraph" w:styleId="Author" w:customStyle="1">
    <w:name w:val="Author"/>
    <w:basedOn w:val="BodyText"/>
    <w:qFormat/>
    <w:pPr>
      <w:spacing w:before="0" w:after="142"/>
      <w:ind w:hanging="283" w:start="283"/>
    </w:pPr>
    <w:rPr>
      <w:i/>
    </w:rPr>
  </w:style>
  <w:style w:type="paragraph" w:styleId="BlockQuotationuser" w:customStyle="1">
    <w:name w:val="Block Quotation (user)"/>
    <w:basedOn w:val="Normal"/>
    <w:qFormat/>
    <w:pPr>
      <w:spacing w:lineRule="auto" w:line="276" w:before="0" w:after="283"/>
      <w:ind w:start="567" w:end="567"/>
    </w:pPr>
    <w:rPr/>
  </w:style>
  <w:style w:type="paragraph" w:styleId="Abstract" w:customStyle="1">
    <w:name w:val="Abstract"/>
    <w:basedOn w:val="BodyText"/>
    <w:qFormat/>
    <w:pPr>
      <w:spacing w:before="0" w:after="142"/>
      <w:ind w:start="567" w:end="567"/>
    </w:pPr>
    <w:rPr>
      <w:i/>
      <w:iCs/>
    </w:rPr>
  </w:style>
  <w:style w:type="paragraph" w:styleId="toaheading">
    <w:name w:val="toa heading"/>
    <w:basedOn w:val="Heading"/>
    <w:qFormat/>
    <w:pPr>
      <w:pageBreakBefore/>
      <w:suppressLineNumbers/>
    </w:pPr>
    <w:rPr>
      <w:bCs/>
      <w:sz w:val="32"/>
      <w:szCs w:val="32"/>
    </w:rPr>
  </w:style>
  <w:style w:type="paragraph" w:styleId="TOC1">
    <w:name w:val="toc 1"/>
    <w:basedOn w:val="Index"/>
    <w:pPr>
      <w:tabs>
        <w:tab w:val="clear" w:pos="720"/>
        <w:tab w:val="right" w:pos="9638" w:leader="dot"/>
      </w:tabs>
    </w:pPr>
    <w:rPr/>
  </w:style>
  <w:style w:type="paragraph" w:styleId="Reference" w:customStyle="1">
    <w:name w:val="Reference"/>
    <w:basedOn w:val="BodyText"/>
    <w:qFormat/>
    <w:pPr>
      <w:spacing w:before="0" w:after="142"/>
      <w:ind w:hanging="283" w:start="283"/>
    </w:pPr>
    <w:rPr/>
  </w:style>
  <w:style w:type="paragraph" w:styleId="TOC2">
    <w:name w:val="toc 2"/>
    <w:basedOn w:val="Index"/>
    <w:pPr>
      <w:tabs>
        <w:tab w:val="clear" w:pos="720"/>
        <w:tab w:val="right" w:pos="9355" w:leader="dot"/>
      </w:tabs>
      <w:ind w:start="283"/>
    </w:pPr>
    <w:rPr/>
  </w:style>
  <w:style w:type="paragraph" w:styleId="FigureCaption" w:customStyle="1">
    <w:name w:val="Figure Caption"/>
    <w:basedOn w:val="BodyText"/>
    <w:qFormat/>
    <w:pPr>
      <w:spacing w:before="0" w:after="142"/>
      <w:ind w:hanging="283" w:start="283"/>
    </w:pPr>
    <w:rPr/>
  </w:style>
  <w:style w:type="paragraph" w:styleId="TOC3">
    <w:name w:val="toc 3"/>
    <w:basedOn w:val="Index"/>
    <w:pPr>
      <w:tabs>
        <w:tab w:val="clear" w:pos="720"/>
        <w:tab w:val="right" w:pos="9072" w:leader="dot"/>
      </w:tabs>
      <w:ind w:start="566"/>
    </w:pPr>
    <w:rPr/>
  </w:style>
  <w:style w:type="paragraph" w:styleId="HeaderandFooter" w:customStyle="1">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rPr/>
  </w:style>
  <w:style w:type="paragraph" w:styleId="TableContents" w:customStyle="1">
    <w:name w:val="Table Contents"/>
    <w:basedOn w:val="Normal"/>
    <w:qFormat/>
    <w:pPr>
      <w:widowControl w:val="false"/>
      <w:suppressLineNumbers/>
      <w:spacing w:before="0" w:after="113"/>
    </w:pPr>
    <w:rPr/>
  </w:style>
  <w:style w:type="paragraph" w:styleId="TableHeading" w:customStyle="1">
    <w:name w:val="Table Heading"/>
    <w:basedOn w:val="TableContents"/>
    <w:qFormat/>
    <w:pPr/>
    <w:rPr>
      <w:b/>
      <w:bCs/>
    </w:rPr>
  </w:style>
  <w:style w:type="paragraph" w:styleId="Header">
    <w:name w:val="header"/>
    <w:basedOn w:val="HeaderandFooter"/>
    <w:pPr/>
    <w:rPr>
      <w:smallCaps/>
    </w:rPr>
  </w:style>
  <w:style w:type="paragraph" w:styleId="CommentText">
    <w:name w:val="annotation text"/>
    <w:basedOn w:val="Normal"/>
    <w:link w:val="CommentTextChar"/>
    <w:uiPriority w:val="99"/>
    <w:unhideWhenUsed/>
    <w:rsid w:val="00bf1f32"/>
    <w:pPr/>
    <w:rPr>
      <w:rFonts w:cs="Mangal"/>
      <w:sz w:val="20"/>
      <w:szCs w:val="18"/>
    </w:rPr>
  </w:style>
  <w:style w:type="paragraph" w:styleId="annotationsubject">
    <w:name w:val="annotation subject"/>
    <w:basedOn w:val="CommentText"/>
    <w:next w:val="CommentText"/>
    <w:link w:val="CommentSubjectChar"/>
    <w:uiPriority w:val="99"/>
    <w:semiHidden/>
    <w:unhideWhenUsed/>
    <w:qFormat/>
    <w:rsid w:val="00bf1f32"/>
    <w:pPr/>
    <w:rPr>
      <w:b/>
      <w:bCs/>
    </w:rPr>
  </w:style>
  <w:style w:type="paragraph" w:styleId="Revision">
    <w:name w:val="Revision"/>
    <w:uiPriority w:val="99"/>
    <w:semiHidden/>
    <w:qFormat/>
    <w:rsid w:val="00e01ccb"/>
    <w:pPr>
      <w:widowControl/>
      <w:suppressAutoHyphens w:val="false"/>
      <w:bidi w:val="0"/>
      <w:spacing w:before="0" w:after="0"/>
      <w:jc w:val="start"/>
    </w:pPr>
    <w:rPr>
      <w:rFonts w:ascii="Baskerville" w:hAnsi="Baskerville" w:eastAsia="Songti SC" w:cs="Mangal"/>
      <w:color w:val="auto"/>
      <w:kern w:val="2"/>
      <w:sz w:val="24"/>
      <w:szCs w:val="21"/>
      <w:lang w:val="en-GB"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s://doi.org/10.2475/ajs.s3-39.229.81" TargetMode="External"/><Relationship Id="rId10" Type="http://schemas.openxmlformats.org/officeDocument/2006/relationships/hyperlink" Target="http://hdl.handle.net/2246/6497" TargetMode="External"/><Relationship Id="rId11" Type="http://schemas.openxmlformats.org/officeDocument/2006/relationships/hyperlink" Target="https://doi.org/10.1130/GSAB-30-379" TargetMode="External"/><Relationship Id="rId12" Type="http://schemas.openxmlformats.org/officeDocument/2006/relationships/hyperlink" Target="https://doi.org/10.1127/pala/284/2008/69" TargetMode="External"/><Relationship Id="rId13" Type="http://schemas.openxmlformats.org/officeDocument/2006/relationships/hyperlink" Target="https://dinotoyblog.com/" TargetMode="External"/><Relationship Id="rId14" Type="http://schemas.openxmlformats.org/officeDocument/2006/relationships/hyperlink" Target="https://github.com/miketaylor/palaeo-superbaro" TargetMode="External"/><Relationship Id="rId15" Type="http://schemas.openxmlformats.org/officeDocument/2006/relationships/hyperlink" Target="https://doi.org/10.7717/peerj.857" TargetMode="External"/><Relationship Id="rId16" Type="http://schemas.openxmlformats.org/officeDocument/2006/relationships/hyperlink" Target="https://naturalhistory.si.edu/sites/default/files/media/translated_publications/Young%26amp%3BZhao_72.pdf" TargetMode="Externa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687</TotalTime>
  <Application>LibreOffice/26.2.0.3$MacOSX_AARCH64 LibreOffice_project/afbbd0df0edb6d40b450b0337ac646b0913a760c</Application>
  <AppVersion>15.0000</AppVersion>
  <Pages>37</Pages>
  <Words>17940</Words>
  <Characters>94828</Characters>
  <CharactersWithSpaces>112289</CharactersWithSpaces>
  <Paragraphs>397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2026-07-30T15:50:00Z</dcterms:created>
  <dc:creator>Mike Taylor</dc:creator>
  <dc:description/>
  <dc:language>en-GB</dc:language>
  <cp:lastModifiedBy>Mike Taylor</cp:lastModifiedBy>
  <dcterms:modified xsi:type="dcterms:W3CDTF">2026-08-20T00:55:00Z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