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 xml:space="preserve">USNM’s only interest in #340 was apparently in using elements of the skeleton to complete #355 for a gallery mount (Gilmore 1923b:1), so only the cervicals, three anterior dorsals, right scapula, humerus and radius </w:t>
      </w:r>
      <w:r>
        <w:rPr/>
        <w:t xml:space="preserve">and a sternal plate </w:t>
      </w:r>
      <w:r>
        <w:rPr/>
        <w:t xml:space="preserve">were sent there (Gilmore 1923b:3). </w:t>
      </w:r>
      <w:r>
        <w:rPr/>
        <w:t xml:space="preserve">Some material of #340 went to the Carnegie Museum:  (Gilmore 1923b:1) </w:t>
      </w:r>
      <w:r>
        <w:rPr/>
        <w:t>wrote that</w:t>
      </w:r>
      <w:r>
        <w:rPr/>
        <w:t xml:space="preserve"> “</w:t>
      </w:r>
      <w:r>
        <w:rPr/>
        <w:t xml:space="preserve">One block belonging to this specimen was shipped to Pittsburgh, but will, I understand, be turned over to the National Museum as soon as certain bones of another individual are extracted from it”. </w:t>
      </w:r>
      <w:r>
        <w:rPr/>
        <w:t xml:space="preserve">It seems however that at least </w:t>
      </w:r>
      <w:r>
        <w:rPr/>
        <w:t>three</w:t>
      </w:r>
      <w:r>
        <w:rPr/>
        <w:t xml:space="preserve"> blocks went to Pittsburgh. One, containing part of the neck, was shipped from there to the USNM in October 1924 (Coggeshall 1924); but there </w:t>
      </w:r>
      <w:r>
        <w:rPr/>
        <w:t xml:space="preserve">were </w:t>
      </w:r>
      <w:r>
        <w:rPr/>
        <w:t xml:space="preserve">also </w:t>
      </w:r>
      <w:r>
        <w:rPr/>
        <w:t xml:space="preserve">caudals, which would still be at the Carnegie at the end of 1929: </w:t>
      </w:r>
      <w:r>
        <w:rPr/>
        <w:t>“</w:t>
      </w:r>
      <w:r>
        <w:rPr/>
        <w:t>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w:t>
      </w:r>
      <w:r>
        <w:rPr/>
        <w:t xml:space="preserve">cervicals </w:t>
      </w:r>
      <w:r>
        <w:rPr/>
        <w:t xml:space="preserve">(and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rPr/>
      </w:pPr>
      <w:bookmarkStart w:id="9" w:name="__RefHeading___Toc25852_1820571732"/>
      <w:bookmarkEnd w:id="9"/>
      <w:r>
        <w:rPr/>
        <w:t>The skeleton reunited</w:t>
      </w:r>
    </w:p>
    <w:p>
      <w:pPr>
        <w:pStyle w:val="BodyText"/>
        <w:rPr/>
      </w:pPr>
      <w:r>
        <w:rPr/>
        <w:t>l</w:t>
      </w:r>
      <w:r>
        <w:rPr/>
        <w:t xml:space="preserve">In 1929, Barnum Brown, acting for the American Museum of Natural History, visited most of the nation’s major natural history museums to assess their collections. He realised that the neck, anterior torso and forelimb material at the USNM, and the tail segment </w:t>
      </w:r>
      <w:r>
        <w:rPr/>
        <w:t xml:space="preserve">still </w:t>
      </w:r>
      <w:r>
        <w:rPr/>
        <w:t xml:space="preserve">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w:t>
      </w:r>
      <w:r>
        <w:rPr/>
        <w:t>The process of bringing the skeleton back together dragged on: the thirteen crates of material at the USNM w</w:t>
      </w:r>
      <w:r>
        <w:rPr/>
        <w:t>ere</w:t>
      </w:r>
      <w:r>
        <w:rPr/>
        <w:t xml:space="preserve"> transported to the AMNH </w:t>
      </w:r>
      <w:r>
        <w:rPr/>
        <w:t xml:space="preserve">only in </w:t>
      </w:r>
      <w:r>
        <w:rPr/>
        <w:t xml:space="preserve">February 1933 (Wetmore 1933), </w:t>
      </w:r>
      <w:r>
        <w:rPr/>
        <w:t xml:space="preserve">perhaps because Wetmore himself — Secretary of the USNM — did “not favour disposal of this </w:t>
      </w:r>
      <w:r>
        <w:rPr>
          <w:i/>
          <w:iCs/>
        </w:rPr>
        <w:t>Barosaurus</w:t>
      </w:r>
      <w:r>
        <w:rPr/>
        <w:t xml:space="preserve"> neck” (Gilmore, reported in Brown 1929)</w:t>
      </w:r>
      <w:r>
        <w:rPr/>
        <w:t xml:space="preserve">. </w:t>
      </w:r>
      <w:r>
        <w:rPr/>
        <w:t>The reunited s</w:t>
      </w:r>
      <w:r>
        <w:rPr/>
        <w:t xml:space="preserve">pecimen </w:t>
      </w:r>
      <w:r>
        <w:rPr/>
        <w:t>was given the specimen number AMNH 6341. (See Norell et al. 1991:36–38, Dingus 1996:21–22, McIntosh 2005:42–43).</w:t>
      </w:r>
    </w:p>
    <w:p>
      <w:pPr>
        <w:pStyle w:val="BodyText"/>
        <w:rPr/>
      </w:pPr>
      <w:r>
        <w:rPr/>
        <w:t xml:space="preserve">Brown’s (1929) memorandum on the trading he did for fossils </w:t>
      </w:r>
      <w:r>
        <w:rPr/>
        <w:t xml:space="preserve">provided </w:t>
      </w:r>
      <w:r>
        <w:rPr/>
        <w:t xml:space="preserve">a list of </w:t>
      </w:r>
      <w:r>
        <w:rPr>
          <w:i/>
          <w:iCs/>
        </w:rPr>
        <w:t>Barosaurus</w:t>
      </w:r>
      <w:r>
        <w:rPr/>
        <w:t xml:space="preserve"> material at the USNM rather different than that which Gilmore (1923b:3) </w:t>
      </w:r>
      <w:r>
        <w:rPr/>
        <w:t xml:space="preserve">had </w:t>
      </w:r>
      <w:r>
        <w:rPr/>
        <w:t xml:space="preserve">specified when sending the fossils there. Where Gilmore had listed 13 cervicals, three dorsals, right scapula, humerus and radius and a sternal plate, Brown listed 10 cervicals, three anterior dorsals, left scapula and humerus. </w:t>
      </w:r>
      <w:r>
        <w:rPr/>
        <w:t>T</w:t>
      </w:r>
      <w:r>
        <w:rPr/>
        <w:t xml:space="preserve">he left/right differences for the appendicular material are </w:t>
      </w:r>
      <w:r>
        <w:rPr/>
        <w:t>simply errors on Brown’s part (see below)</w:t>
      </w:r>
      <w:r>
        <w:rPr/>
        <w:t>.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w:t>
      </w:r>
      <w:r>
        <w:rPr/>
        <w:t>“</w:t>
      </w:r>
      <w:r>
        <w:rPr/>
        <w:t>t</w:t>
      </w:r>
      <w:r>
        <w:rPr/>
        <w:t xml:space="preserve">he skull and two or three of the anterior cervicals of no. 340 had been detached and were not in place” — </w:t>
      </w:r>
      <w:r>
        <w:rPr/>
        <w:t xml:space="preserve">an absence that would leave 13 cervicals remaining in an animal with 15 of 16 </w:t>
      </w:r>
      <w:r>
        <w:rPr/>
        <w:t> </w:t>
      </w:r>
      <w:r>
        <w:rPr/>
        <w:t xml:space="preserve">neck vertebrae. The reduction to 10 in Brown’s list, made after the material had been prepared at USNM, </w:t>
      </w:r>
      <w:r>
        <w:rPr/>
        <w:t xml:space="preserve">can be explained as a consequence of supposed pairs turning out to be single long vertebrae. </w:t>
      </w:r>
      <w:r>
        <w:rPr/>
        <w:t xml:space="preserve">This count is also in accord with </w:t>
      </w:r>
      <w:r>
        <w:rPr/>
        <w:t xml:space="preserve">the quarry map of Gilmore (1932:figure 1; </w:t>
      </w:r>
      <w:r>
        <w:rPr/>
        <w:t>Figure P). This</w:t>
      </w:r>
      <w:r>
        <w:rPr/>
        <w:t xml:space="preserve"> shows nine dorsals and ten cervicals belonging to the </w:t>
      </w:r>
      <w:r>
        <w:rPr>
          <w:i/>
          <w:iCs/>
        </w:rPr>
        <w:t>Barosaurus</w:t>
      </w:r>
      <w:r>
        <w:rPr/>
        <w:t xml:space="preserve"> skeleton </w:t>
      </w:r>
      <w:r>
        <w:rPr/>
        <w:t>(although the line-drawings of the cervicals do not at all resemble the actual vertebrae: compare Figure R)</w:t>
      </w:r>
      <w:r>
        <w:rPr/>
        <w:t>. If th</w:t>
      </w:r>
      <w:r>
        <w:rPr/>
        <w:t>e cervical count of ten in the quarry map and Brown’s memo</w:t>
      </w:r>
      <w:r>
        <w:rPr/>
        <w:t xml:space="preserve"> is correct, the most anterior of the </w:t>
      </w:r>
      <w:r>
        <w:rPr/>
        <w:t>cervicals</w:t>
      </w:r>
      <w:r>
        <w:rPr/>
        <w:t xml:space="preserve"> (C7) seems to have been lost or destroyed, </w:t>
      </w:r>
      <w:r>
        <w:rPr/>
        <w:t>since</w:t>
      </w:r>
      <w:r>
        <w:rPr/>
        <w:t xml:space="preserv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ind w:hanging="0" w:left="0" w:right="0"/>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 tenth cervical vertebra (C7), at present it preserves the last nine cervical vertebrae. These are therefore considered to be C8–C16.</w:t>
      </w:r>
    </w:p>
    <w:p>
      <w:pPr>
        <w:pStyle w:val="BodyText"/>
        <w:rPr/>
      </w:pPr>
      <w:r>
        <w:rPr/>
        <w:t xml:space="preserve">The anterior part of neck of the mount was completed using seven casts of anterior vertebrae from the Carnegie </w:t>
      </w:r>
      <w:r>
        <w:rPr>
          <w:i/>
          <w:iCs/>
        </w:rPr>
        <w:t>Diplodocus</w:t>
      </w:r>
      <w:r>
        <w:rPr/>
        <w:t xml:space="preserve">, but the anteriormost seven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 transition: one of us (May) believes they were probably cervicals 10 (595 mm), 8 (512 mm), 6 (442 mm) and 4–1, and the relative sizes of the vertebrae corroborate this identification.</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XXX discuss the possibility of arterial peristalsis.</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 xml:space="preserve">XXX Acknowledge archives people at AMNH and contact at USNM </w:t>
      </w:r>
      <w:r>
        <w:rPr/>
        <w:t>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w:t>
      </w:r>
      <w:r>
        <w:rPr/>
        <w:t>d</w:t>
      </w:r>
      <w:r>
        <w:rPr/>
        <w:t xml:space="preserve">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fals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 The RCI employee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Lowell Dingus and Mark Norell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2–16, all articulated in a single piece. By the wall to the left are two further vertebrae — probably anterior dorsals, although the presence of what looks like a cervical rib loop in the vertebra closest to the camera suggests possibly a spare copy of a posterior cervical.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except C13 from McIntosh (2005: fig. 2.1). XXX replace this with a better version using Tschopp’s and/or Mehling’s photos.</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93"/>
        <w:gridCol w:w="7719"/>
      </w:tblGrid>
      <w:tr>
        <w:trPr>
          <w:tblHeader w:val="true"/>
        </w:trPr>
        <w:tc>
          <w:tcPr>
            <w:tcW w:w="2293" w:type="dxa"/>
            <w:tcBorders/>
          </w:tcPr>
          <w:p>
            <w:pPr>
              <w:pStyle w:val="TableHeading"/>
              <w:spacing w:before="0" w:after="113"/>
              <w:rPr/>
            </w:pPr>
            <w:r>
              <w:rPr/>
              <w:t>Date</w:t>
            </w:r>
          </w:p>
        </w:tc>
        <w:tc>
          <w:tcPr>
            <w:tcW w:w="7719" w:type="dxa"/>
            <w:tcBorders/>
          </w:tcPr>
          <w:p>
            <w:pPr>
              <w:pStyle w:val="TableHeading"/>
              <w:spacing w:before="0" w:after="113"/>
              <w:rPr/>
            </w:pPr>
            <w:r>
              <w:rPr/>
              <w:t>Event</w:t>
            </w:r>
          </w:p>
        </w:tc>
      </w:tr>
      <w:tr>
        <w:trPr>
          <w:trHeight w:val="235" w:hRule="atLeast"/>
        </w:trPr>
        <w:tc>
          <w:tcPr>
            <w:tcW w:w="2293" w:type="dxa"/>
            <w:tcBorders/>
          </w:tcPr>
          <w:p>
            <w:pPr>
              <w:pStyle w:val="TableContents"/>
              <w:spacing w:before="0" w:after="113"/>
              <w:rPr/>
            </w:pPr>
            <w:r>
              <w:rPr/>
              <w:t>1880s</w:t>
            </w:r>
          </w:p>
        </w:tc>
        <w:tc>
          <w:tcPr>
            <w:tcW w:w="7719"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93" w:type="dxa"/>
            <w:tcBorders/>
          </w:tcPr>
          <w:p>
            <w:pPr>
              <w:pStyle w:val="TableContents"/>
              <w:spacing w:before="0" w:after="113"/>
              <w:rPr/>
            </w:pPr>
            <w:r>
              <w:rPr/>
              <w:t>Summer 1889</w:t>
            </w:r>
          </w:p>
        </w:tc>
        <w:tc>
          <w:tcPr>
            <w:tcW w:w="7719"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93" w:type="dxa"/>
            <w:tcBorders/>
          </w:tcPr>
          <w:p>
            <w:pPr>
              <w:pStyle w:val="TableContents"/>
              <w:spacing w:before="0" w:after="113"/>
              <w:rPr/>
            </w:pPr>
            <w:r>
              <w:rPr/>
              <w:t>1890</w:t>
            </w:r>
          </w:p>
        </w:tc>
        <w:tc>
          <w:tcPr>
            <w:tcW w:w="7719"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93" w:type="dxa"/>
            <w:tcBorders/>
          </w:tcPr>
          <w:p>
            <w:pPr>
              <w:pStyle w:val="TableContents"/>
              <w:spacing w:before="0" w:after="113"/>
              <w:rPr/>
            </w:pPr>
            <w:r>
              <w:rPr/>
              <w:t>Late August 1898</w:t>
            </w:r>
          </w:p>
        </w:tc>
        <w:tc>
          <w:tcPr>
            <w:tcW w:w="7719" w:type="dxa"/>
            <w:tcBorders/>
          </w:tcPr>
          <w:p>
            <w:pPr>
              <w:pStyle w:val="TableContents"/>
              <w:spacing w:before="0" w:after="113"/>
              <w:rPr/>
            </w:pPr>
            <w:r>
              <w:rPr/>
              <w:t>Marsh sent George Wieland to collect the rest of the skeleton.</w:t>
            </w:r>
          </w:p>
        </w:tc>
      </w:tr>
      <w:tr>
        <w:trPr>
          <w:trHeight w:val="235" w:hRule="atLeast"/>
        </w:trPr>
        <w:tc>
          <w:tcPr>
            <w:tcW w:w="2293" w:type="dxa"/>
            <w:tcBorders/>
          </w:tcPr>
          <w:p>
            <w:pPr>
              <w:pStyle w:val="TableContents"/>
              <w:spacing w:before="0" w:after="113"/>
              <w:rPr/>
            </w:pPr>
            <w:r>
              <w:rPr/>
              <w:t>1899</w:t>
            </w:r>
          </w:p>
        </w:tc>
        <w:tc>
          <w:tcPr>
            <w:tcW w:w="7719"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93" w:type="dxa"/>
            <w:tcBorders/>
          </w:tcPr>
          <w:p>
            <w:pPr>
              <w:pStyle w:val="TableContents"/>
              <w:spacing w:before="0" w:after="113"/>
              <w:rPr/>
            </w:pPr>
            <w:r>
              <w:rPr/>
              <w:t>1907</w:t>
            </w:r>
          </w:p>
        </w:tc>
        <w:tc>
          <w:tcPr>
            <w:tcW w:w="7719"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93" w:type="dxa"/>
            <w:tcBorders/>
          </w:tcPr>
          <w:p>
            <w:pPr>
              <w:pStyle w:val="TableContents"/>
              <w:spacing w:before="0" w:after="113"/>
              <w:rPr/>
            </w:pPr>
            <w:r>
              <w:rPr/>
              <w:t>Late 1916</w:t>
            </w:r>
          </w:p>
        </w:tc>
        <w:tc>
          <w:tcPr>
            <w:tcW w:w="7719"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93" w:type="dxa"/>
            <w:tcBorders/>
          </w:tcPr>
          <w:p>
            <w:pPr>
              <w:pStyle w:val="TableContents"/>
              <w:spacing w:before="0" w:after="113"/>
              <w:rPr/>
            </w:pPr>
            <w:r>
              <w:rPr/>
              <w:t>1917</w:t>
            </w:r>
          </w:p>
        </w:tc>
        <w:tc>
          <w:tcPr>
            <w:tcW w:w="7719" w:type="dxa"/>
            <w:tcBorders/>
          </w:tcPr>
          <w:p>
            <w:pPr>
              <w:pStyle w:val="TableContents"/>
              <w:spacing w:before="0" w:after="113"/>
              <w:rPr/>
            </w:pPr>
            <w:r>
              <w:rPr/>
              <w:t>Lull’s published abstract very briefly described the type specimen.</w:t>
            </w:r>
          </w:p>
        </w:tc>
      </w:tr>
      <w:tr>
        <w:trPr>
          <w:trHeight w:val="235" w:hRule="atLeast"/>
        </w:trPr>
        <w:tc>
          <w:tcPr>
            <w:tcW w:w="2293" w:type="dxa"/>
            <w:tcBorders/>
          </w:tcPr>
          <w:p>
            <w:pPr>
              <w:pStyle w:val="TableContents"/>
              <w:spacing w:before="0" w:after="113"/>
              <w:rPr/>
            </w:pPr>
            <w:r>
              <w:rPr/>
              <w:t>1919</w:t>
            </w:r>
          </w:p>
        </w:tc>
        <w:tc>
          <w:tcPr>
            <w:tcW w:w="7719" w:type="dxa"/>
            <w:tcBorders/>
          </w:tcPr>
          <w:p>
            <w:pPr>
              <w:pStyle w:val="TableContents"/>
              <w:spacing w:before="0" w:after="113"/>
              <w:rPr/>
            </w:pPr>
            <w:r>
              <w:rPr/>
              <w:t>Lull’s detailed monographic description of the type specimen.</w:t>
            </w:r>
          </w:p>
        </w:tc>
      </w:tr>
      <w:tr>
        <w:trPr>
          <w:trHeight w:val="235" w:hRule="atLeast"/>
        </w:trPr>
        <w:tc>
          <w:tcPr>
            <w:tcW w:w="2293" w:type="dxa"/>
            <w:tcBorders/>
          </w:tcPr>
          <w:p>
            <w:pPr>
              <w:pStyle w:val="TableContents"/>
              <w:spacing w:before="0" w:after="113"/>
              <w:rPr/>
            </w:pPr>
            <w:r>
              <w:rPr/>
              <w:t>1922</w:t>
            </w:r>
          </w:p>
        </w:tc>
        <w:tc>
          <w:tcPr>
            <w:tcW w:w="7719"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93" w:type="dxa"/>
            <w:tcBorders/>
          </w:tcPr>
          <w:p>
            <w:pPr>
              <w:pStyle w:val="TableContents"/>
              <w:spacing w:before="0" w:after="113"/>
              <w:rPr/>
            </w:pPr>
            <w:r>
              <w:rPr/>
              <w:t>1922–1923</w:t>
            </w:r>
          </w:p>
        </w:tc>
        <w:tc>
          <w:tcPr>
            <w:tcW w:w="7719"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93" w:type="dxa"/>
            <w:tcBorders/>
          </w:tcPr>
          <w:p>
            <w:pPr>
              <w:pStyle w:val="TableContents"/>
              <w:spacing w:before="0" w:after="113"/>
              <w:rPr/>
            </w:pPr>
            <w:r>
              <w:rPr/>
              <w:t>192</w:t>
            </w:r>
            <w:r>
              <w:rPr/>
              <w:t>3</w:t>
            </w:r>
          </w:p>
        </w:tc>
        <w:tc>
          <w:tcPr>
            <w:tcW w:w="7719"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w:t>
            </w:r>
            <w:r>
              <w:rPr/>
              <w:t>(#355)</w:t>
            </w:r>
            <w:r>
              <w:rPr/>
              <w:t xml:space="preserve">.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93" w:type="dxa"/>
            <w:tcBorders/>
          </w:tcPr>
          <w:p>
            <w:pPr>
              <w:pStyle w:val="TableContents"/>
              <w:spacing w:before="0" w:after="113"/>
              <w:rPr/>
            </w:pPr>
            <w:r>
              <w:rPr/>
              <w:t>1929</w:t>
            </w:r>
          </w:p>
        </w:tc>
        <w:tc>
          <w:tcPr>
            <w:tcW w:w="7719" w:type="dxa"/>
            <w:tcBorders/>
          </w:tcPr>
          <w:p>
            <w:pPr>
              <w:pStyle w:val="TableContents"/>
              <w:spacing w:before="0" w:after="113"/>
              <w:rPr/>
            </w:pPr>
            <w:r>
              <w:rPr/>
              <w:t xml:space="preserve">Barnum Brown realised that the USNM neck and the Carnegie tail belonged to the same individual as the partial skeleton at the University of Utah. He </w:t>
            </w:r>
            <w:r>
              <w:rPr/>
              <w:t xml:space="preserve">negotiated to </w:t>
            </w:r>
            <w:r>
              <w:rPr/>
              <w:t xml:space="preserve">acquire all three three portions of this skeleton </w:t>
            </w:r>
            <w:r>
              <w:rPr/>
              <w:t xml:space="preserve">for </w:t>
            </w:r>
            <w:r>
              <w:rPr/>
              <w:t>the American Museum of Natural History (AMNH) in New York.</w:t>
            </w:r>
          </w:p>
        </w:tc>
      </w:tr>
      <w:tr>
        <w:trPr>
          <w:trHeight w:val="246" w:hRule="atLeast"/>
        </w:trPr>
        <w:tc>
          <w:tcPr>
            <w:tcW w:w="2293" w:type="dxa"/>
            <w:tcBorders/>
          </w:tcPr>
          <w:p>
            <w:pPr>
              <w:pStyle w:val="TableContents"/>
              <w:spacing w:before="0" w:after="113"/>
              <w:rPr/>
            </w:pPr>
            <w:r>
              <w:rPr/>
              <w:t>1931</w:t>
            </w:r>
          </w:p>
        </w:tc>
        <w:tc>
          <w:tcPr>
            <w:tcW w:w="7719"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93" w:type="dxa"/>
            <w:tcBorders/>
          </w:tcPr>
          <w:p>
            <w:pPr>
              <w:pStyle w:val="TableContents"/>
              <w:spacing w:before="0" w:after="113"/>
              <w:rPr/>
            </w:pPr>
            <w:r>
              <w:rPr/>
              <w:t>9 February 1933</w:t>
            </w:r>
          </w:p>
        </w:tc>
        <w:tc>
          <w:tcPr>
            <w:tcW w:w="7719"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93" w:type="dxa"/>
            <w:tcBorders/>
          </w:tcPr>
          <w:p>
            <w:pPr>
              <w:pStyle w:val="TableContents"/>
              <w:spacing w:before="0" w:after="113"/>
              <w:rPr/>
            </w:pPr>
            <w:r>
              <w:rPr/>
              <w:t>17 April 1939</w:t>
            </w:r>
          </w:p>
        </w:tc>
        <w:tc>
          <w:tcPr>
            <w:tcW w:w="7719"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93" w:type="dxa"/>
            <w:tcBorders/>
          </w:tcPr>
          <w:p>
            <w:pPr>
              <w:pStyle w:val="TableContents"/>
              <w:spacing w:before="0" w:after="113"/>
              <w:rPr/>
            </w:pPr>
            <w:r>
              <w:rPr/>
              <w:t>Early 1950s</w:t>
            </w:r>
          </w:p>
        </w:tc>
        <w:tc>
          <w:tcPr>
            <w:tcW w:w="7719"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93" w:type="dxa"/>
            <w:tcBorders/>
          </w:tcPr>
          <w:p>
            <w:pPr>
              <w:pStyle w:val="TableContents"/>
              <w:spacing w:before="0" w:after="113"/>
              <w:rPr/>
            </w:pPr>
            <w:r>
              <w:rPr/>
              <w:t>1952</w:t>
            </w:r>
          </w:p>
        </w:tc>
        <w:tc>
          <w:tcPr>
            <w:tcW w:w="7719"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93" w:type="dxa"/>
            <w:tcBorders/>
          </w:tcPr>
          <w:p>
            <w:pPr>
              <w:pStyle w:val="TableContents"/>
              <w:spacing w:before="0" w:after="113"/>
              <w:rPr/>
            </w:pPr>
            <w:r>
              <w:rPr/>
              <w:t>8 June, 1957</w:t>
            </w:r>
          </w:p>
        </w:tc>
        <w:tc>
          <w:tcPr>
            <w:tcW w:w="7719"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93" w:type="dxa"/>
            <w:tcBorders/>
          </w:tcPr>
          <w:p>
            <w:pPr>
              <w:pStyle w:val="TableContents"/>
              <w:spacing w:before="0" w:after="113"/>
              <w:rPr/>
            </w:pPr>
            <w:r>
              <w:rPr/>
              <w:t>1970</w:t>
            </w:r>
          </w:p>
        </w:tc>
        <w:tc>
          <w:tcPr>
            <w:tcW w:w="7719"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93" w:type="dxa"/>
            <w:tcBorders/>
          </w:tcPr>
          <w:p>
            <w:pPr>
              <w:pStyle w:val="TableContents"/>
              <w:spacing w:before="0" w:after="113"/>
              <w:rPr/>
            </w:pPr>
            <w:r>
              <w:rPr/>
              <w:t>1977</w:t>
            </w:r>
          </w:p>
        </w:tc>
        <w:tc>
          <w:tcPr>
            <w:tcW w:w="7719" w:type="dxa"/>
            <w:tcBorders/>
          </w:tcPr>
          <w:p>
            <w:pPr>
              <w:pStyle w:val="TableContents"/>
              <w:spacing w:before="0" w:after="113"/>
              <w:rPr/>
            </w:pPr>
            <w:r>
              <w:rPr/>
              <w:t>Peter May began working with skeletal mounts at the Royal Ontario Museum.</w:t>
            </w:r>
          </w:p>
        </w:tc>
      </w:tr>
      <w:tr>
        <w:trPr>
          <w:trHeight w:val="246" w:hRule="atLeast"/>
        </w:trPr>
        <w:tc>
          <w:tcPr>
            <w:tcW w:w="2293" w:type="dxa"/>
            <w:tcBorders/>
          </w:tcPr>
          <w:p>
            <w:pPr>
              <w:pStyle w:val="TableContents"/>
              <w:spacing w:before="0" w:after="113"/>
              <w:rPr/>
            </w:pPr>
            <w:r>
              <w:rPr/>
              <w:t>1978</w:t>
            </w:r>
          </w:p>
        </w:tc>
        <w:tc>
          <w:tcPr>
            <w:tcW w:w="7719"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93" w:type="dxa"/>
            <w:tcBorders/>
          </w:tcPr>
          <w:p>
            <w:pPr>
              <w:pStyle w:val="TableContents"/>
              <w:spacing w:before="0" w:after="113"/>
              <w:rPr/>
            </w:pPr>
            <w:r>
              <w:rPr/>
              <w:t>1986</w:t>
            </w:r>
          </w:p>
        </w:tc>
        <w:tc>
          <w:tcPr>
            <w:tcW w:w="7719" w:type="dxa"/>
            <w:tcBorders/>
          </w:tcPr>
          <w:p>
            <w:pPr>
              <w:pStyle w:val="TableContents"/>
              <w:spacing w:before="0" w:after="113"/>
              <w:rPr/>
            </w:pPr>
            <w:r>
              <w:rPr/>
              <w:t>The AMNH began planning an extensive renovation of its fossil halls.</w:t>
            </w:r>
          </w:p>
        </w:tc>
      </w:tr>
      <w:tr>
        <w:trPr>
          <w:trHeight w:val="246" w:hRule="atLeast"/>
        </w:trPr>
        <w:tc>
          <w:tcPr>
            <w:tcW w:w="2293" w:type="dxa"/>
            <w:tcBorders/>
          </w:tcPr>
          <w:p>
            <w:pPr>
              <w:pStyle w:val="TableContents"/>
              <w:spacing w:before="0" w:after="113"/>
              <w:rPr/>
            </w:pPr>
            <w:r>
              <w:rPr/>
              <w:t>1989</w:t>
            </w:r>
          </w:p>
        </w:tc>
        <w:tc>
          <w:tcPr>
            <w:tcW w:w="7719"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93" w:type="dxa"/>
            <w:tcBorders/>
          </w:tcPr>
          <w:p>
            <w:pPr>
              <w:pStyle w:val="TableContents"/>
              <w:spacing w:before="0" w:after="113"/>
              <w:rPr/>
            </w:pPr>
            <w:r>
              <w:rPr/>
              <w:t>1990</w:t>
            </w:r>
          </w:p>
        </w:tc>
        <w:tc>
          <w:tcPr>
            <w:tcW w:w="7719" w:type="dxa"/>
            <w:tcBorders/>
          </w:tcPr>
          <w:p>
            <w:pPr>
              <w:pStyle w:val="TableContents"/>
              <w:spacing w:before="0" w:after="113"/>
              <w:rPr/>
            </w:pPr>
            <w:r>
              <w:rPr/>
              <w:t>Peter May went full time with his company Research Casting International (RCI).</w:t>
            </w:r>
          </w:p>
        </w:tc>
      </w:tr>
      <w:tr>
        <w:trPr>
          <w:trHeight w:val="246" w:hRule="atLeast"/>
        </w:trPr>
        <w:tc>
          <w:tcPr>
            <w:tcW w:w="2293" w:type="dxa"/>
            <w:tcBorders/>
          </w:tcPr>
          <w:p>
            <w:pPr>
              <w:pStyle w:val="TableContents"/>
              <w:spacing w:before="0" w:after="113"/>
              <w:rPr/>
            </w:pPr>
            <w:r>
              <w:rPr/>
              <w:t>28 March 1990</w:t>
            </w:r>
          </w:p>
        </w:tc>
        <w:tc>
          <w:tcPr>
            <w:tcW w:w="7719"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93" w:type="dxa"/>
            <w:tcBorders/>
          </w:tcPr>
          <w:p>
            <w:pPr>
              <w:pStyle w:val="TableContents"/>
              <w:spacing w:before="0" w:after="113"/>
              <w:rPr/>
            </w:pPr>
            <w:r>
              <w:rPr/>
              <w:t>Fall 1990</w:t>
            </w:r>
          </w:p>
        </w:tc>
        <w:tc>
          <w:tcPr>
            <w:tcW w:w="7719"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93" w:type="dxa"/>
            <w:tcBorders/>
          </w:tcPr>
          <w:p>
            <w:pPr>
              <w:pStyle w:val="TableContents"/>
              <w:spacing w:before="0" w:after="113"/>
              <w:rPr/>
            </w:pPr>
            <w:r>
              <w:rPr/>
              <w:t>Late 1990/early 1991</w:t>
            </w:r>
          </w:p>
        </w:tc>
        <w:tc>
          <w:tcPr>
            <w:tcW w:w="7719"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93" w:type="dxa"/>
            <w:tcBorders/>
          </w:tcPr>
          <w:p>
            <w:pPr>
              <w:pStyle w:val="TableContents"/>
              <w:spacing w:before="0" w:after="113"/>
              <w:rPr/>
            </w:pPr>
            <w:r>
              <w:rPr/>
              <w:t>Spring 1991</w:t>
            </w:r>
          </w:p>
        </w:tc>
        <w:tc>
          <w:tcPr>
            <w:tcW w:w="7719"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93" w:type="dxa"/>
            <w:tcBorders/>
          </w:tcPr>
          <w:p>
            <w:pPr>
              <w:pStyle w:val="TableContents"/>
              <w:spacing w:before="0" w:after="113"/>
              <w:rPr/>
            </w:pPr>
            <w:r>
              <w:rPr/>
              <w:t>Summer 1991</w:t>
            </w:r>
          </w:p>
        </w:tc>
        <w:tc>
          <w:tcPr>
            <w:tcW w:w="7719"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93" w:type="dxa"/>
            <w:tcBorders/>
          </w:tcPr>
          <w:p>
            <w:pPr>
              <w:pStyle w:val="TableContents"/>
              <w:spacing w:before="0" w:after="113"/>
              <w:rPr/>
            </w:pPr>
            <w:r>
              <w:rPr/>
              <w:t>November 1991</w:t>
            </w:r>
          </w:p>
        </w:tc>
        <w:tc>
          <w:tcPr>
            <w:tcW w:w="7719" w:type="dxa"/>
            <w:tcBorders/>
          </w:tcPr>
          <w:p>
            <w:pPr>
              <w:pStyle w:val="TableContents"/>
              <w:spacing w:before="0" w:after="113"/>
              <w:rPr/>
            </w:pPr>
            <w:r>
              <w:rPr/>
              <w:t>The work in Toronto was complete, and the completed exhibit was transported to New York.</w:t>
            </w:r>
          </w:p>
        </w:tc>
      </w:tr>
      <w:tr>
        <w:trPr>
          <w:trHeight w:val="246" w:hRule="atLeast"/>
        </w:trPr>
        <w:tc>
          <w:tcPr>
            <w:tcW w:w="2293" w:type="dxa"/>
            <w:tcBorders/>
          </w:tcPr>
          <w:p>
            <w:pPr>
              <w:pStyle w:val="TableContents"/>
              <w:spacing w:before="0" w:after="113"/>
              <w:rPr/>
            </w:pPr>
            <w:r>
              <w:rPr/>
              <w:t>29 November 1991</w:t>
            </w:r>
          </w:p>
        </w:tc>
        <w:tc>
          <w:tcPr>
            <w:tcW w:w="7719"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93" w:type="dxa"/>
            <w:tcBorders/>
          </w:tcPr>
          <w:p>
            <w:pPr>
              <w:pStyle w:val="TableContents"/>
              <w:spacing w:before="0" w:after="113"/>
              <w:rPr/>
            </w:pPr>
            <w:r>
              <w:rPr/>
              <w:t>3 December 1991</w:t>
            </w:r>
          </w:p>
        </w:tc>
        <w:tc>
          <w:tcPr>
            <w:tcW w:w="7719"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93" w:type="dxa"/>
            <w:tcBorders/>
          </w:tcPr>
          <w:p>
            <w:pPr>
              <w:pStyle w:val="TableContents"/>
              <w:spacing w:before="0" w:after="113"/>
              <w:rPr/>
            </w:pPr>
            <w:r>
              <w:rPr/>
              <w:t>4 December 1991</w:t>
            </w:r>
          </w:p>
        </w:tc>
        <w:tc>
          <w:tcPr>
            <w:tcW w:w="7719" w:type="dxa"/>
            <w:tcBorders/>
          </w:tcPr>
          <w:p>
            <w:pPr>
              <w:pStyle w:val="TableContents"/>
              <w:spacing w:before="0" w:after="113"/>
              <w:rPr/>
            </w:pPr>
            <w:r>
              <w:rPr/>
              <w:t>The exhibit was opened to the public.</w:t>
            </w:r>
          </w:p>
        </w:tc>
      </w:tr>
      <w:tr>
        <w:trPr>
          <w:trHeight w:val="246" w:hRule="atLeast"/>
        </w:trPr>
        <w:tc>
          <w:tcPr>
            <w:tcW w:w="2293" w:type="dxa"/>
            <w:tcBorders/>
          </w:tcPr>
          <w:p>
            <w:pPr>
              <w:pStyle w:val="TableContents"/>
              <w:spacing w:before="0" w:after="113"/>
              <w:rPr/>
            </w:pPr>
            <w:r>
              <w:rPr/>
              <w:t>2005</w:t>
            </w:r>
          </w:p>
        </w:tc>
        <w:tc>
          <w:tcPr>
            <w:tcW w:w="7719"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93" w:type="dxa"/>
            <w:tcBorders/>
          </w:tcPr>
          <w:p>
            <w:pPr>
              <w:pStyle w:val="TableContents"/>
              <w:spacing w:before="0" w:after="113"/>
              <w:rPr/>
            </w:pPr>
            <w:r>
              <w:rPr/>
              <w:t>2007</w:t>
            </w:r>
          </w:p>
        </w:tc>
        <w:tc>
          <w:tcPr>
            <w:tcW w:w="7719"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93" w:type="dxa"/>
            <w:tcBorders/>
          </w:tcPr>
          <w:p>
            <w:pPr>
              <w:pStyle w:val="TableContents"/>
              <w:spacing w:before="0" w:after="113"/>
              <w:rPr/>
            </w:pPr>
            <w:r>
              <w:rPr/>
              <w:t>5 December 2007</w:t>
            </w:r>
          </w:p>
        </w:tc>
        <w:tc>
          <w:tcPr>
            <w:tcW w:w="7719"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4"/>
      <w:szCs w:val="36"/>
    </w:rPr>
  </w:style>
  <w:style w:type="paragraph" w:styleId="Heading3">
    <w:name w:val="heading 3"/>
    <w:basedOn w:val="Heading"/>
    <w:next w:val="BodyText"/>
    <w:qFormat/>
    <w:pPr>
      <w:spacing w:before="142" w:after="142"/>
      <w:ind w:hanging="0" w:left="0" w:right="0"/>
      <w:outlineLvl w:val="2"/>
    </w:pPr>
    <w:rPr>
      <w:b w:val="false"/>
      <w:bCs/>
      <w:sz w:val="22"/>
      <w:szCs w:val="28"/>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
    <w:name w:val="Block Quotation"/>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24390</TotalTime>
  <Application>LibreOffice/26.2.0.3$MacOSX_AARCH64 LibreOffice_project/afbbd0df0edb6d40b450b0337ac646b0913a760c</Application>
  <AppVersion>15.0000</AppVersion>
  <Pages>1</Pages>
  <Words>15823</Words>
  <Characters>83205</Characters>
  <CharactersWithSpaces>98594</CharactersWithSpaces>
  <Paragraphs>379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2026-06-09T15:37:15Z</dcterms:modified>
  <cp:revision>566</cp:revision>
  <dc:subject/>
  <dc:title/>
</cp:coreProperties>
</file>

<file path=docProps/custom.xml><?xml version="1.0" encoding="utf-8"?>
<Properties xmlns="http://schemas.openxmlformats.org/officeDocument/2006/custom-properties" xmlns:vt="http://schemas.openxmlformats.org/officeDocument/2006/docPropsVTypes"/>
</file>