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2</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3</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3</w:t>
            </w:r>
          </w:hyperlink>
        </w:p>
        <w:p>
          <w:pPr>
            <w:pStyle w:val="TOC1"/>
            <w:tabs>
              <w:tab w:val="clear" w:pos="9638"/>
              <w:tab w:val="right" w:pos="9637" w:leader="dot"/>
            </w:tabs>
            <w:rPr/>
          </w:pPr>
          <w:hyperlink w:anchor="__RefHeading___Toc4316_68767826" w:tooltip="Historical background">
            <w:r>
              <w:rPr>
                <w:rStyle w:val="IndexLink"/>
              </w:rPr>
              <w:t>Historical background</w:t>
              <w:tab/>
              <w:t>3</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4</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4</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5</w:t>
            </w:r>
          </w:hyperlink>
        </w:p>
        <w:p>
          <w:pPr>
            <w:pStyle w:val="TOC3"/>
            <w:tabs>
              <w:tab w:val="clear" w:pos="9072"/>
              <w:tab w:val="right" w:pos="9637" w:leader="dot"/>
            </w:tabs>
            <w:rPr/>
          </w:pPr>
          <w:hyperlink w:anchor="__RefHeading___Toc25852_1820571732" w:tooltip="The skeleton reunited">
            <w:r>
              <w:rPr>
                <w:rStyle w:val="IndexLink"/>
              </w:rPr>
              <w:t>The skeleton reunited</w:t>
              <w:tab/>
              <w:t>6</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7</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7</w:t>
            </w:r>
          </w:hyperlink>
        </w:p>
        <w:p>
          <w:pPr>
            <w:pStyle w:val="TOC2"/>
            <w:tabs>
              <w:tab w:val="clear" w:pos="9355"/>
              <w:tab w:val="right" w:pos="9637" w:leader="dot"/>
            </w:tabs>
            <w:rPr/>
          </w:pPr>
          <w:hyperlink w:anchor="__RefHeading___Toc1099_1709072779" w:tooltip="The purpose of the mount">
            <w:r>
              <w:rPr>
                <w:rStyle w:val="IndexLink"/>
                <w:i w:val="false"/>
                <w:iCs w:val="false"/>
              </w:rPr>
              <w:t>The purpose of the mount</w:t>
            </w:r>
            <w:r>
              <w:rPr>
                <w:rStyle w:val="IndexLink"/>
              </w:rPr>
              <w:tab/>
              <w:t>9</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9</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12</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12</w:t>
            </w:r>
          </w:hyperlink>
        </w:p>
        <w:p>
          <w:pPr>
            <w:pStyle w:val="TOC3"/>
            <w:tabs>
              <w:tab w:val="clear" w:pos="9072"/>
              <w:tab w:val="right" w:pos="9637" w:leader="dot"/>
            </w:tabs>
            <w:rPr/>
          </w:pPr>
          <w:hyperlink w:anchor="__RefHeading___Toc16585_68767826" w:tooltip="Overview">
            <w:r>
              <w:rPr>
                <w:rStyle w:val="IndexLink"/>
              </w:rPr>
              <w:t>Overview</w:t>
              <w:tab/>
              <w:t>12</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13</w:t>
            </w:r>
          </w:hyperlink>
        </w:p>
        <w:p>
          <w:pPr>
            <w:pStyle w:val="TOC3"/>
            <w:tabs>
              <w:tab w:val="clear" w:pos="9072"/>
              <w:tab w:val="right" w:pos="9637" w:leader="dot"/>
            </w:tabs>
            <w:rPr/>
          </w:pPr>
          <w:hyperlink w:anchor="__RefHeading___Toc25854_1820571732" w:tooltip="Non-Barosaurus material in the mount">
            <w:r>
              <w:rPr>
                <w:rStyle w:val="IndexLink"/>
              </w:rPr>
              <w:t>Non-Barosaurus material in the mount</w:t>
              <w:tab/>
              <w:t>14</w:t>
            </w:r>
          </w:hyperlink>
        </w:p>
        <w:p>
          <w:pPr>
            <w:pStyle w:val="TOC3"/>
            <w:tabs>
              <w:tab w:val="clear" w:pos="9072"/>
              <w:tab w:val="right" w:pos="9637" w:leader="dot"/>
            </w:tabs>
            <w:rPr/>
          </w:pPr>
          <w:hyperlink w:anchor="__RefHeading___Toc16587_68767826" w:tooltip="Skull">
            <w:r>
              <w:rPr>
                <w:rStyle w:val="IndexLink"/>
              </w:rPr>
              <w:t>Skull</w:t>
              <w:tab/>
              <w:t>14</w:t>
            </w:r>
          </w:hyperlink>
        </w:p>
        <w:p>
          <w:pPr>
            <w:pStyle w:val="TOC3"/>
            <w:tabs>
              <w:tab w:val="clear" w:pos="9072"/>
              <w:tab w:val="right" w:pos="9637" w:leader="dot"/>
            </w:tabs>
            <w:rPr/>
          </w:pPr>
          <w:hyperlink w:anchor="__RefHeading___Toc16589_68767826" w:tooltip="Neck">
            <w:r>
              <w:rPr>
                <w:rStyle w:val="IndexLink"/>
              </w:rPr>
              <w:t>Neck</w:t>
              <w:tab/>
              <w:t>15</w:t>
            </w:r>
          </w:hyperlink>
        </w:p>
        <w:p>
          <w:pPr>
            <w:pStyle w:val="TOC3"/>
            <w:tabs>
              <w:tab w:val="clear" w:pos="9072"/>
              <w:tab w:val="right" w:pos="9637" w:leader="dot"/>
            </w:tabs>
            <w:rPr/>
          </w:pPr>
          <w:hyperlink w:anchor="__RefHeading___Toc2466_2187837281" w:tooltip="Torso, sacrum and tail">
            <w:r>
              <w:rPr>
                <w:rStyle w:val="IndexLink"/>
              </w:rPr>
              <w:t>Torso, sacrum and tail</w:t>
              <w:tab/>
              <w:t>15</w:t>
            </w:r>
          </w:hyperlink>
        </w:p>
        <w:p>
          <w:pPr>
            <w:pStyle w:val="TOC3"/>
            <w:tabs>
              <w:tab w:val="clear" w:pos="9072"/>
              <w:tab w:val="right" w:pos="9637" w:leader="dot"/>
            </w:tabs>
            <w:rPr/>
          </w:pPr>
          <w:hyperlink w:anchor="__RefHeading___Toc2470_2187837281" w:tooltip="Forelimbs and girdles">
            <w:r>
              <w:rPr>
                <w:rStyle w:val="IndexLink"/>
              </w:rPr>
              <w:t>Forelimbs and girdles</w:t>
              <w:tab/>
              <w:t>15</w:t>
            </w:r>
          </w:hyperlink>
        </w:p>
        <w:p>
          <w:pPr>
            <w:pStyle w:val="TOC3"/>
            <w:tabs>
              <w:tab w:val="clear" w:pos="9072"/>
              <w:tab w:val="right" w:pos="9637" w:leader="dot"/>
            </w:tabs>
            <w:rPr/>
          </w:pPr>
          <w:hyperlink w:anchor="__RefHeading___Toc25856_1820571732" w:tooltip="Hindlimbs and girdles">
            <w:r>
              <w:rPr>
                <w:rStyle w:val="IndexLink"/>
              </w:rPr>
              <w:t>Hindlimbs and girdles</w:t>
              <w:tab/>
              <w:t>16</w:t>
            </w:r>
          </w:hyperlink>
        </w:p>
        <w:p>
          <w:pPr>
            <w:pStyle w:val="TOC1"/>
            <w:tabs>
              <w:tab w:val="clear" w:pos="9638"/>
              <w:tab w:val="right" w:pos="9637" w:leader="dot"/>
            </w:tabs>
            <w:rPr/>
          </w:pPr>
          <w:hyperlink w:anchor="__RefHeading___Toc3401_68767826" w:tooltip="Discussion">
            <w:r>
              <w:rPr>
                <w:rStyle w:val="IndexLink"/>
              </w:rPr>
              <w:t>Discussion</w:t>
              <w:tab/>
              <w:t>16</w:t>
            </w:r>
          </w:hyperlink>
        </w:p>
        <w:p>
          <w:pPr>
            <w:pStyle w:val="TOC2"/>
            <w:tabs>
              <w:tab w:val="clear" w:pos="9355"/>
              <w:tab w:val="right" w:pos="9637" w:leader="dot"/>
            </w:tabs>
            <w:rPr/>
          </w:pPr>
          <w:hyperlink w:anchor="__RefHeading___Toc2476_2187837281" w:tooltip="Rearing pose">
            <w:r>
              <w:rPr>
                <w:rStyle w:val="IndexLink"/>
              </w:rPr>
              <w:t>Rearing pose</w:t>
              <w:tab/>
              <w:t>16</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18</w:t>
            </w:r>
          </w:hyperlink>
        </w:p>
        <w:p>
          <w:pPr>
            <w:pStyle w:val="TOC2"/>
            <w:tabs>
              <w:tab w:val="clear" w:pos="9355"/>
              <w:tab w:val="right" w:pos="9637" w:leader="dot"/>
            </w:tabs>
            <w:rPr/>
          </w:pPr>
          <w:hyperlink w:anchor="__RefHeading___Toc11689_675290491" w:tooltip="Cultural impact">
            <w:r>
              <w:rPr>
                <w:rStyle w:val="IndexLink"/>
              </w:rPr>
              <w:t>Cultural impact</w:t>
              <w:tab/>
              <w:t>19</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20</w:t>
            </w:r>
          </w:hyperlink>
        </w:p>
        <w:p>
          <w:pPr>
            <w:pStyle w:val="TOC1"/>
            <w:tabs>
              <w:tab w:val="clear" w:pos="9638"/>
              <w:tab w:val="right" w:pos="9637" w:leader="dot"/>
            </w:tabs>
            <w:rPr/>
          </w:pPr>
          <w:hyperlink w:anchor="__RefHeading___Toc3403_68767826" w:tooltip="Acknowledgements">
            <w:r>
              <w:rPr>
                <w:rStyle w:val="IndexLink"/>
              </w:rPr>
              <w:t>Acknowledgements</w:t>
              <w:tab/>
              <w:t>20</w:t>
            </w:r>
          </w:hyperlink>
        </w:p>
        <w:p>
          <w:pPr>
            <w:pStyle w:val="TOC1"/>
            <w:tabs>
              <w:tab w:val="clear" w:pos="9638"/>
              <w:tab w:val="right" w:pos="9637" w:leader="dot"/>
            </w:tabs>
            <w:rPr/>
          </w:pPr>
          <w:hyperlink w:anchor="__RefHeading___Toc3405_68767826" w:tooltip="References">
            <w:r>
              <w:rPr>
                <w:rStyle w:val="IndexLink"/>
              </w:rPr>
              <w:t>References</w:t>
              <w:tab/>
              <w:t>21</w:t>
            </w:r>
          </w:hyperlink>
        </w:p>
        <w:p>
          <w:pPr>
            <w:pStyle w:val="TOC1"/>
            <w:tabs>
              <w:tab w:val="clear" w:pos="9638"/>
              <w:tab w:val="right" w:pos="9637" w:leader="dot"/>
            </w:tabs>
            <w:rPr/>
          </w:pPr>
          <w:hyperlink w:anchor="__RefHeading___Toc3407_68767826" w:tooltip="Figure Captions">
            <w:r>
              <w:rPr>
                <w:rStyle w:val="IndexLink"/>
              </w:rPr>
              <w:t>Figure Captions</w:t>
              <w:tab/>
              <w:t>26</w:t>
            </w:r>
          </w:hyperlink>
        </w:p>
        <w:p>
          <w:pPr>
            <w:pStyle w:val="TOC1"/>
            <w:tabs>
              <w:tab w:val="clear" w:pos="9638"/>
              <w:tab w:val="right" w:pos="9637" w:leader="dot"/>
            </w:tabs>
            <w:rPr/>
          </w:pPr>
          <w:hyperlink w:anchor="__RefHeading___Toc25858_1820571732" w:tooltip="Tables">
            <w:r>
              <w:rPr>
                <w:rStyle w:val="IndexLink"/>
              </w:rPr>
              <w:t>Tables</w:t>
              <w:tab/>
              <w:t>28</w:t>
            </w:r>
          </w:hyperlink>
        </w:p>
        <w:p>
          <w:pPr>
            <w:pStyle w:val="TOC2"/>
            <w:tabs>
              <w:tab w:val="clear" w:pos="9355"/>
              <w:tab w:val="right" w:pos="9637" w:leader="dot"/>
            </w:tabs>
            <w:rPr/>
          </w:pPr>
          <w:hyperlink w:anchor="__RefHeading___Toc25860_1820571732" w:tooltip="Table 1">
            <w:r>
              <w:rPr>
                <w:rStyle w:val="IndexLink"/>
              </w:rPr>
              <w:t>Table 1</w:t>
              <w:tab/>
              <w:t>28</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w:t>
      </w:r>
      <w:r>
        <w:rPr/>
        <w:t xml:space="preserve">Carnegie </w:t>
      </w:r>
      <w:r>
        <w:rPr/>
        <w:t xml:space="preserve">Museum had more fossils from this locality than it could use. Douglas Stewart, Holland’s successor as Director of the </w:t>
      </w:r>
      <w:r>
        <w:rPr/>
        <w:t>m</w:t>
      </w:r>
      <w:r>
        <w:rPr/>
        <w:t xml:space="preserve">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Charles W. Gilmore arrived at the quarry on 14 May 1923 to work it for the USNM and was shown around by Douglass, who was about to leave for Colorado (Gilmore 1923</w:t>
      </w:r>
      <w:r>
        <w:rPr/>
        <w:t>b</w:t>
      </w:r>
      <w:r>
        <w:rPr/>
        <w:t xml:space="preserve">).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w:t>
      </w:r>
      <w:r>
        <w:rPr/>
        <w:t>b</w:t>
      </w:r>
      <w:r>
        <w:rPr/>
        <w:t xml:space="preserve">).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w:t>
      </w:r>
      <w:r>
        <w:rPr/>
        <w:t>s</w:t>
      </w:r>
      <w:r>
        <w:rPr/>
        <w:t xml:space="preserve">, three anterior dorsals, </w:t>
      </w:r>
      <w:r>
        <w:rPr/>
        <w:t xml:space="preserve">right </w:t>
      </w:r>
      <w:r>
        <w:rPr/>
        <w:t>scapul</w:t>
      </w:r>
      <w:r>
        <w:rPr/>
        <w:t xml:space="preserve">a, </w:t>
      </w:r>
      <w:r>
        <w:rPr/>
        <w:t xml:space="preserve">humerus </w:t>
      </w:r>
      <w:r>
        <w:rPr/>
        <w:t xml:space="preserve">and radius </w:t>
      </w:r>
      <w:r>
        <w:rPr/>
        <w:t xml:space="preserve">were sent there (Gilmore 1923b:3). Another block belonging to this specimen was shipped to the Carnegie Museum with the intention that it would be turned over to the USNM once bones of another individual were extracted from it. (Gilmore 1923b:1). This block probably contained the “nine or ten vertebrae” of the tail </w:t>
      </w:r>
      <w:r>
        <w:rPr/>
        <w:t xml:space="preserve">later </w:t>
      </w:r>
      <w:r>
        <w:rPr/>
        <w:t>mentioned by Brown (1929) as being part of this specimen.</w:t>
      </w:r>
    </w:p>
    <w:p>
      <w:pPr>
        <w:pStyle w:val="BodyText"/>
        <w:rPr/>
      </w:pPr>
      <w:r>
        <w:rPr/>
        <w:t xml:space="preserve">In April 1924, Earl Douglass was offered a position at the University of Utah and resigned his position with Carnegie Museum (Douglass 1879–1953). </w:t>
      </w:r>
      <w:r>
        <w:rPr/>
        <w:t xml:space="preserve">He excavated the remainder of #340 and sent it to </w:t>
      </w:r>
      <w:r>
        <w:rPr/>
        <w:t>the University of Utah. This left the skeleton now spread across three institutions in Salt Lake City, Pittsburgh, and Washington, D.C. It is perhaps for this reason that, although t</w:t>
      </w:r>
      <w:r>
        <w:rPr/>
        <w:t xml:space="preserve">he portion of the skeleton at </w:t>
      </w:r>
      <w:r>
        <w:rPr/>
        <w:t xml:space="preserve">the University of Utah </w:t>
      </w:r>
      <w:r>
        <w:rPr/>
        <w:t xml:space="preserve">was </w:t>
      </w:r>
      <w:r>
        <w:rPr/>
        <w:t>prepared, it was never mounted.</w:t>
      </w:r>
    </w:p>
    <w:p>
      <w:pPr>
        <w:pStyle w:val="BodyText"/>
        <w:rPr/>
      </w:pPr>
      <w:r>
        <w:rPr/>
        <w:t xml:space="preserve">The material in Washington was accessioned as USNM 11647 on 11 April 1927 (Abby Telfer, pers. comm., 2025). When it was </w:t>
      </w:r>
      <w:r>
        <w:rPr/>
        <w:t xml:space="preserve">prepared, </w:t>
      </w:r>
      <w:r>
        <w:rPr/>
        <w:t xml:space="preserve">what </w:t>
      </w:r>
      <w:r>
        <w:rPr/>
        <w:t xml:space="preserve">had been thought in the field to be two cervicals </w:t>
      </w:r>
      <w:r>
        <w:rPr/>
        <w:t xml:space="preserve">proved to be a single </w:t>
      </w:r>
      <w:r>
        <w:rPr/>
        <w:t>long cervica</w:t>
      </w:r>
      <w:r>
        <w:rPr/>
        <w:t>l (McIntosh 2005:43)</w:t>
      </w:r>
      <w:r>
        <w:rPr/>
        <w:t xml:space="preserve">. </w:t>
      </w:r>
      <w:r>
        <w:rPr/>
        <w:t xml:space="preserve">It was then apparent that they (and the rest of #340) did </w:t>
      </w:r>
      <w:r>
        <w:rPr/>
        <w:t xml:space="preserve">not belong to </w:t>
      </w:r>
      <w:r>
        <w:rPr>
          <w:i/>
          <w:iCs/>
        </w:rPr>
        <w:t>Diplodocus</w:t>
      </w:r>
      <w:r>
        <w:rPr/>
        <w:t xml:space="preserve"> after all but to </w:t>
      </w:r>
      <w:r>
        <w:rPr>
          <w:i/>
          <w:iCs/>
        </w:rPr>
        <w:t>Barosaurus</w:t>
      </w:r>
      <w:r>
        <w:rPr/>
        <w:t xml:space="preserve"> (Gilmore 1932:4). </w:t>
      </w:r>
      <w:r>
        <w:rPr/>
        <w:t xml:space="preserve">This material could </w:t>
      </w:r>
      <w:r>
        <w:rPr/>
        <w:t xml:space="preserve">therefore </w:t>
      </w:r>
      <w:r>
        <w:rPr/>
        <w:t xml:space="preserve">not be </w:t>
      </w:r>
      <w:r>
        <w:rPr/>
        <w:t xml:space="preserve">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w:t>
      </w:r>
      <w:r>
        <w:rPr/>
        <w:t xml:space="preserve">and forelimb material </w:t>
      </w:r>
      <w:r>
        <w:rPr/>
        <w:t xml:space="preserve">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 xml:space="preserve">Brown’s </w:t>
      </w:r>
      <w:r>
        <w:rPr/>
        <w:t>(1</w:t>
      </w:r>
      <w:r>
        <w:rPr/>
        <w:t>929</w:t>
      </w:r>
      <w:r>
        <w:rPr/>
        <w:t xml:space="preserve">) memorandum on the trading he did for fossils has a rather different list of </w:t>
      </w:r>
      <w:r>
        <w:rPr>
          <w:i/>
          <w:iCs/>
        </w:rPr>
        <w:t>Barosaurus</w:t>
      </w:r>
      <w:r>
        <w:rPr/>
        <w:t xml:space="preserve"> material at the USNM than that which </w:t>
      </w:r>
      <w:r>
        <w:rPr/>
        <w:t xml:space="preserve">Gilmore (1923b:3) </w:t>
      </w:r>
      <w:r>
        <w:rPr/>
        <w:t>specified when sending the fossils there. Where Gilmore had listed 13 cervicals, three dorsals, right scapula, humerus and radius and a sternal plate, Brown listed 10 cervicals, three anterior dorsals, left scapula and humerus. These discrepancies are significant. The difference in the number of cervicals can be explained as a consequence of supposed pairs turning out to be single long vertebrae, but the left/right differences for the appendicular material are harder to account for. The radius and sternal plate mentioned by Gilmore seem to have gone missing: they are not included in the material list below. It is possible that they still lurk unrecognised in the USNM collections.</w:t>
      </w:r>
    </w:p>
    <w:p>
      <w:pPr>
        <w:pStyle w:val="BodyText"/>
        <w:rPr/>
      </w:pPr>
      <w:r>
        <w:rPr/>
        <w:t>XXX “The skull and two or three of the anterior cervicals of no. 340 had been detached and were not in place” — Douglass 1922b:3.</w:t>
      </w:r>
    </w:p>
    <w:p>
      <w:pPr>
        <w:pStyle w:val="BodyText"/>
        <w:rPr/>
      </w:pPr>
      <w:r>
        <w:rPr/>
        <w:t>XXX “13 cervical vertebrae” reported in #340 — Gilmore 1923b:3.</w:t>
      </w:r>
    </w:p>
    <w:p>
      <w:pPr>
        <w:pStyle w:val="BodyText"/>
        <w:rPr/>
      </w:pPr>
      <w:r>
        <w:rPr/>
        <w:t>XXX Cite all documents sent by Abby Telfer.</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w:t>
      </w:r>
      <w:r>
        <w:rPr/>
        <w:t xml:space="preserve">Reproduced on </w:t>
      </w:r>
      <w:r>
        <w:rPr/>
        <w:t xml:space="preserve">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w:t>
      </w:r>
      <w:r>
        <w:rPr/>
        <w:t>b</w:t>
      </w:r>
      <w:r>
        <w:rPr/>
        <w:t>.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val="false"/>
          <w:bCs w:val="false"/>
          <w:i w:val="false"/>
          <w:iCs w:val="false"/>
        </w:rPr>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8"/>
        <w:gridCol w:w="7430"/>
      </w:tblGrid>
      <w:tr>
        <w:trPr>
          <w:tblHeader w:val="true"/>
        </w:trPr>
        <w:tc>
          <w:tcPr>
            <w:tcW w:w="2208" w:type="dxa"/>
            <w:tcBorders/>
          </w:tcPr>
          <w:p>
            <w:pPr>
              <w:pStyle w:val="TableHeading"/>
              <w:spacing w:before="0" w:after="113"/>
              <w:rPr/>
            </w:pPr>
            <w:r>
              <w:rPr/>
              <w:t>Date</w:t>
            </w:r>
          </w:p>
        </w:tc>
        <w:tc>
          <w:tcPr>
            <w:tcW w:w="7430" w:type="dxa"/>
            <w:tcBorders/>
          </w:tcPr>
          <w:p>
            <w:pPr>
              <w:pStyle w:val="TableHeading"/>
              <w:spacing w:before="0" w:after="113"/>
              <w:rPr/>
            </w:pPr>
            <w:r>
              <w:rPr/>
              <w:t>Event</w:t>
            </w:r>
          </w:p>
        </w:tc>
      </w:tr>
      <w:tr>
        <w:trPr>
          <w:trHeight w:val="235" w:hRule="atLeast"/>
        </w:trPr>
        <w:tc>
          <w:tcPr>
            <w:tcW w:w="2208" w:type="dxa"/>
            <w:tcBorders/>
          </w:tcPr>
          <w:p>
            <w:pPr>
              <w:pStyle w:val="TableContents"/>
              <w:spacing w:before="0" w:after="113"/>
              <w:rPr/>
            </w:pPr>
            <w:r>
              <w:rPr/>
              <w:t>1880s</w:t>
            </w:r>
          </w:p>
        </w:tc>
        <w:tc>
          <w:tcPr>
            <w:tcW w:w="7430"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8" w:type="dxa"/>
            <w:tcBorders/>
          </w:tcPr>
          <w:p>
            <w:pPr>
              <w:pStyle w:val="TableContents"/>
              <w:spacing w:before="0" w:after="113"/>
              <w:rPr/>
            </w:pPr>
            <w:r>
              <w:rPr/>
              <w:t>Summer 1889</w:t>
            </w:r>
          </w:p>
        </w:tc>
        <w:tc>
          <w:tcPr>
            <w:tcW w:w="7430"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8" w:type="dxa"/>
            <w:tcBorders/>
          </w:tcPr>
          <w:p>
            <w:pPr>
              <w:pStyle w:val="TableContents"/>
              <w:spacing w:before="0" w:after="113"/>
              <w:rPr/>
            </w:pPr>
            <w:r>
              <w:rPr/>
              <w:t>1890</w:t>
            </w:r>
          </w:p>
        </w:tc>
        <w:tc>
          <w:tcPr>
            <w:tcW w:w="7430"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8" w:type="dxa"/>
            <w:tcBorders/>
          </w:tcPr>
          <w:p>
            <w:pPr>
              <w:pStyle w:val="TableContents"/>
              <w:spacing w:before="0" w:after="113"/>
              <w:rPr/>
            </w:pPr>
            <w:r>
              <w:rPr/>
              <w:t>Late August 1898</w:t>
            </w:r>
          </w:p>
        </w:tc>
        <w:tc>
          <w:tcPr>
            <w:tcW w:w="7430" w:type="dxa"/>
            <w:tcBorders/>
          </w:tcPr>
          <w:p>
            <w:pPr>
              <w:pStyle w:val="TableContents"/>
              <w:spacing w:before="0" w:after="113"/>
              <w:rPr/>
            </w:pPr>
            <w:r>
              <w:rPr/>
              <w:t>Marsh sent George Wieland to collect the rest of the skeleton.</w:t>
            </w:r>
          </w:p>
        </w:tc>
      </w:tr>
      <w:tr>
        <w:trPr>
          <w:trHeight w:val="235" w:hRule="atLeast"/>
        </w:trPr>
        <w:tc>
          <w:tcPr>
            <w:tcW w:w="2208" w:type="dxa"/>
            <w:tcBorders/>
          </w:tcPr>
          <w:p>
            <w:pPr>
              <w:pStyle w:val="TableContents"/>
              <w:spacing w:before="0" w:after="113"/>
              <w:rPr/>
            </w:pPr>
            <w:r>
              <w:rPr/>
              <w:t>1899</w:t>
            </w:r>
          </w:p>
        </w:tc>
        <w:tc>
          <w:tcPr>
            <w:tcW w:w="7430"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8" w:type="dxa"/>
            <w:tcBorders/>
          </w:tcPr>
          <w:p>
            <w:pPr>
              <w:pStyle w:val="TableContents"/>
              <w:spacing w:before="0" w:after="113"/>
              <w:rPr/>
            </w:pPr>
            <w:r>
              <w:rPr/>
              <w:t>1907</w:t>
            </w:r>
          </w:p>
        </w:tc>
        <w:tc>
          <w:tcPr>
            <w:tcW w:w="7430"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8" w:type="dxa"/>
            <w:tcBorders/>
          </w:tcPr>
          <w:p>
            <w:pPr>
              <w:pStyle w:val="TableContents"/>
              <w:spacing w:before="0" w:after="113"/>
              <w:rPr/>
            </w:pPr>
            <w:r>
              <w:rPr/>
              <w:t>Late 1916</w:t>
            </w:r>
          </w:p>
        </w:tc>
        <w:tc>
          <w:tcPr>
            <w:tcW w:w="7430"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8" w:type="dxa"/>
            <w:tcBorders/>
          </w:tcPr>
          <w:p>
            <w:pPr>
              <w:pStyle w:val="TableContents"/>
              <w:spacing w:before="0" w:after="113"/>
              <w:rPr/>
            </w:pPr>
            <w:r>
              <w:rPr/>
              <w:t>1917</w:t>
            </w:r>
          </w:p>
        </w:tc>
        <w:tc>
          <w:tcPr>
            <w:tcW w:w="7430" w:type="dxa"/>
            <w:tcBorders/>
          </w:tcPr>
          <w:p>
            <w:pPr>
              <w:pStyle w:val="TableContents"/>
              <w:spacing w:before="0" w:after="113"/>
              <w:rPr/>
            </w:pPr>
            <w:r>
              <w:rPr/>
              <w:t>Lull’s published abstract very briefly described the type specimen.</w:t>
            </w:r>
          </w:p>
        </w:tc>
      </w:tr>
      <w:tr>
        <w:trPr>
          <w:trHeight w:val="235" w:hRule="atLeast"/>
        </w:trPr>
        <w:tc>
          <w:tcPr>
            <w:tcW w:w="2208" w:type="dxa"/>
            <w:tcBorders/>
          </w:tcPr>
          <w:p>
            <w:pPr>
              <w:pStyle w:val="TableContents"/>
              <w:spacing w:before="0" w:after="113"/>
              <w:rPr/>
            </w:pPr>
            <w:r>
              <w:rPr/>
              <w:t>1919</w:t>
            </w:r>
          </w:p>
        </w:tc>
        <w:tc>
          <w:tcPr>
            <w:tcW w:w="7430" w:type="dxa"/>
            <w:tcBorders/>
          </w:tcPr>
          <w:p>
            <w:pPr>
              <w:pStyle w:val="TableContents"/>
              <w:spacing w:before="0" w:after="113"/>
              <w:rPr/>
            </w:pPr>
            <w:r>
              <w:rPr/>
              <w:t>Lull’s detailed monographic description of the type specimen.</w:t>
            </w:r>
          </w:p>
        </w:tc>
      </w:tr>
      <w:tr>
        <w:trPr>
          <w:trHeight w:val="235" w:hRule="atLeast"/>
        </w:trPr>
        <w:tc>
          <w:tcPr>
            <w:tcW w:w="2208" w:type="dxa"/>
            <w:tcBorders/>
          </w:tcPr>
          <w:p>
            <w:pPr>
              <w:pStyle w:val="TableContents"/>
              <w:spacing w:before="0" w:after="113"/>
              <w:rPr/>
            </w:pPr>
            <w:r>
              <w:rPr/>
              <w:t>1922</w:t>
            </w:r>
          </w:p>
        </w:tc>
        <w:tc>
          <w:tcPr>
            <w:tcW w:w="7430"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8" w:type="dxa"/>
            <w:tcBorders/>
          </w:tcPr>
          <w:p>
            <w:pPr>
              <w:pStyle w:val="TableContents"/>
              <w:spacing w:before="0" w:after="113"/>
              <w:rPr/>
            </w:pPr>
            <w:r>
              <w:rPr/>
              <w:t>1922–1923</w:t>
            </w:r>
          </w:p>
        </w:tc>
        <w:tc>
          <w:tcPr>
            <w:tcW w:w="7430"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8" w:type="dxa"/>
            <w:tcBorders/>
          </w:tcPr>
          <w:p>
            <w:pPr>
              <w:pStyle w:val="TableContents"/>
              <w:spacing w:before="0" w:after="113"/>
              <w:rPr/>
            </w:pPr>
            <w:r>
              <w:rPr/>
              <w:t>Mid-1920s</w:t>
            </w:r>
          </w:p>
        </w:tc>
        <w:tc>
          <w:tcPr>
            <w:tcW w:w="7430"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8" w:type="dxa"/>
            <w:tcBorders/>
          </w:tcPr>
          <w:p>
            <w:pPr>
              <w:pStyle w:val="TableContents"/>
              <w:spacing w:before="0" w:after="113"/>
              <w:rPr/>
            </w:pPr>
            <w:r>
              <w:rPr/>
              <w:t>1929</w:t>
            </w:r>
          </w:p>
        </w:tc>
        <w:tc>
          <w:tcPr>
            <w:tcW w:w="7430" w:type="dxa"/>
            <w:tcBorders/>
          </w:tcPr>
          <w:p>
            <w:pPr>
              <w:pStyle w:val="TableContents"/>
              <w:spacing w:before="0" w:after="113"/>
              <w:rPr/>
            </w:pPr>
            <w:r>
              <w:rPr/>
              <w:t>Barnum Brown realised that the USNM neck and the Carnegie tail belonged to the same individual as the partial skeleton at the University of Utah. He acquired all three three portions of this skeleton and reunited them at the American Museum of Natural History (AMNH) in New York. The reunited skeleton was given the specimen number AMNH 6341.</w:t>
            </w:r>
          </w:p>
        </w:tc>
      </w:tr>
      <w:tr>
        <w:trPr>
          <w:trHeight w:val="246" w:hRule="atLeast"/>
        </w:trPr>
        <w:tc>
          <w:tcPr>
            <w:tcW w:w="2208" w:type="dxa"/>
            <w:tcBorders/>
          </w:tcPr>
          <w:p>
            <w:pPr>
              <w:pStyle w:val="TableContents"/>
              <w:spacing w:before="0" w:after="113"/>
              <w:rPr/>
            </w:pPr>
            <w:r>
              <w:rPr/>
              <w:t>1931</w:t>
            </w:r>
          </w:p>
        </w:tc>
        <w:tc>
          <w:tcPr>
            <w:tcW w:w="7430"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8" w:type="dxa"/>
            <w:tcBorders/>
          </w:tcPr>
          <w:p>
            <w:pPr>
              <w:pStyle w:val="TableContents"/>
              <w:spacing w:before="0" w:after="113"/>
              <w:rPr/>
            </w:pPr>
            <w:r>
              <w:rPr/>
              <w:t>17 April 1939</w:t>
            </w:r>
          </w:p>
        </w:tc>
        <w:tc>
          <w:tcPr>
            <w:tcW w:w="7430"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8" w:type="dxa"/>
            <w:tcBorders/>
          </w:tcPr>
          <w:p>
            <w:pPr>
              <w:pStyle w:val="TableContents"/>
              <w:spacing w:before="0" w:after="113"/>
              <w:rPr/>
            </w:pPr>
            <w:r>
              <w:rPr/>
              <w:t>Early 1950s</w:t>
            </w:r>
          </w:p>
        </w:tc>
        <w:tc>
          <w:tcPr>
            <w:tcW w:w="7430"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8" w:type="dxa"/>
            <w:tcBorders/>
          </w:tcPr>
          <w:p>
            <w:pPr>
              <w:pStyle w:val="TableContents"/>
              <w:spacing w:before="0" w:after="113"/>
              <w:rPr/>
            </w:pPr>
            <w:r>
              <w:rPr/>
              <w:t>1952</w:t>
            </w:r>
          </w:p>
        </w:tc>
        <w:tc>
          <w:tcPr>
            <w:tcW w:w="7430"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8" w:type="dxa"/>
            <w:tcBorders/>
          </w:tcPr>
          <w:p>
            <w:pPr>
              <w:pStyle w:val="TableContents"/>
              <w:spacing w:before="0" w:after="113"/>
              <w:rPr/>
            </w:pPr>
            <w:r>
              <w:rPr/>
              <w:t>8 June, 1957</w:t>
            </w:r>
          </w:p>
        </w:tc>
        <w:tc>
          <w:tcPr>
            <w:tcW w:w="7430"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8" w:type="dxa"/>
            <w:tcBorders/>
          </w:tcPr>
          <w:p>
            <w:pPr>
              <w:pStyle w:val="TableContents"/>
              <w:spacing w:before="0" w:after="113"/>
              <w:rPr/>
            </w:pPr>
            <w:r>
              <w:rPr/>
              <w:t>1970</w:t>
            </w:r>
          </w:p>
        </w:tc>
        <w:tc>
          <w:tcPr>
            <w:tcW w:w="7430"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8" w:type="dxa"/>
            <w:tcBorders/>
          </w:tcPr>
          <w:p>
            <w:pPr>
              <w:pStyle w:val="TableContents"/>
              <w:spacing w:before="0" w:after="113"/>
              <w:rPr/>
            </w:pPr>
            <w:r>
              <w:rPr/>
              <w:t>1977</w:t>
            </w:r>
          </w:p>
        </w:tc>
        <w:tc>
          <w:tcPr>
            <w:tcW w:w="7430" w:type="dxa"/>
            <w:tcBorders/>
          </w:tcPr>
          <w:p>
            <w:pPr>
              <w:pStyle w:val="TableContents"/>
              <w:spacing w:before="0" w:after="113"/>
              <w:rPr/>
            </w:pPr>
            <w:r>
              <w:rPr/>
              <w:t>Peter May began working with skeletal mounts at the Royal Ontario Museum.</w:t>
            </w:r>
          </w:p>
        </w:tc>
      </w:tr>
      <w:tr>
        <w:trPr>
          <w:trHeight w:val="246" w:hRule="atLeast"/>
        </w:trPr>
        <w:tc>
          <w:tcPr>
            <w:tcW w:w="2208" w:type="dxa"/>
            <w:tcBorders/>
          </w:tcPr>
          <w:p>
            <w:pPr>
              <w:pStyle w:val="TableContents"/>
              <w:spacing w:before="0" w:after="113"/>
              <w:rPr/>
            </w:pPr>
            <w:r>
              <w:rPr/>
              <w:t>1978</w:t>
            </w:r>
          </w:p>
        </w:tc>
        <w:tc>
          <w:tcPr>
            <w:tcW w:w="7430"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8" w:type="dxa"/>
            <w:tcBorders/>
          </w:tcPr>
          <w:p>
            <w:pPr>
              <w:pStyle w:val="TableContents"/>
              <w:spacing w:before="0" w:after="113"/>
              <w:rPr/>
            </w:pPr>
            <w:r>
              <w:rPr/>
              <w:t>1986</w:t>
            </w:r>
          </w:p>
        </w:tc>
        <w:tc>
          <w:tcPr>
            <w:tcW w:w="7430" w:type="dxa"/>
            <w:tcBorders/>
          </w:tcPr>
          <w:p>
            <w:pPr>
              <w:pStyle w:val="TableContents"/>
              <w:spacing w:before="0" w:after="113"/>
              <w:rPr/>
            </w:pPr>
            <w:r>
              <w:rPr/>
              <w:t>The AMNH began planning an extensive renovation of its fossil halls.</w:t>
            </w:r>
          </w:p>
        </w:tc>
      </w:tr>
      <w:tr>
        <w:trPr>
          <w:trHeight w:val="246" w:hRule="atLeast"/>
        </w:trPr>
        <w:tc>
          <w:tcPr>
            <w:tcW w:w="2208" w:type="dxa"/>
            <w:tcBorders/>
          </w:tcPr>
          <w:p>
            <w:pPr>
              <w:pStyle w:val="TableContents"/>
              <w:spacing w:before="0" w:after="113"/>
              <w:rPr/>
            </w:pPr>
            <w:r>
              <w:rPr/>
              <w:t>1989</w:t>
            </w:r>
          </w:p>
        </w:tc>
        <w:tc>
          <w:tcPr>
            <w:tcW w:w="7430"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8" w:type="dxa"/>
            <w:tcBorders/>
          </w:tcPr>
          <w:p>
            <w:pPr>
              <w:pStyle w:val="TableContents"/>
              <w:spacing w:before="0" w:after="113"/>
              <w:rPr/>
            </w:pPr>
            <w:r>
              <w:rPr/>
              <w:t>1990</w:t>
            </w:r>
          </w:p>
        </w:tc>
        <w:tc>
          <w:tcPr>
            <w:tcW w:w="7430" w:type="dxa"/>
            <w:tcBorders/>
          </w:tcPr>
          <w:p>
            <w:pPr>
              <w:pStyle w:val="TableContents"/>
              <w:spacing w:before="0" w:after="113"/>
              <w:rPr/>
            </w:pPr>
            <w:r>
              <w:rPr/>
              <w:t>Peter May went full time with his company Research Casting International (RCI).</w:t>
            </w:r>
          </w:p>
        </w:tc>
      </w:tr>
      <w:tr>
        <w:trPr>
          <w:trHeight w:val="246" w:hRule="atLeast"/>
        </w:trPr>
        <w:tc>
          <w:tcPr>
            <w:tcW w:w="2208" w:type="dxa"/>
            <w:tcBorders/>
          </w:tcPr>
          <w:p>
            <w:pPr>
              <w:pStyle w:val="TableContents"/>
              <w:spacing w:before="0" w:after="113"/>
              <w:rPr/>
            </w:pPr>
            <w:r>
              <w:rPr/>
              <w:t>28 March 1990</w:t>
            </w:r>
          </w:p>
        </w:tc>
        <w:tc>
          <w:tcPr>
            <w:tcW w:w="7430"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8" w:type="dxa"/>
            <w:tcBorders/>
          </w:tcPr>
          <w:p>
            <w:pPr>
              <w:pStyle w:val="TableContents"/>
              <w:spacing w:before="0" w:after="113"/>
              <w:rPr/>
            </w:pPr>
            <w:r>
              <w:rPr/>
              <w:t>Fall 1990</w:t>
            </w:r>
          </w:p>
        </w:tc>
        <w:tc>
          <w:tcPr>
            <w:tcW w:w="7430"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8" w:type="dxa"/>
            <w:tcBorders/>
          </w:tcPr>
          <w:p>
            <w:pPr>
              <w:pStyle w:val="TableContents"/>
              <w:spacing w:before="0" w:after="113"/>
              <w:rPr/>
            </w:pPr>
            <w:r>
              <w:rPr/>
              <w:t>Late 1990/early 1991</w:t>
            </w:r>
          </w:p>
        </w:tc>
        <w:tc>
          <w:tcPr>
            <w:tcW w:w="7430"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8" w:type="dxa"/>
            <w:tcBorders/>
          </w:tcPr>
          <w:p>
            <w:pPr>
              <w:pStyle w:val="TableContents"/>
              <w:spacing w:before="0" w:after="113"/>
              <w:rPr/>
            </w:pPr>
            <w:r>
              <w:rPr/>
              <w:t>Spring 1991</w:t>
            </w:r>
          </w:p>
        </w:tc>
        <w:tc>
          <w:tcPr>
            <w:tcW w:w="7430"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8" w:type="dxa"/>
            <w:tcBorders/>
          </w:tcPr>
          <w:p>
            <w:pPr>
              <w:pStyle w:val="TableContents"/>
              <w:spacing w:before="0" w:after="113"/>
              <w:rPr/>
            </w:pPr>
            <w:r>
              <w:rPr/>
              <w:t>Summer 1991</w:t>
            </w:r>
          </w:p>
        </w:tc>
        <w:tc>
          <w:tcPr>
            <w:tcW w:w="7430"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8" w:type="dxa"/>
            <w:tcBorders/>
          </w:tcPr>
          <w:p>
            <w:pPr>
              <w:pStyle w:val="TableContents"/>
              <w:spacing w:before="0" w:after="113"/>
              <w:rPr/>
            </w:pPr>
            <w:r>
              <w:rPr/>
              <w:t>November 1991</w:t>
            </w:r>
          </w:p>
        </w:tc>
        <w:tc>
          <w:tcPr>
            <w:tcW w:w="7430"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8" w:type="dxa"/>
            <w:tcBorders/>
          </w:tcPr>
          <w:p>
            <w:pPr>
              <w:pStyle w:val="TableContents"/>
              <w:spacing w:before="0" w:after="113"/>
              <w:rPr/>
            </w:pPr>
            <w:r>
              <w:rPr/>
              <w:t>29 November 1991</w:t>
            </w:r>
          </w:p>
        </w:tc>
        <w:tc>
          <w:tcPr>
            <w:tcW w:w="7430"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8" w:type="dxa"/>
            <w:tcBorders/>
          </w:tcPr>
          <w:p>
            <w:pPr>
              <w:pStyle w:val="TableContents"/>
              <w:spacing w:before="0" w:after="113"/>
              <w:rPr/>
            </w:pPr>
            <w:r>
              <w:rPr/>
              <w:t>3 December 1991</w:t>
            </w:r>
          </w:p>
        </w:tc>
        <w:tc>
          <w:tcPr>
            <w:tcW w:w="7430"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8" w:type="dxa"/>
            <w:tcBorders/>
          </w:tcPr>
          <w:p>
            <w:pPr>
              <w:pStyle w:val="TableContents"/>
              <w:spacing w:before="0" w:after="113"/>
              <w:rPr/>
            </w:pPr>
            <w:r>
              <w:rPr/>
              <w:t>4 December 1991</w:t>
            </w:r>
          </w:p>
        </w:tc>
        <w:tc>
          <w:tcPr>
            <w:tcW w:w="7430" w:type="dxa"/>
            <w:tcBorders/>
          </w:tcPr>
          <w:p>
            <w:pPr>
              <w:pStyle w:val="TableContents"/>
              <w:spacing w:before="0" w:after="113"/>
              <w:rPr/>
            </w:pPr>
            <w:r>
              <w:rPr/>
              <w:t>The exhibit was opened to the public.</w:t>
            </w:r>
          </w:p>
        </w:tc>
      </w:tr>
      <w:tr>
        <w:trPr>
          <w:trHeight w:val="246" w:hRule="atLeast"/>
        </w:trPr>
        <w:tc>
          <w:tcPr>
            <w:tcW w:w="2208" w:type="dxa"/>
            <w:tcBorders/>
          </w:tcPr>
          <w:p>
            <w:pPr>
              <w:pStyle w:val="TableContents"/>
              <w:spacing w:before="0" w:after="113"/>
              <w:rPr/>
            </w:pPr>
            <w:r>
              <w:rPr/>
              <w:t>2005</w:t>
            </w:r>
          </w:p>
        </w:tc>
        <w:tc>
          <w:tcPr>
            <w:tcW w:w="7430"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8" w:type="dxa"/>
            <w:tcBorders/>
          </w:tcPr>
          <w:p>
            <w:pPr>
              <w:pStyle w:val="TableContents"/>
              <w:spacing w:before="0" w:after="113"/>
              <w:rPr/>
            </w:pPr>
            <w:r>
              <w:rPr/>
              <w:t>2007</w:t>
            </w:r>
          </w:p>
        </w:tc>
        <w:tc>
          <w:tcPr>
            <w:tcW w:w="7430"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8" w:type="dxa"/>
            <w:tcBorders/>
          </w:tcPr>
          <w:p>
            <w:pPr>
              <w:pStyle w:val="TableContents"/>
              <w:spacing w:before="0" w:after="113"/>
              <w:rPr/>
            </w:pPr>
            <w:r>
              <w:rPr/>
              <w:t>5 December 2007</w:t>
            </w:r>
          </w:p>
        </w:tc>
        <w:tc>
          <w:tcPr>
            <w:tcW w:w="7430"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24325</TotalTime>
  <Application>LibreOffice/26.2.0.3$MacOSX_AARCH64 LibreOffice_project/afbbd0df0edb6d40b450b0337ac646b0913a760c</Application>
  <AppVersion>15.0000</AppVersion>
  <Pages>31</Pages>
  <Words>15612</Words>
  <Characters>82173</Characters>
  <CharactersWithSpaces>97348</CharactersWithSpaces>
  <Paragraphs>378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2026-06-07T23:30:34Z</dcterms:modified>
  <cp:revision>557</cp:revision>
  <dc:subject/>
  <dc:title/>
</cp:coreProperties>
</file>

<file path=docProps/custom.xml><?xml version="1.0" encoding="utf-8"?>
<Properties xmlns="http://schemas.openxmlformats.org/officeDocument/2006/custom-properties" xmlns:vt="http://schemas.openxmlformats.org/officeDocument/2006/docPropsVTypes"/>
</file>