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i w:val="false"/>
          <w:iCs w:val="false"/>
        </w:rPr>
        <w:t xml:space="preserve"> in the American Museum of Natural History</w:t>
      </w:r>
    </w:p>
    <w:p>
      <w:pPr>
        <w:pStyle w:val="Author"/>
        <w:rPr/>
      </w:pPr>
      <w:r>
        <w:rPr/>
      </w:r>
    </w:p>
    <w:p>
      <w:pPr>
        <w:pStyle w:val="Author"/>
        <w:rPr/>
      </w:pPr>
      <w:r>
        <w:rPr>
          <w:b/>
          <w:bCs/>
          <w:i w:val="false"/>
          <w:iCs w:val="false"/>
        </w:rPr>
        <w:t>Michael P. Taylor.</w:t>
      </w:r>
      <w:r>
        <w:rPr>
          <w:i w:val="false"/>
          <w:iCs w:val="false"/>
        </w:rPr>
        <w:t xml:space="preserve"> Department of Earth Sciences, University of Bristol, Bristol BS8 1RJ, UK. </w:t>
      </w:r>
      <w:hyperlink r:id="rId2">
        <w:r>
          <w:rPr>
            <w:rStyle w:val="Hyperlink"/>
            <w:i w:val="false"/>
            <w:iCs w:val="false"/>
          </w:rPr>
          <w:t>dino@miketaylor.org.uk</w:t>
        </w:r>
      </w:hyperlink>
      <w:r>
        <w:rPr>
          <w:i w:val="false"/>
          <w:iCs w:val="false"/>
        </w:rPr>
        <w:t xml:space="preserve"> (corresponding author)</w:t>
      </w:r>
    </w:p>
    <w:p>
      <w:pPr>
        <w:pStyle w:val="Author"/>
        <w:rPr/>
      </w:pPr>
      <w:r>
        <w:rPr>
          <w:b/>
          <w:bCs/>
          <w:i w:val="false"/>
          <w:iCs w:val="false"/>
        </w:rPr>
        <w:t>Peter May.</w:t>
      </w:r>
      <w:r>
        <w:rPr>
          <w:i w:val="false"/>
          <w:iCs w:val="false"/>
        </w:rPr>
        <w:t xml:space="preserve"> Research Casting International, 15 Dufferin Ave, Trenton, Ontaria K8V 5C8, Canada. </w:t>
      </w:r>
      <w:hyperlink r:id="rId3">
        <w:r>
          <w:rPr>
            <w:rStyle w:val="Hyperlink"/>
            <w:i w:val="false"/>
            <w:iCs w:val="false"/>
          </w:rPr>
          <w:t>pmay@rescast.com</w:t>
        </w:r>
      </w:hyperlink>
    </w:p>
    <w:p>
      <w:pPr>
        <w:pStyle w:val="Author"/>
        <w:rPr/>
      </w:pPr>
      <w:r>
        <w:rPr>
          <w:b/>
          <w:bCs/>
          <w:i w:val="false"/>
          <w:iCs w:val="false"/>
        </w:rPr>
        <w:t>Lowell Dingus.</w:t>
      </w:r>
      <w:r>
        <w:rPr>
          <w:i w:val="false"/>
          <w:iCs w:val="false"/>
        </w:rPr>
        <w:t xml:space="preserve"> Division of Paleontology, American Museum of Natural History, New York, New York, USA. </w:t>
      </w:r>
      <w:hyperlink r:id="rId4">
        <w:r>
          <w:rPr>
            <w:rStyle w:val="Hyperlink"/>
            <w:i w:val="false"/>
            <w:iCs w:val="false"/>
          </w:rPr>
          <w:t>dinglowell@gmail.com</w:t>
        </w:r>
      </w:hyperlink>
    </w:p>
    <w:p>
      <w:pPr>
        <w:pStyle w:val="Author"/>
        <w:rPr/>
      </w:pPr>
      <w:r>
        <w:rPr>
          <w:b/>
          <w:bCs/>
          <w:i w:val="false"/>
          <w:iCs w:val="false"/>
        </w:rPr>
        <w:t>Eugene S. Gaffney.</w:t>
      </w:r>
      <w:r>
        <w:rPr>
          <w:b w:val="false"/>
          <w:bCs w:val="false"/>
          <w:i w:val="false"/>
          <w:iCs w:val="false"/>
        </w:rPr>
        <w:t xml:space="preserve"> </w:t>
      </w:r>
      <w:bookmarkStart w:id="0" w:name="__DdeLink__2703_3823776798"/>
      <w:r>
        <w:rPr>
          <w:b w:val="false"/>
          <w:bCs w:val="false"/>
          <w:i w:val="false"/>
          <w:iCs w:val="false"/>
        </w:rPr>
        <w:t xml:space="preserve">Division of Paleontology, American Museum of Natural History, New York, New York, USA. </w:t>
      </w:r>
      <w:hyperlink r:id="rId5">
        <w:r>
          <w:rPr>
            <w:rStyle w:val="Hyperlink"/>
            <w:b w:val="false"/>
            <w:bCs w:val="false"/>
            <w:i w:val="false"/>
            <w:iCs w:val="false"/>
          </w:rPr>
          <w:t>genegaffney373@comcast.net</w:t>
        </w:r>
      </w:hyperlink>
      <w:bookmarkEnd w:id="0"/>
    </w:p>
    <w:p>
      <w:pPr>
        <w:pStyle w:val="Author"/>
        <w:rPr/>
      </w:pPr>
      <w:r>
        <w:rPr>
          <w:b/>
          <w:bCs/>
          <w:i w:val="false"/>
          <w:iCs w:val="false"/>
        </w:rPr>
        <w:t xml:space="preserve">Mark A. Norell. </w:t>
      </w:r>
      <w:r>
        <w:rPr>
          <w:b w:val="false"/>
          <w:bCs w:val="false"/>
          <w:i w:val="false"/>
          <w:iCs w:val="false"/>
        </w:rPr>
        <w:t>Division of Paleontology, American Museum of Natural History, New York, New York, USA.</w:t>
      </w:r>
    </w:p>
    <w:p>
      <w:pPr>
        <w:pStyle w:val="Author"/>
        <w:rPr/>
      </w:pPr>
      <w:r>
        <w:rPr>
          <w:b/>
          <w:bCs/>
          <w:i w:val="false"/>
          <w:iCs w:val="false"/>
        </w:rPr>
        <w:t>John S. McIntosh</w:t>
      </w:r>
      <w:r>
        <w:rPr>
          <w:rFonts w:eastAsia="Baskerville" w:cs="Baskerville"/>
          <w:b/>
          <w:bCs/>
          <w:i w:val="false"/>
          <w:iCs w:val="false"/>
        </w:rPr>
        <w:t>†.</w:t>
      </w:r>
      <w:r>
        <w:rPr>
          <w:i w:val="false"/>
          <w:iCs w:val="false"/>
        </w:rPr>
        <w:t xml:space="preserve"> Foss Professor of Physics, emeritus, Wesleyan University, Middletown, Connecticut, USA (deceased, December 13, 2015).</w:t>
      </w:r>
    </w:p>
    <w:p>
      <w:pPr>
        <w:pStyle w:val="Author"/>
        <w:rPr>
          <w:i w:val="false"/>
          <w:iCs w:val="false"/>
        </w:rPr>
      </w:pPr>
      <w:r>
        <w:rPr>
          <w:i w:val="false"/>
          <w:iCs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pPr>
      <w:r>
        <w:rPr>
          <w:i w:val="false"/>
          <w:iCs w:val="false"/>
        </w:rPr>
        <w:t>XXX to follow. Make sure that the purpose of the mount is clearly stated.</w:t>
      </w:r>
    </w:p>
    <w:p>
      <w:pPr>
        <w:pStyle w:val="Abstract"/>
        <w:rPr/>
      </w:pPr>
      <w:r>
        <w:rPr>
          <w:b/>
          <w:bCs/>
          <w:i w:val="false"/>
          <w:iCs w:val="false"/>
        </w:rPr>
        <w:t>Keywords:</w:t>
      </w:r>
      <w:r>
        <w:rPr>
          <w:i w:val="false"/>
          <w:iCs w:val="false"/>
        </w:rPr>
        <w:t xml:space="preserve"> </w:t>
      </w:r>
      <w:r>
        <w:rPr>
          <w:i/>
          <w:iCs/>
        </w:rPr>
        <w:t>Barosaurus</w:t>
      </w:r>
      <w:r>
        <w:rPr>
          <w:i w:val="false"/>
          <w:iCs w:val="false"/>
        </w:rPr>
        <w:t>, sauropod, neck, rearing, skeletal mount</w:t>
      </w:r>
    </w:p>
    <w:p>
      <w:pPr>
        <w:pStyle w:val="Abstract"/>
        <w:rPr>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r>
            <w:rPr>
              <w:rStyle w:val="IndexLink"/>
            </w:rPr>
            <w:t>Introduction</w:t>
          </w:r>
          <w:r>
            <w:rPr/>
            <w:tab/>
            <w:t>2</w:t>
          </w:r>
        </w:p>
        <w:p>
          <w:pPr>
            <w:pStyle w:val="TOC2"/>
            <w:tabs>
              <w:tab w:val="clear" w:pos="9355"/>
              <w:tab w:val="right" w:pos="9637" w:leader="dot"/>
            </w:tabs>
            <w:rPr/>
          </w:pPr>
          <w:r>
            <w:rPr/>
            <w:t>Anatomical nomenclature</w:t>
            <w:tab/>
            <w:t>3</w:t>
          </w:r>
        </w:p>
        <w:p>
          <w:pPr>
            <w:pStyle w:val="TOC2"/>
            <w:tabs>
              <w:tab w:val="clear" w:pos="9355"/>
              <w:tab w:val="right" w:pos="9637" w:leader="dot"/>
            </w:tabs>
            <w:rPr/>
          </w:pPr>
          <w:r>
            <w:rPr/>
            <w:t>Institutional abbreviations</w:t>
            <w:tab/>
            <w:t>3</w:t>
          </w:r>
        </w:p>
        <w:p>
          <w:pPr>
            <w:pStyle w:val="TOC1"/>
            <w:tabs>
              <w:tab w:val="clear" w:pos="9638"/>
              <w:tab w:val="right" w:pos="9637" w:leader="dot"/>
            </w:tabs>
            <w:rPr/>
          </w:pPr>
          <w:r>
            <w:rPr/>
            <w:t>Historical background</w:t>
            <w:tab/>
            <w:t>3</w:t>
          </w:r>
        </w:p>
        <w:p>
          <w:pPr>
            <w:pStyle w:val="TOC2"/>
            <w:tabs>
              <w:tab w:val="clear" w:pos="9355"/>
              <w:tab w:val="right" w:pos="9637" w:leader="dot"/>
            </w:tabs>
            <w:rPr/>
          </w:pPr>
          <w:r>
            <w:rPr/>
            <w:t xml:space="preserve">Early discoveries of </w:t>
          </w:r>
          <w:r>
            <w:rPr>
              <w:i/>
              <w:iCs/>
            </w:rPr>
            <w:t>Barosaurus</w:t>
          </w:r>
          <w:r>
            <w:rPr/>
            <w:tab/>
            <w:t>3</w:t>
          </w:r>
        </w:p>
        <w:p>
          <w:pPr>
            <w:pStyle w:val="TOC2"/>
            <w:tabs>
              <w:tab w:val="clear" w:pos="9355"/>
              <w:tab w:val="right" w:pos="9637" w:leader="dot"/>
            </w:tabs>
            <w:rPr/>
          </w:pPr>
          <w:r>
            <w:rPr/>
            <w:t xml:space="preserve">The AMNH specimen of </w:t>
          </w:r>
          <w:r>
            <w:rPr>
              <w:i/>
              <w:iCs/>
            </w:rPr>
            <w:t>Barosaurus</w:t>
          </w:r>
          <w:r>
            <w:rPr/>
            <w:tab/>
            <w:t>4</w:t>
          </w:r>
        </w:p>
        <w:p>
          <w:pPr>
            <w:pStyle w:val="TOC3"/>
            <w:tabs>
              <w:tab w:val="clear" w:pos="9072"/>
              <w:tab w:val="right" w:pos="9637" w:leader="dot"/>
            </w:tabs>
            <w:rPr/>
          </w:pPr>
          <w:r>
            <w:rPr/>
            <w:t>The Carnegie Quarry at Dinosaur National Monument</w:t>
            <w:tab/>
            <w:t>4</w:t>
          </w:r>
        </w:p>
        <w:p>
          <w:pPr>
            <w:pStyle w:val="TOC3"/>
            <w:tabs>
              <w:tab w:val="clear" w:pos="9072"/>
              <w:tab w:val="right" w:pos="9637" w:leader="dot"/>
            </w:tabs>
            <w:rPr/>
          </w:pPr>
          <w:r>
            <w:rPr/>
            <w:t>USNM work at Dinosaur National Monument</w:t>
            <w:tab/>
            <w:t>5</w:t>
          </w:r>
        </w:p>
        <w:p>
          <w:pPr>
            <w:pStyle w:val="TOC3"/>
            <w:tabs>
              <w:tab w:val="clear" w:pos="9072"/>
              <w:tab w:val="right" w:pos="9637" w:leader="dot"/>
            </w:tabs>
            <w:rPr/>
          </w:pPr>
          <w:r>
            <w:rPr/>
            <w:t>The skeleton reunited</w:t>
            <w:tab/>
            <w:t>6</w:t>
          </w:r>
        </w:p>
        <w:p>
          <w:pPr>
            <w:pStyle w:val="TOC1"/>
            <w:tabs>
              <w:tab w:val="clear" w:pos="9638"/>
              <w:tab w:val="right" w:pos="9637" w:leader="dot"/>
            </w:tabs>
            <w:rPr/>
          </w:pPr>
          <w:r>
            <w:rPr/>
            <w:t xml:space="preserve">The AMNH mounted </w:t>
          </w:r>
          <w:r>
            <w:rPr>
              <w:i/>
              <w:iCs/>
            </w:rPr>
            <w:t>Barosaurus</w:t>
          </w:r>
          <w:r>
            <w:rPr/>
            <w:tab/>
            <w:t>7</w:t>
          </w:r>
        </w:p>
        <w:p>
          <w:pPr>
            <w:pStyle w:val="TOC2"/>
            <w:tabs>
              <w:tab w:val="clear" w:pos="9355"/>
              <w:tab w:val="right" w:pos="9637" w:leader="dot"/>
            </w:tabs>
            <w:rPr/>
          </w:pPr>
          <w:r>
            <w:rPr/>
            <w:t>The conception of the mount</w:t>
            <w:tab/>
            <w:t>7</w:t>
          </w:r>
        </w:p>
        <w:p>
          <w:pPr>
            <w:pStyle w:val="TOC2"/>
            <w:tabs>
              <w:tab w:val="clear" w:pos="9355"/>
              <w:tab w:val="right" w:pos="9637" w:leader="dot"/>
            </w:tabs>
            <w:rPr/>
          </w:pPr>
          <w:r>
            <w:rPr>
              <w:i w:val="false"/>
              <w:iCs w:val="false"/>
            </w:rPr>
            <w:t>The purpose of the mount</w:t>
          </w:r>
          <w:r>
            <w:rPr/>
            <w:tab/>
            <w:t>9</w:t>
          </w:r>
        </w:p>
        <w:p>
          <w:pPr>
            <w:pStyle w:val="TOC2"/>
            <w:tabs>
              <w:tab w:val="clear" w:pos="9355"/>
              <w:tab w:val="right" w:pos="9637" w:leader="dot"/>
            </w:tabs>
            <w:rPr/>
          </w:pPr>
          <w:r>
            <w:rPr/>
            <w:t>The creation of the mount</w:t>
            <w:tab/>
            <w:t>9</w:t>
          </w:r>
        </w:p>
        <w:p>
          <w:pPr>
            <w:pStyle w:val="TOC2"/>
            <w:tabs>
              <w:tab w:val="clear" w:pos="9355"/>
              <w:tab w:val="right" w:pos="9637" w:leader="dot"/>
            </w:tabs>
            <w:rPr/>
          </w:pPr>
          <w:r>
            <w:rPr/>
            <w:t>Photography of the mount</w:t>
            <w:tab/>
            <w:t>12</w:t>
          </w:r>
        </w:p>
        <w:p>
          <w:pPr>
            <w:pStyle w:val="TOC2"/>
            <w:tabs>
              <w:tab w:val="clear" w:pos="9355"/>
              <w:tab w:val="right" w:pos="9637" w:leader="dot"/>
            </w:tabs>
            <w:rPr/>
          </w:pPr>
          <w:r>
            <w:rPr/>
            <w:t>The composition of the mount</w:t>
            <w:tab/>
            <w:t>12</w:t>
          </w:r>
        </w:p>
        <w:p>
          <w:pPr>
            <w:pStyle w:val="TOC3"/>
            <w:tabs>
              <w:tab w:val="clear" w:pos="9072"/>
              <w:tab w:val="right" w:pos="9637" w:leader="dot"/>
            </w:tabs>
            <w:rPr/>
          </w:pPr>
          <w:r>
            <w:rPr/>
            <w:t>Overview</w:t>
            <w:tab/>
            <w:t>12</w:t>
          </w:r>
        </w:p>
        <w:p>
          <w:pPr>
            <w:pStyle w:val="TOC3"/>
            <w:tabs>
              <w:tab w:val="clear" w:pos="9072"/>
              <w:tab w:val="right" w:pos="9637" w:leader="dot"/>
            </w:tabs>
            <w:rPr/>
          </w:pPr>
          <w:r>
            <w:rPr>
              <w:i/>
              <w:iCs/>
            </w:rPr>
            <w:t>Barosaurus</w:t>
          </w:r>
          <w:r>
            <w:rPr/>
            <w:t xml:space="preserve"> material in the mount</w:t>
            <w:tab/>
            <w:t>13</w:t>
          </w:r>
        </w:p>
        <w:p>
          <w:pPr>
            <w:pStyle w:val="TOC3"/>
            <w:tabs>
              <w:tab w:val="clear" w:pos="9072"/>
              <w:tab w:val="right" w:pos="9637" w:leader="dot"/>
            </w:tabs>
            <w:rPr/>
          </w:pPr>
          <w:r>
            <w:rPr/>
            <w:t>Non-Barosaurus material in the mount</w:t>
            <w:tab/>
            <w:t>14</w:t>
          </w:r>
        </w:p>
        <w:p>
          <w:pPr>
            <w:pStyle w:val="TOC3"/>
            <w:tabs>
              <w:tab w:val="clear" w:pos="9072"/>
              <w:tab w:val="right" w:pos="9637" w:leader="dot"/>
            </w:tabs>
            <w:rPr/>
          </w:pPr>
          <w:r>
            <w:rPr/>
            <w:t>Skull</w:t>
            <w:tab/>
            <w:t>14</w:t>
          </w:r>
        </w:p>
        <w:p>
          <w:pPr>
            <w:pStyle w:val="TOC3"/>
            <w:tabs>
              <w:tab w:val="clear" w:pos="9072"/>
              <w:tab w:val="right" w:pos="9637" w:leader="dot"/>
            </w:tabs>
            <w:rPr/>
          </w:pPr>
          <w:r>
            <w:rPr/>
            <w:t>Neck</w:t>
            <w:tab/>
            <w:t>15</w:t>
          </w:r>
        </w:p>
        <w:p>
          <w:pPr>
            <w:pStyle w:val="TOC3"/>
            <w:tabs>
              <w:tab w:val="clear" w:pos="9072"/>
              <w:tab w:val="right" w:pos="9637" w:leader="dot"/>
            </w:tabs>
            <w:rPr/>
          </w:pPr>
          <w:r>
            <w:rPr/>
            <w:t>Torso, sacrum and tail</w:t>
            <w:tab/>
            <w:t>15</w:t>
          </w:r>
        </w:p>
        <w:p>
          <w:pPr>
            <w:pStyle w:val="TOC3"/>
            <w:tabs>
              <w:tab w:val="clear" w:pos="9072"/>
              <w:tab w:val="right" w:pos="9637" w:leader="dot"/>
            </w:tabs>
            <w:rPr/>
          </w:pPr>
          <w:r>
            <w:rPr/>
            <w:t>Forelimbs and girdles</w:t>
            <w:tab/>
            <w:t>15</w:t>
          </w:r>
        </w:p>
        <w:p>
          <w:pPr>
            <w:pStyle w:val="TOC3"/>
            <w:tabs>
              <w:tab w:val="clear" w:pos="9072"/>
              <w:tab w:val="right" w:pos="9637" w:leader="dot"/>
            </w:tabs>
            <w:rPr/>
          </w:pPr>
          <w:r>
            <w:rPr/>
            <w:t>Hindlimbs and girdles</w:t>
            <w:tab/>
            <w:t>16</w:t>
          </w:r>
        </w:p>
        <w:p>
          <w:pPr>
            <w:pStyle w:val="TOC1"/>
            <w:tabs>
              <w:tab w:val="clear" w:pos="9638"/>
              <w:tab w:val="right" w:pos="9637" w:leader="dot"/>
            </w:tabs>
            <w:rPr/>
          </w:pPr>
          <w:r>
            <w:rPr/>
            <w:t>Discussion</w:t>
            <w:tab/>
            <w:t>16</w:t>
          </w:r>
        </w:p>
        <w:p>
          <w:pPr>
            <w:pStyle w:val="TOC2"/>
            <w:tabs>
              <w:tab w:val="clear" w:pos="9355"/>
              <w:tab w:val="right" w:pos="9637" w:leader="dot"/>
            </w:tabs>
            <w:rPr/>
          </w:pPr>
          <w:r>
            <w:rPr/>
            <w:t>Rearing pose</w:t>
            <w:tab/>
            <w:t>16</w:t>
          </w:r>
        </w:p>
        <w:p>
          <w:pPr>
            <w:pStyle w:val="TOC2"/>
            <w:tabs>
              <w:tab w:val="clear" w:pos="9355"/>
              <w:tab w:val="right" w:pos="9637" w:leader="dot"/>
            </w:tabs>
            <w:rPr/>
          </w:pPr>
          <w:r>
            <w:rPr/>
            <w:t>A short history of rearing sauropods</w:t>
            <w:tab/>
            <w:t>18</w:t>
          </w:r>
        </w:p>
        <w:p>
          <w:pPr>
            <w:pStyle w:val="TOC2"/>
            <w:tabs>
              <w:tab w:val="clear" w:pos="9355"/>
              <w:tab w:val="right" w:pos="9637" w:leader="dot"/>
            </w:tabs>
            <w:rPr/>
          </w:pPr>
          <w:r>
            <w:rPr/>
            <w:t>Cultural impact</w:t>
            <w:tab/>
            <w:t>19</w:t>
          </w:r>
        </w:p>
        <w:p>
          <w:pPr>
            <w:pStyle w:val="TOC2"/>
            <w:tabs>
              <w:tab w:val="clear" w:pos="9355"/>
              <w:tab w:val="right" w:pos="9637" w:leader="dot"/>
            </w:tabs>
            <w:rPr/>
          </w:pPr>
          <w:r>
            <w:rPr/>
            <w:t>Size of the AMNH 6341 animal</w:t>
            <w:tab/>
            <w:t>20</w:t>
          </w:r>
        </w:p>
        <w:p>
          <w:pPr>
            <w:pStyle w:val="TOC1"/>
            <w:tabs>
              <w:tab w:val="clear" w:pos="9638"/>
              <w:tab w:val="right" w:pos="9637" w:leader="dot"/>
            </w:tabs>
            <w:rPr/>
          </w:pPr>
          <w:r>
            <w:rPr/>
            <w:t>Acknowledgements</w:t>
            <w:tab/>
            <w:t>20</w:t>
          </w:r>
        </w:p>
        <w:p>
          <w:pPr>
            <w:pStyle w:val="TOC1"/>
            <w:tabs>
              <w:tab w:val="clear" w:pos="9638"/>
              <w:tab w:val="right" w:pos="9637" w:leader="dot"/>
            </w:tabs>
            <w:rPr/>
          </w:pPr>
          <w:r>
            <w:rPr/>
            <w:t>References</w:t>
            <w:tab/>
            <w:t>21</w:t>
          </w:r>
        </w:p>
        <w:p>
          <w:pPr>
            <w:pStyle w:val="TOC1"/>
            <w:tabs>
              <w:tab w:val="clear" w:pos="9638"/>
              <w:tab w:val="right" w:pos="9637" w:leader="dot"/>
            </w:tabs>
            <w:rPr/>
          </w:pPr>
          <w:r>
            <w:rPr/>
            <w:t>Figure Captions</w:t>
            <w:tab/>
            <w:t>26</w:t>
          </w:r>
        </w:p>
        <w:p>
          <w:pPr>
            <w:pStyle w:val="TOC1"/>
            <w:tabs>
              <w:tab w:val="clear" w:pos="9638"/>
              <w:tab w:val="right" w:pos="9637" w:leader="dot"/>
            </w:tabs>
            <w:rPr/>
          </w:pPr>
          <w:r>
            <w:rPr/>
            <w:t>Tables</w:t>
            <w:tab/>
            <w:t>28</w:t>
          </w:r>
        </w:p>
        <w:p>
          <w:pPr>
            <w:pStyle w:val="TOC2"/>
            <w:tabs>
              <w:tab w:val="clear" w:pos="9355"/>
              <w:tab w:val="right" w:pos="9637" w:leader="dot"/>
            </w:tabs>
            <w:rPr/>
          </w:pPr>
          <w:r>
            <w:rPr/>
            <w:t>Table 1</w:t>
            <w:tab/>
            <w:t>28</w:t>
          </w:r>
          <w:r>
            <w:rPr/>
            <w:fldChar w:fldCharType="end"/>
          </w:r>
        </w:p>
      </w:sdtContent>
    </w:sdt>
    <w:p>
      <w:pPr>
        <w:pStyle w:val="BodyText"/>
        <w:spacing w:lineRule="auto" w:line="276" w:before="0" w:after="140"/>
        <w:rPr>
          <w:i/>
          <w:iCs/>
        </w:rPr>
      </w:pPr>
      <w:r>
        <w:rPr>
          <w:i/>
          <w:iCs/>
        </w:rPr>
      </w:r>
    </w:p>
    <w:p>
      <w:pPr>
        <w:pStyle w:val="Heading1"/>
        <w:rPr/>
      </w:pPr>
      <w:bookmarkStart w:id="1" w:name="__RefHeading___Toc3784_1986291683"/>
      <w:bookmarkEnd w:id="1"/>
      <w:r>
        <w:rPr/>
        <w:t>Introduction</w:t>
      </w:r>
    </w:p>
    <w:p>
      <w:pPr>
        <w:pStyle w:val="BodyText"/>
        <w:spacing w:lineRule="auto" w:line="276" w:before="0" w:after="140"/>
        <w:rPr/>
      </w:pPr>
      <w:r>
        <w:rPr>
          <w:i/>
          <w:iCs/>
        </w:rPr>
        <w:t>Barosaurus</w:t>
      </w:r>
      <w:r>
        <w:rPr/>
        <w:t xml:space="preserve"> is a diplodocid sauropod from the Late Jurassic of North America, found in the extensive Morrison Formation of the western states.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A).</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and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scaling was calculated and how the pose was decided on, and summarize the controversy generated by the mount.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rFonts w:eastAsia="Songti SC" w:cs="Arial Unicode MS"/>
          <w:color w:val="auto"/>
          <w:kern w:val="2"/>
          <w:sz w:val="24"/>
          <w:szCs w:val="24"/>
          <w:lang w:val="en-GB" w:eastAsia="zh-CN" w:bidi="hi-IN"/>
        </w:rPr>
        <w:t xml:space="preserve">We follow McIntosh’s (2005) interpretation of the presacral vertebrae of </w:t>
      </w:r>
      <w:r>
        <w:rPr>
          <w:rFonts w:eastAsia="Songti SC" w:cs="Arial Unicode MS"/>
          <w:i/>
          <w:iCs/>
          <w:color w:val="auto"/>
          <w:kern w:val="2"/>
          <w:sz w:val="24"/>
          <w:szCs w:val="24"/>
          <w:lang w:val="en-GB" w:eastAsia="zh-CN" w:bidi="hi-IN"/>
        </w:rPr>
        <w:t>Barosaurus</w:t>
      </w:r>
      <w:r>
        <w:rPr>
          <w:rFonts w:eastAsia="Songti SC" w:cs="Arial Unicode MS"/>
          <w:color w:val="auto"/>
          <w:kern w:val="2"/>
          <w:sz w:val="24"/>
          <w:szCs w:val="24"/>
          <w:lang w:val="en-GB" w:eastAsia="zh-CN" w:bidi="hi-IN"/>
        </w:rPr>
        <w:t xml:space="preserve"> consisting of 16 cervicals and nine dorsals, rather then 15 and 10 as in </w:t>
      </w:r>
      <w:r>
        <w:rPr>
          <w:rFonts w:eastAsia="Songti SC" w:cs="Arial Unicode MS"/>
          <w:i/>
          <w:iCs/>
          <w:color w:val="auto"/>
          <w:kern w:val="2"/>
          <w:sz w:val="24"/>
          <w:szCs w:val="24"/>
          <w:lang w:val="en-GB" w:eastAsia="zh-CN" w:bidi="hi-IN"/>
        </w:rPr>
        <w:t>Diplodocus</w:t>
      </w:r>
      <w:r>
        <w:rPr>
          <w:rFonts w:eastAsia="Songti SC" w:cs="Arial Unicode MS"/>
          <w:color w:val="auto"/>
          <w:kern w:val="2"/>
          <w:sz w:val="24"/>
          <w:szCs w:val="24"/>
          <w:lang w:val="en-GB" w:eastAsia="zh-CN" w:bidi="hi-IN"/>
        </w:rPr>
        <w:t>.</w:t>
      </w:r>
    </w:p>
    <w:p>
      <w:pPr>
        <w:pStyle w:val="Heading2"/>
        <w:rPr/>
      </w:pPr>
      <w:bookmarkStart w:id="3" w:name="__RefHeading___Toc5349_68767826"/>
      <w:bookmarkEnd w:id="3"/>
      <w:r>
        <w:rPr/>
        <w:t>Institutional abbreviations</w:t>
      </w:r>
    </w:p>
    <w:p>
      <w:pPr>
        <w:pStyle w:val="BodyText"/>
        <w:numPr>
          <w:ilvl w:val="0"/>
          <w:numId w:val="4"/>
        </w:numPr>
        <w:ind w:hanging="360" w:left="720" w:right="0"/>
        <w:rPr/>
      </w:pPr>
      <w:r>
        <w:rPr/>
        <w:t>AMNH — American Museum of Natural History, New York, New York, USA.</w:t>
      </w:r>
    </w:p>
    <w:p>
      <w:pPr>
        <w:pStyle w:val="BodyText"/>
        <w:numPr>
          <w:ilvl w:val="0"/>
          <w:numId w:val="4"/>
        </w:numPr>
        <w:ind w:hanging="360" w:left="720" w:right="0"/>
        <w:rPr/>
      </w:pPr>
      <w:r>
        <w:rPr/>
        <w:t>CM — Carnegie Museum of Natural History, Pittsburgh, Pennsylvania, USA.</w:t>
      </w:r>
    </w:p>
    <w:p>
      <w:pPr>
        <w:pStyle w:val="BodyText"/>
        <w:numPr>
          <w:ilvl w:val="0"/>
          <w:numId w:val="4"/>
        </w:numPr>
        <w:ind w:hanging="360" w:left="720" w:right="0"/>
        <w:rPr/>
      </w:pPr>
      <w:r>
        <w:rPr/>
        <w:t>HMNS — Houston Museum of Nature and Science, Houston, Texas, USA.</w:t>
      </w:r>
    </w:p>
    <w:p>
      <w:pPr>
        <w:pStyle w:val="BodyText"/>
        <w:numPr>
          <w:ilvl w:val="0"/>
          <w:numId w:val="4"/>
        </w:numPr>
        <w:ind w:hanging="360" w:left="720" w:right="0"/>
        <w:rPr/>
      </w:pPr>
      <w:r>
        <w:rPr/>
        <w:t>MfN — Museum für Naturkunde Berlin, Berlin, Germany; specimen numbers for fossil reptiles take the form MB.R.</w:t>
      </w:r>
      <w:r>
        <w:rPr>
          <w:i/>
          <w:iCs/>
        </w:rPr>
        <w:t>nnnn</w:t>
      </w:r>
      <w:r>
        <w:rPr/>
        <w:t>.</w:t>
      </w:r>
    </w:p>
    <w:p>
      <w:pPr>
        <w:pStyle w:val="BodyText"/>
        <w:numPr>
          <w:ilvl w:val="0"/>
          <w:numId w:val="4"/>
        </w:numPr>
        <w:ind w:hanging="360" w:left="720" w:right="0"/>
        <w:rPr/>
      </w:pPr>
      <w:r>
        <w:rPr/>
        <w:t>USNM – United States National Museum, Washington, D.C., USA.</w:t>
      </w:r>
    </w:p>
    <w:p>
      <w:pPr>
        <w:pStyle w:val="BodyText"/>
        <w:numPr>
          <w:ilvl w:val="0"/>
          <w:numId w:val="4"/>
        </w:numPr>
        <w:ind w:hanging="360" w:left="720" w:right="0"/>
        <w:rPr/>
      </w:pPr>
      <w:r>
        <w:rPr/>
        <w:t>YPM — Yale Peabody Museum, New Haven, Connecticut, USA.</w:t>
      </w:r>
    </w:p>
    <w:p>
      <w:pPr>
        <w:pStyle w:val="Heading1"/>
        <w:numPr>
          <w:ilvl w:val="0"/>
          <w:numId w:val="2"/>
        </w:numPr>
        <w:ind w:hanging="0" w:left="0" w:right="0"/>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of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(and will not be so described herein).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Heading3"/>
        <w:rPr/>
      </w:pPr>
      <w:bookmarkStart w:id="7" w:name="__RefHeading___Toc25848_1820571732"/>
      <w:bookmarkEnd w:id="7"/>
      <w:r>
        <w:rPr/>
        <w:t>The Carnegie Quarry at Dinosaur National Monument</w:t>
      </w:r>
    </w:p>
    <w:p>
      <w:pPr>
        <w:pStyle w:val="BodyText"/>
        <w:rPr/>
      </w:pPr>
      <w:r>
        <w:rPr/>
        <w:t xml:space="preserve">The fossil material of AMNH 6341 comes from the Carnegie Quarry at Dinosaur National Monument, in the north-east corner of Utah. Earl Douglass, a fossil hunter employed by the Carnegie Museum, received a letter on 6 August 1909 from the museum Director William J. Holland saying that “he wished me to dig up Dinosaur bones east of Vernal”. (This and other quotes in this section are from Douglass 1879–1953.) He and Holland had seen a good </w:t>
      </w:r>
      <w:r>
        <w:rPr>
          <w:i/>
          <w:iCs/>
        </w:rPr>
        <w:t>Diplodocus</w:t>
      </w:r>
      <w:r>
        <w:rPr/>
        <w:t xml:space="preserve"> femur on an earlier visit to the area but, arriving on 10 August, he found that “someone had taken the best of the bones that were exposed”. On August 16 he wrote “The bones were terribly broken up and it seemed as if they had been churned up … Felt rather discouraged.”</w:t>
      </w:r>
    </w:p>
    <w:p>
      <w:pPr>
        <w:pStyle w:val="BodyText"/>
        <w:rPr/>
      </w:pPr>
      <w:r>
        <w:rPr/>
        <w:t xml:space="preserve">However, the very next day — the 17th and not the 19th as stated by Gilmore (1936:178) — Douglass switched to another area and made an important find: “At last, in the top of the ledge where the softer overlying beds form a divide, a kind of saddle, I saw eight of the tail bones of a </w:t>
      </w:r>
      <w:r>
        <w:rPr>
          <w:i/>
          <w:iCs/>
        </w:rPr>
        <w:t>Brontosaurus</w:t>
      </w:r>
      <w:r>
        <w:rPr/>
        <w:t xml:space="preserve"> in exact position. It was a beautiful sight … several of the vertebrae had weathered out and the beautifully petrified centra lay on the ground. It is by far the best looking Dinosaur prospect I have ever found.” [This skeleton, when excavated, would be described by Holland (1915) as CM 3018, the holotype of the new species </w:t>
      </w:r>
      <w:r>
        <w:rPr>
          <w:i/>
          <w:iCs/>
        </w:rPr>
        <w:t>Apatosaurus</w:t>
      </w:r>
      <w:r>
        <w:rPr/>
        <w:t xml:space="preserve"> (= </w:t>
      </w:r>
      <w:r>
        <w:rPr>
          <w:i/>
          <w:iCs/>
        </w:rPr>
        <w:t>Brontosaurus</w:t>
      </w:r>
      <w:r>
        <w:rPr/>
        <w:t xml:space="preserve"> of Douglass’s usage) </w:t>
      </w:r>
      <w:r>
        <w:rPr>
          <w:i/>
          <w:iCs/>
        </w:rPr>
        <w:t>louisae</w:t>
      </w:r>
      <w:r>
        <w:rPr/>
        <w:t>. It would subsequently be mounted in the Carnegie Museum in 1913, and described in detail by Gilmore (1936).]</w:t>
      </w:r>
    </w:p>
    <w:p>
      <w:pPr>
        <w:pStyle w:val="BodyText"/>
        <w:rPr/>
      </w:pPr>
      <w:r>
        <w:rPr/>
        <w:t>As Douglass and his colleagues excavation, it quickly became apparent that there were many more dinosaurs in the rock. Excavating these fossils now became Douglass’s full-time job (Figure Q). The Carnegie Quarry, as it was named, would become one of the most fruitful in palaeontological history. The Museum funded the excavations for 13 years, shipping 700,000 lb of material to Pittsburgh (Gilmore 1936:170) —  318 tonnes.</w:t>
      </w:r>
    </w:p>
    <w:p>
      <w:pPr>
        <w:pStyle w:val="Heading3"/>
        <w:rPr/>
      </w:pPr>
      <w:bookmarkStart w:id="8" w:name="__RefHeading___Toc25850_1820571732"/>
      <w:bookmarkEnd w:id="8"/>
      <w:r>
        <w:rPr/>
        <w:t>USNM work at Dinosaur National Monument</w:t>
      </w:r>
    </w:p>
    <w:p>
      <w:pPr>
        <w:pStyle w:val="BodyText"/>
        <w:rPr/>
      </w:pPr>
      <w:r>
        <w:rPr/>
        <w:t xml:space="preserve">By 1922 the Carnegie Museum had more fossils from this locality than it could use. Douglas Stewart, Holland’s successor as Director of the museum, evidently favoured turning the quarry over to the USNM, writing to Arthur S. Coggeshall on 6 September, 1922 to acknowledge the latter’s recommendation that Douglass finish the excavation of a Stegosaurus and a small dinosaur skeleton, but to leave two partially exposed specimens of </w:t>
      </w:r>
      <w:r>
        <w:rPr>
          <w:i/>
          <w:iCs/>
        </w:rPr>
        <w:t>Diplodocus</w:t>
      </w:r>
      <w:r>
        <w:rPr/>
        <w:t xml:space="preserve"> to the Smithsonian to excavate (Stewart 1922a).</w:t>
      </w:r>
    </w:p>
    <w:p>
      <w:pPr>
        <w:pStyle w:val="BodyText"/>
        <w:rPr/>
      </w:pPr>
      <w:r>
        <w:rPr/>
        <w:t>George Perkins Merrill, Head Curator of the Department of Geology at the USNM, learned from Stewart that the Carnegie Museum was ready to relinquish its claim, and wrote on 6 November 1922 to William de Chastignier Ravenel, Secretary of the USNM, urging him to take on the quarry as “There are few objects that would yield greater attractiveness to the main hall of this department than the restored skeleton of one of the monsters of the dinosaur group that these beds yield” (Merrill 1922). [By coincidence, the next day Stewart wrote to Merrill to confirm the offer and provide details (Stewart 1922b).]</w:t>
      </w:r>
    </w:p>
    <w:p>
      <w:pPr>
        <w:pStyle w:val="BodyText"/>
        <w:rPr/>
      </w:pPr>
      <w:r>
        <w:rPr/>
        <w:t xml:space="preserve">On 11 November, Merrill wrote to Earl Douglass requesting technical and logistical information and Douglass replied on 22 November (Douglass 1922b) with a long and helpful letter explaining how two sauropod skeletons, both thought to be </w:t>
      </w:r>
      <w:r>
        <w:rPr>
          <w:i/>
          <w:iCs/>
        </w:rPr>
        <w:t>Diplodocus</w:t>
      </w:r>
      <w:r>
        <w:rPr/>
        <w:t xml:space="preserve">, were positioned — #355 and #340, the former lying partly above the latter (Figure P); and stating that blocks containing most of the neck of #340 had been taken out of the quarry. </w:t>
      </w:r>
    </w:p>
    <w:p>
      <w:pPr>
        <w:pStyle w:val="BodyText"/>
        <w:rPr/>
      </w:pPr>
      <w:r>
        <w:rPr/>
        <w:t xml:space="preserve">By the end of the 1922 season, “all but two skeletons — those of </w:t>
      </w:r>
      <w:r>
        <w:rPr>
          <w:i/>
          <w:iCs/>
        </w:rPr>
        <w:t>Diplodocus</w:t>
      </w:r>
      <w:r>
        <w:rPr/>
        <w:t xml:space="preserve"> — were removed” (Douglass 1923). Douglass listed 10 skeletons that had been partly or completely taken out during the year. Among those listed was “No. 340 — </w:t>
      </w:r>
      <w:r>
        <w:rPr>
          <w:i/>
          <w:iCs/>
        </w:rPr>
        <w:t>Diplodocus</w:t>
      </w:r>
      <w:r>
        <w:rPr/>
        <w:t>. Apparently nearly complete skeleton but only neck taken out. The remainder still in the ledge” (Douglass 1922c). Work by the Carnegie crew finished on 1 January 1923 (Osborn 1923).</w:t>
      </w:r>
    </w:p>
    <w:p>
      <w:pPr>
        <w:pStyle w:val="BodyText"/>
        <w:rPr/>
      </w:pPr>
      <w:r>
        <w:rPr/>
        <w:t xml:space="preserve">Charles W. Gilmore arrived at the quarry on 14 May 1923 to work it for the USNM and was shown around by Douglass, who was about to leave for Colorado (Gilmore 1923b). Gilmore inherited two partially uncovered skeletons, both then thought to be </w:t>
      </w:r>
      <w:r>
        <w:rPr>
          <w:i/>
          <w:iCs/>
        </w:rPr>
        <w:t>Diplodocus</w:t>
      </w:r>
      <w:r>
        <w:rPr/>
        <w:t xml:space="preserve">: #340, as mentioned in Douglass’s report, and #355, presumably one of the two </w:t>
      </w:r>
      <w:r>
        <w:rPr>
          <w:i/>
          <w:iCs/>
        </w:rPr>
        <w:t>Diplodocus</w:t>
      </w:r>
      <w:r>
        <w:rPr/>
        <w:t xml:space="preserve"> skeletons that Douglass had referred to as not having been removed.</w:t>
      </w:r>
    </w:p>
    <w:p>
      <w:pPr>
        <w:pStyle w:val="BodyText"/>
        <w:rPr/>
      </w:pPr>
      <w:r>
        <w:rPr/>
        <w:t xml:space="preserve">Douglass handed over to Gilmore four large blocks and several smaller ones containing much of the neck of #340, which had been extracted from the quarry as noted above but not prepared out. It was Gilmore’s intention to extract #355 (the most complete of the two) for the USNM, then secure the parts of #340 necessary to complete the skeleton (Gilmore 1923b). (#355 was subsequently accessioned as USNM 10865 and mounted in Washington D.C, where it remains in the public gallery to this day; missing elements were supplied as plaster casts by the Carnegie Museum). </w:t>
      </w:r>
    </w:p>
    <w:p>
      <w:pPr>
        <w:pStyle w:val="BodyText"/>
        <w:rPr/>
      </w:pPr>
      <w:r>
        <w:rPr/>
        <w:t>On 8 August 1923, Gilmore wrote briefly to Ravenel to say that work in the quarry was complete and the extracted blocks would be shipped to the USNM soon after 19 August (Gilmore 1923a), and send a more comprehensive report in 30 August (Gilmore 1923b). In 1924, all excavation at the quarry ended.</w:t>
      </w:r>
    </w:p>
    <w:p>
      <w:pPr>
        <w:pStyle w:val="BodyText"/>
        <w:rPr/>
      </w:pPr>
      <w:r>
        <w:rPr/>
        <w:t>USNM’s only interest in #340 was apparently in using elements of the skeleton to complete #355 for a gallery mount (Gilmore 1923b:1), so only the cervicals, three anterior dorsals, right scapula, humerus and radius and a sternal plate were sent there (Gilmore 1923b:3). Some material of #340 went to the Carnegie Museum:  (Gilmore 1923b:1) wrote that “One block belonging to this specimen was shipped to Pittsburgh, but will, I understand, be turned over to the National Museum as soon as certain bones of another individual are extracted from it”. It seems however that at least three blocks went to Pittsburgh. One, containing part of the neck, was shipped from there to the USNM in October 1924 (Coggeshall 1924); but there were also caudals, which would still be at the Carnegie at the end of 1929: “nine or ten vertebrae in the Carnegie Museum are preserved  in two blocks 348/A and 348/B” (Brown 1929).</w:t>
      </w:r>
    </w:p>
    <w:p>
      <w:pPr>
        <w:pStyle w:val="BodyText"/>
        <w:rPr/>
      </w:pPr>
      <w:r>
        <w:rPr/>
        <w:t>In April 1924, Earl Douglass was offered a position at the University of Utah and resigned his position with Carnegie Museum (Douglass 1879–1953). He excavated the remainder of #340 and sent it to the University of Utah. This left the skeleton now spread across three institutions in Salt Lake City, Pittsburgh, and Washington, D.C. It is perhaps for this reason that, although the portion of the skeleton at the University of Utah was prepared, it was never mounted.</w:t>
      </w:r>
    </w:p>
    <w:p>
      <w:pPr>
        <w:pStyle w:val="BodyText"/>
        <w:rPr/>
      </w:pPr>
      <w:r>
        <w:rPr/>
        <w:t xml:space="preserve">The material in Washington was accessioned as USNM 11647 on 11 April 1927 (Abby Telfer, pers. comm., 2025). When it was prepared, what had been thought in the field to be two cervicals proved to be a single long cervical (McIntosh 2005:43). It was then apparent that the cervicals (and the rest of #340) did not belong to </w:t>
      </w:r>
      <w:r>
        <w:rPr>
          <w:i/>
          <w:iCs/>
        </w:rPr>
        <w:t>Diplodocus</w:t>
      </w:r>
      <w:r>
        <w:rPr/>
        <w:t xml:space="preserve"> after all but to </w:t>
      </w:r>
      <w:r>
        <w:rPr>
          <w:i/>
          <w:iCs/>
        </w:rPr>
        <w:t>Barosaurus</w:t>
      </w:r>
      <w:r>
        <w:rPr/>
        <w:t xml:space="preserve"> (Gilmore 1932:4). This material could therefore not be used in the mount of USNM 10865, which was instead completed with casts of the Carnegie </w:t>
      </w:r>
      <w:r>
        <w:rPr>
          <w:i/>
          <w:iCs/>
        </w:rPr>
        <w:t>Diplodocus</w:t>
      </w:r>
      <w:r>
        <w:rPr/>
        <w:t xml:space="preserve"> CM 84 and unveiled in 1932 (Gilmore 1932).</w:t>
      </w:r>
    </w:p>
    <w:p>
      <w:pPr>
        <w:pStyle w:val="Heading3"/>
        <w:rPr/>
      </w:pPr>
      <w:bookmarkStart w:id="9" w:name="__RefHeading___Toc25852_1820571732"/>
      <w:bookmarkEnd w:id="9"/>
      <w:r>
        <w:rPr/>
        <w:t>The skeleton reunited</w:t>
      </w:r>
    </w:p>
    <w:p>
      <w:pPr>
        <w:pStyle w:val="BodyText"/>
        <w:rPr/>
      </w:pPr>
      <w:r>
        <w:rPr/>
        <w:t xml:space="preserve">lIn 1929, Barnum Brown, acting for the American Museum of Natural History, visited most of the nation’s major natural history museums to assess their collections. He realised that the neck, anterior torso and forelimb material at the USNM, and the tail segment still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xml:space="preserve">, the University of Utah made a cash-plus-fossils deal in which they were paid $2,500 cash plus the equivalent value in fossil mammal specimens (Brown 1929). The process of bringing the skeleton back together dragged on: the thirteen crates of material at the USNM were transported to the AMNH only in February 1933 (Wetmore 1933), perhaps because Wetmore himself — Secretary of the USNM — did “not favour disposal of this </w:t>
      </w:r>
      <w:r>
        <w:rPr>
          <w:i/>
          <w:iCs/>
        </w:rPr>
        <w:t>Barosaurus</w:t>
      </w:r>
      <w:r>
        <w:rPr/>
        <w:t xml:space="preserve"> neck” (Gilmore, reported in Brown 1929). The reunited specimen was given the specimen number AMNH 6341. (See Norell et al. 1991:36–38, Dingus 1996:21–22, McIntosh 2005:42–43).</w:t>
      </w:r>
    </w:p>
    <w:p>
      <w:pPr>
        <w:pStyle w:val="BodyText"/>
        <w:rPr/>
      </w:pPr>
      <w:r>
        <w:rPr/>
        <w:t xml:space="preserve">Brown’s (1929) memorandum on the trading he did for fossils provided a list of </w:t>
      </w:r>
      <w:r>
        <w:rPr>
          <w:i/>
          <w:iCs/>
        </w:rPr>
        <w:t>Barosaurus</w:t>
      </w:r>
      <w:r>
        <w:rPr/>
        <w:t xml:space="preserve"> material at the USNM rather different than that which Gilmore (1923b:3) had specified when sending the fossils there. Where Gilmore had listed 13 cervicals, three dorsals, right scapula, humerus and radius and a sternal plate, Brown listed 10 cervicals, three anterior dorsals, left scapula and humerus. The left/right differences for the appendicular material are simply errors on Brown’s part (see below). The radius and sternal plate mentioned by Gilmore seem to have gone missing: they are not included in the material list below. It is possible that they still lurk unrecognised in the USNM collections.</w:t>
      </w:r>
    </w:p>
    <w:p>
      <w:pPr>
        <w:pStyle w:val="BodyText"/>
        <w:rPr/>
      </w:pPr>
      <w:r>
        <w:rPr/>
        <w:t xml:space="preserve">The issue of the number of cervicals is complex. Gilmore’s count of 13 cervicals is compatible with Douglass’s (1922b:3) report that “the skull and two or three of the anterior cervicals of no. 340 had been detached and were not in place” — an absence that would leave 13 cervicals remaining in an animal with 15 of 16  neck vertebrae. The reduction to 10 in Brown’s list, made after the material had been prepared at USNM, can be explained as a consequence of supposed pairs turning out to be single long vertebrae. This count is also in accord with the quarry map of Gilmore (1932:figure 1; Figure P). This shows nine dorsals and ten cervicals belonging to the </w:t>
      </w:r>
      <w:r>
        <w:rPr>
          <w:i/>
          <w:iCs/>
        </w:rPr>
        <w:t>Barosaurus</w:t>
      </w:r>
      <w:r>
        <w:rPr/>
        <w:t xml:space="preserve"> skeleton (although the line-drawings of the cervicals do not at all resemble the actual vertebrae: compare Figure R). If the cervical count of ten in the quarry map and Brown’s memo is correct, the most anterior of the cervicals (C7) seems to have been lost or destroyed, since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contemporary photographs (Figure D.B) show the anteriormost cervical vertebra on display, and it is recognizable as the C8 that is the anteriormost currently preserved vertebra.</w:t>
      </w:r>
    </w:p>
    <w:p>
      <w:pPr>
        <w:pStyle w:val="Heading1"/>
        <w:numPr>
          <w:ilvl w:val="0"/>
          <w:numId w:val="2"/>
        </w:numPr>
        <w:ind w:hanging="0" w:left="0" w:right="0"/>
        <w:rPr/>
      </w:pPr>
      <w:bookmarkStart w:id="10" w:name="__RefHeading___Toc5351_68767826"/>
      <w:bookmarkEnd w:id="10"/>
      <w:r>
        <w:rPr/>
        <w:t xml:space="preserve">The AMNH mounted </w:t>
      </w:r>
      <w:r>
        <w:rPr>
          <w:i/>
          <w:iCs/>
        </w:rPr>
        <w:t>Barosaurus</w:t>
      </w:r>
    </w:p>
    <w:p>
      <w:pPr>
        <w:pStyle w:val="Heading2"/>
        <w:rPr/>
      </w:pPr>
      <w:bookmarkStart w:id="11" w:name="__RefHeading___Toc5354_68767826"/>
      <w:bookmarkEnd w:id="11"/>
      <w:r>
        <w:rPr/>
        <w:t>The conception of the mount</w:t>
      </w:r>
    </w:p>
    <w:p>
      <w:pPr>
        <w:pStyle w:val="BodyText"/>
        <w:rPr/>
      </w:pPr>
      <w:r>
        <w:rPr/>
        <w:t xml:space="preserve">The three parts of AMNH 6341 had been reunited from their layovers in the USNM, Utah University and Carnegie Museum by 1930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u w:val="none"/>
        </w:rPr>
        <w:t>Apatosaurus</w:t>
      </w:r>
      <w:r>
        <w:rPr/>
        <w:t xml:space="preserve"> in the Hall of Early Dinosaurs on 17 April 1939 (Figure D, Figure G).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w:t>
      </w:r>
      <w:r>
        <w:rPr>
          <w:i w:val="false"/>
          <w:iCs w:val="false"/>
        </w:rPr>
        <w:t>, with its impressive, barrel-vaulted ceiling.</w:t>
      </w:r>
      <w:r>
        <w:rPr/>
        <w:t xml:space="preserve">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non-neglected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u w:val="none"/>
        </w:rPr>
        <w:t>Allosaurus</w:t>
      </w:r>
      <w:r>
        <w:rPr/>
        <w:t xml:space="preserve">. As the carnivore attacks, one </w:t>
      </w:r>
      <w:r>
        <w:rPr>
          <w:i/>
          <w:iCs/>
        </w:rPr>
        <w:t>Diplodocus</w:t>
      </w:r>
      <w:r>
        <w:rPr/>
        <w:t xml:space="preserve"> provides cover for its retreating allies by facing down the pack in a rearing threat display. This initial version of the painting was reproduced in Bird (1985:59), but Paul became dissatisfied with it and painted over parts of the original in 1983 and 1985 to produce the better known final version (Figure E)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told Gaffney that the museum had one of the best known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i w:val="false"/>
          <w:iCs w:val="false"/>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12" w:name="__RefHeading___Toc1099_1709072779"/>
      <w:bookmarkEnd w:id="12"/>
      <w:r>
        <w:rPr>
          <w:i w:val="false"/>
          <w:iCs w:val="false"/>
        </w:rPr>
        <w:t>The purpose of the mount</w:t>
      </w:r>
    </w:p>
    <w:p>
      <w:pPr>
        <w:pStyle w:val="BodyText"/>
        <w:rPr/>
      </w:pPr>
      <w:r>
        <w:rPr>
          <w:i w:val="false"/>
          <w:iCs w:val="false"/>
        </w:rPr>
        <w:t xml:space="preserve">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these long-extinct icons of evolution, and what can’t we know based on the limited kinds of data preserved in their fossils? The exhibition label for the mount clearly stated this conundrum in a section entitled </w:t>
      </w:r>
      <w:r>
        <w:rPr>
          <w:rFonts w:eastAsia="Songti SC" w:cs="Arial Unicode MS"/>
          <w:i w:val="false"/>
          <w:iCs w:val="false"/>
          <w:color w:val="auto"/>
          <w:kern w:val="2"/>
          <w:sz w:val="24"/>
          <w:szCs w:val="24"/>
          <w:lang w:val="en-GB" w:eastAsia="zh-CN" w:bidi="hi-IN"/>
        </w:rPr>
        <w:t>“</w:t>
      </w:r>
      <w:r>
        <w:rPr>
          <w:i w:val="false"/>
          <w:iCs w:val="false"/>
        </w:rPr>
        <w:t>Did this really happen?</w:t>
      </w:r>
      <w:r>
        <w:rPr>
          <w:rFonts w:eastAsia="Songti SC" w:cs="Arial Unicode MS"/>
          <w:i w:val="false"/>
          <w:iCs w:val="false"/>
          <w:color w:val="auto"/>
          <w:kern w:val="2"/>
          <w:sz w:val="24"/>
          <w:szCs w:val="24"/>
          <w:lang w:val="en-GB" w:eastAsia="zh-CN" w:bidi="hi-IN"/>
        </w:rPr>
        <w:t>” (Figure I)</w:t>
      </w:r>
      <w:r>
        <w:rPr>
          <w:i w:val="false"/>
          <w:iCs w:val="false"/>
        </w:rPr>
        <w:t>:</w:t>
      </w:r>
    </w:p>
    <w:p>
      <w:pPr>
        <w:pStyle w:val="BlockQuotationuser"/>
        <w:rPr/>
      </w:pPr>
      <w:r>
        <w:rPr>
          <w:i w:val="false"/>
          <w:iCs w:val="false"/>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i w:val="false"/>
          <w:iCs w:val="false"/>
        </w:rPr>
        <w:t xml:space="preserve">) or on their two hind legs (like </w:t>
      </w:r>
      <w:r>
        <w:rPr>
          <w:i/>
          <w:iCs/>
        </w:rPr>
        <w:t>Allosaurus</w:t>
      </w:r>
      <w:r>
        <w:rPr>
          <w:i w:val="false"/>
          <w:iCs w:val="false"/>
        </w:rPr>
        <w:t xml:space="preserve">). They do not tell us, however, if </w:t>
      </w:r>
      <w:r>
        <w:rPr>
          <w:i/>
          <w:iCs/>
        </w:rPr>
        <w:t>Barosaurus</w:t>
      </w:r>
      <w:r>
        <w:rPr>
          <w:i w:val="false"/>
          <w:iCs w:val="false"/>
        </w:rPr>
        <w:t xml:space="preserve"> could rear up or if </w:t>
      </w:r>
      <w:r>
        <w:rPr>
          <w:i/>
          <w:iCs/>
        </w:rPr>
        <w:t>Allosaurus</w:t>
      </w:r>
      <w:r>
        <w:rPr>
          <w:i w:val="false"/>
          <w:iCs w:val="false"/>
        </w:rPr>
        <w:t xml:space="preserve"> hunted alone or in groups.</w:t>
      </w:r>
    </w:p>
    <w:p>
      <w:pPr>
        <w:pStyle w:val="Heading2"/>
        <w:rPr/>
      </w:pPr>
      <w:bookmarkStart w:id="13" w:name="__RefHeading___Toc18297_68767826"/>
      <w:bookmarkEnd w:id="13"/>
      <w:r>
        <w:rPr/>
        <w:t>The creation of the mount</w:t>
      </w:r>
    </w:p>
    <w:p>
      <w:pPr>
        <w:pStyle w:val="BodyText"/>
        <w:rPr/>
      </w:pPr>
      <w:r>
        <w:rPr/>
        <w:t>At the time of the casting-and-mounting project, it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w:t>
      </w:r>
    </w:p>
    <w:p>
      <w:pPr>
        <w:pStyle w:val="BodyText"/>
        <w:rPr/>
      </w:pPr>
      <w:r>
        <w:rPr/>
        <w:t xml:space="preserve">Early in the process, a prototype model was made at around 1/16 full size to allow the scene to be created and manipulated at a workable scale (Figure H). This was created by a model-maker at </w:t>
      </w:r>
      <w:r>
        <w:rPr>
          <w:i w:val="false"/>
          <w:iCs w:val="false"/>
        </w:rPr>
        <w:t>Maxilla and Mandible</w:t>
      </w:r>
      <w:r>
        <w:rPr/>
        <w:t>,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casts.</w:t>
      </w:r>
    </w:p>
    <w:p>
      <w:pPr>
        <w:pStyle w:val="BodyText"/>
        <w:rPr/>
      </w:pPr>
      <w:r>
        <w:rPr/>
        <w:t xml:space="preserve">The bones of AMNH 6341, the </w:t>
      </w:r>
      <w:r>
        <w:rPr>
          <w:i/>
          <w:iCs/>
        </w:rPr>
        <w:t>Barosaurus</w:t>
      </w:r>
      <w:r>
        <w:rPr/>
        <w:t xml:space="preserve"> specimen that was to provide most of the mount, were not in the best condition by 1990. The presacral vertebrae had been in collections for the best part of 40 years, since Colbert’s early-1950s renovation; the rest of the bones had been there for 60 years,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Research Casting International (RCI), an organization specializing in mounting prehistoric animals that had then only recently been established. Founder Peter May had started working with fossil mounts at the Royal Ontario Museum, beginning in 1977, where he learned the techniques from paleontology technician Gordon Gyrmov and former WW2 Luftwaffe test pilot Rudy Zimmermann. He rose to became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w:t>
      </w:r>
    </w:p>
    <w:p>
      <w:pPr>
        <w:pStyle w:val="BodyText"/>
        <w:rPr/>
      </w:pPr>
      <w:r>
        <w:rPr/>
        <w:t xml:space="preserve">In the fall 1990, the RCI crew took the repaired and cleaned </w:t>
      </w:r>
      <w:r>
        <w:rPr>
          <w:i/>
          <w:iCs/>
        </w:rPr>
        <w:t>Barosaurus</w:t>
      </w:r>
      <w:r>
        <w:rPr/>
        <w:t xml:space="preserve"> fossils in a semi-truck from New York to Toronto, where they remained for the best part of a year. There, the bones were duplicated. First, they were coated with latex, which was then cured to form rubber molds (Figure M). The bones were then cast, first with a layer of gel coat inside the molds, and then in various materials. As noted by </w:t>
      </w:r>
      <w:r>
        <w:rPr>
          <w:shd w:fill="auto" w:val="clear"/>
        </w:rPr>
        <w:t>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material. (These fragile projections are rarely preserved intact.) The missing parts of the skeleton were mostly replaced by elements cast from the Carnegie </w:t>
      </w:r>
      <w:r>
        <w:rPr>
          <w:i/>
          <w:iCs/>
        </w:rPr>
        <w:t>Diplodocus</w:t>
      </w:r>
      <w:r>
        <w:rPr/>
        <w:t xml:space="preserve">, though some were fabricated in Toronto. Records do not show exactly which </w:t>
      </w:r>
      <w:r>
        <w:rPr>
          <w:shd w:fill="auto" w:val="clear"/>
        </w:rPr>
        <w:t>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K).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 t (Figure N). Also present were photographers including National Geographic’s Louie Psihoyos, a television crew, at least one observer from another museum, and a crowd of local workers on their lunch-breaks.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u w:val="none"/>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In November 1991, the work in Toronto was complete, and the completed exhibit was transported to New York in sections for mounting (Figure O).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L).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C10 and C11 in Figure A and in other contemporary photos such as those of Dingus (1996:26) and Lindsay (1992:18–20). It was soon corrected, however, in a near-disastrous but ultimately successful late-night operation (Dingus 1996:28), and the line of the neck is smooth and elegant in the mount as it is today.</w:t>
      </w:r>
    </w:p>
    <w:p>
      <w:pPr>
        <w:pStyle w:val="BodyText"/>
        <w:rPr/>
      </w:pPr>
      <w:r>
        <w:rPr/>
        <w:t>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u w:val="none"/>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BodyText"/>
        <w:rPr/>
      </w:pPr>
      <w:r>
        <w:rPr/>
        <w:t xml:space="preserve">One of us (Dingus) recalls that the total budget for the mounting project was $250,000. Another of us (May) feels that, including the </w:t>
      </w:r>
      <w:r>
        <w:rPr>
          <w:i/>
          <w:iCs/>
        </w:rPr>
        <w:t>Allosaurus</w:t>
      </w:r>
      <w:r>
        <w:rPr/>
        <w:t xml:space="preserve">, the baby </w:t>
      </w:r>
      <w:r>
        <w:rPr>
          <w:i/>
          <w:iCs/>
        </w:rPr>
        <w:t>Barosaurus</w:t>
      </w:r>
      <w:r>
        <w:rPr/>
        <w:t xml:space="preserve"> and the mounting of the original fossil neck and skull of the baby diplodocine AMNH 7530, $250,000 seems a little light. We have not been able to locate official records to resolve this question.</w:t>
      </w:r>
    </w:p>
    <w:p>
      <w:pPr>
        <w:pStyle w:val="Heading2"/>
        <w:rPr/>
      </w:pPr>
      <w:bookmarkStart w:id="14" w:name="__RefHeading___Toc5632_2187837281"/>
      <w:bookmarkEnd w:id="14"/>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comm. 2022):</w:t>
      </w:r>
    </w:p>
    <w:p>
      <w:pPr>
        <w:pStyle w:val="BlockQuotationuser"/>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5" w:name="__RefHeading___Toc5356_68767826"/>
      <w:bookmarkEnd w:id="15"/>
      <w:r>
        <w:rPr/>
        <w:t>The composition of the mount</w:t>
      </w:r>
    </w:p>
    <w:p>
      <w:pPr>
        <w:pStyle w:val="Heading3"/>
        <w:numPr>
          <w:ilvl w:val="2"/>
          <w:numId w:val="5"/>
        </w:numPr>
        <w:ind w:hanging="0" w:left="0" w:right="0"/>
        <w:rPr/>
      </w:pPr>
      <w:bookmarkStart w:id="16" w:name="__RefHeading___Toc16585_68767826"/>
      <w:bookmarkEnd w:id="16"/>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did not specify which elements were included in that missing fifth,  and it has not been possible to recover this information from the McIntosh archives. Norell el al. (1991) also seems to be in error regarding numerous elements being modeled from scratch. A certain amount of detective work is therefore required. To summarise: a complete list of the elements of AMNH 6341 itself can be assembled from the published works and notes of McIntosh; Peter May recalls that with some exceptions discussed below, the missing bones were filled in with casts taken from molds made from the Utah Field House’s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rPr/>
      </w:pPr>
      <w:bookmarkStart w:id="17" w:name="__RefHeading___Toc4995_537823704"/>
      <w:bookmarkEnd w:id="17"/>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and with observations of materials on exhibition in the past and present, it is possible to arrive at a complete list of material as follows:</w:t>
      </w:r>
    </w:p>
    <w:p>
      <w:pPr>
        <w:pStyle w:val="BodyText"/>
        <w:numPr>
          <w:ilvl w:val="0"/>
          <w:numId w:val="8"/>
        </w:numPr>
        <w:ind w:hanging="360" w:left="720" w:right="0"/>
        <w:rPr/>
      </w:pPr>
      <w:r>
        <w:rPr/>
        <w:t>the posterior part of the neck (cervicals 8–16)</w:t>
      </w:r>
    </w:p>
    <w:p>
      <w:pPr>
        <w:pStyle w:val="BodyText"/>
        <w:numPr>
          <w:ilvl w:val="0"/>
          <w:numId w:val="8"/>
        </w:numPr>
        <w:ind w:hanging="360" w:left="720" w:right="0"/>
        <w:rPr/>
      </w:pPr>
      <w:r>
        <w:rPr/>
        <w:t>all nine dorsal vertebrae (dorsals 1–9)</w:t>
      </w:r>
    </w:p>
    <w:p>
      <w:pPr>
        <w:pStyle w:val="BodyText"/>
        <w:numPr>
          <w:ilvl w:val="0"/>
          <w:numId w:val="8"/>
        </w:numPr>
        <w:ind w:hanging="360" w:left="720" w:right="0"/>
        <w:rPr/>
      </w:pPr>
      <w:r>
        <w:rPr/>
        <w:t>the complete sacrum (sacral vertebrae 1–5)</w:t>
      </w:r>
    </w:p>
    <w:p>
      <w:pPr>
        <w:pStyle w:val="BodyText"/>
        <w:numPr>
          <w:ilvl w:val="0"/>
          <w:numId w:val="8"/>
        </w:numPr>
        <w:ind w:hanging="360" w:left="720" w:right="0"/>
        <w:rPr/>
      </w:pPr>
      <w:r>
        <w:rPr/>
        <w:t>the anterior part of the tail (caudals 1–29)</w:t>
      </w:r>
    </w:p>
    <w:p>
      <w:pPr>
        <w:pStyle w:val="BodyText"/>
        <w:numPr>
          <w:ilvl w:val="0"/>
          <w:numId w:val="8"/>
        </w:numPr>
        <w:ind w:hanging="360" w:left="720" w:right="0"/>
        <w:rPr/>
      </w:pPr>
      <w:bookmarkStart w:id="18" w:name="__DdeLink__31298_802501007"/>
      <w:r>
        <w:rPr/>
        <w:t>six partial ribs, of which one is the first or possibly second on the left side, and another is probably its counterpart</w:t>
      </w:r>
      <w:bookmarkEnd w:id="18"/>
    </w:p>
    <w:p>
      <w:pPr>
        <w:pStyle w:val="BodyText"/>
        <w:numPr>
          <w:ilvl w:val="0"/>
          <w:numId w:val="8"/>
        </w:numPr>
        <w:ind w:hanging="360" w:left="720" w:right="0"/>
        <w:rPr/>
      </w:pPr>
      <w:r>
        <w:rPr/>
        <w:t>a single chevron, from further back than Ca13 and likely in the region Ca22–Ca28.</w:t>
      </w:r>
    </w:p>
    <w:p>
      <w:pPr>
        <w:pStyle w:val="BodyText"/>
        <w:numPr>
          <w:ilvl w:val="0"/>
          <w:numId w:val="8"/>
        </w:numPr>
        <w:ind w:hanging="360" w:left="720" w:right="0"/>
        <w:rPr/>
      </w:pPr>
      <w:r>
        <w:rPr/>
        <w:t>right (not left as in McIntosh 2005:43) scapulocoracoid, fully fused together; distal end of left scapula; left coracoid</w:t>
      </w:r>
    </w:p>
    <w:p>
      <w:pPr>
        <w:pStyle w:val="BodyText"/>
        <w:numPr>
          <w:ilvl w:val="0"/>
          <w:numId w:val="8"/>
        </w:numPr>
        <w:ind w:hanging="360" w:left="720" w:right="0"/>
        <w:rPr/>
      </w:pPr>
      <w:r>
        <w:rPr/>
        <w:t>right (not left as in McIntosh 2005:43) humerus</w:t>
      </w:r>
    </w:p>
    <w:p>
      <w:pPr>
        <w:pStyle w:val="BodyText"/>
        <w:numPr>
          <w:ilvl w:val="0"/>
          <w:numId w:val="8"/>
        </w:numPr>
        <w:ind w:hanging="360" w:left="720" w:right="0"/>
        <w:rPr/>
      </w:pPr>
      <w:r>
        <w:rPr/>
        <w:t>right ilium complete except small part of the upper border; acetabular portion and “distal ends” of left ilium</w:t>
      </w:r>
    </w:p>
    <w:p>
      <w:pPr>
        <w:pStyle w:val="BodyText"/>
        <w:numPr>
          <w:ilvl w:val="0"/>
          <w:numId w:val="8"/>
        </w:numPr>
        <w:ind w:hanging="360" w:left="720" w:right="0"/>
        <w:rPr/>
      </w:pPr>
      <w:r>
        <w:rPr/>
        <w:t>both pubes and ischia complete except parts of the proximal ends of both pubes and the right ischium</w:t>
      </w:r>
    </w:p>
    <w:p>
      <w:pPr>
        <w:pStyle w:val="BodyText"/>
        <w:numPr>
          <w:ilvl w:val="0"/>
          <w:numId w:val="8"/>
        </w:numPr>
        <w:ind w:hanging="360" w:left="720" w:right="0"/>
        <w:rPr/>
      </w:pPr>
      <w:r>
        <w:rPr/>
        <w:t>complete right hindlimb (femur, tibia, fibula, astragalus)</w:t>
      </w:r>
    </w:p>
    <w:p>
      <w:pPr>
        <w:pStyle w:val="BodyText"/>
        <w:numPr>
          <w:ilvl w:val="0"/>
          <w:numId w:val="8"/>
        </w:numPr>
        <w:ind w:hanging="360" w:left="720" w:right="0"/>
        <w:rPr/>
      </w:pPr>
      <w:r>
        <w:rPr/>
        <w:t>elements of the right pes: metatarsals I, II and V, phalanges I-I and V-I, two 2nd phalanges, one ungual</w:t>
      </w:r>
    </w:p>
    <w:p>
      <w:pPr>
        <w:pStyle w:val="BodyText"/>
        <w:numPr>
          <w:ilvl w:val="0"/>
          <w:numId w:val="8"/>
        </w:numPr>
        <w:ind w:hanging="360" w:left="720" w:right="0"/>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B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G).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D.B)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rPr/>
      </w:pPr>
      <w:bookmarkStart w:id="19" w:name="__RefHeading___Toc25854_1820571732"/>
      <w:bookmarkEnd w:id="19"/>
      <w:r>
        <w:rPr/>
        <w:t>Non-Barosaurus material in the mount</w:t>
      </w:r>
    </w:p>
    <w:p>
      <w:pPr>
        <w:pStyle w:val="BodyText"/>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at its new building. These new molds were then used to create several additional </w:t>
      </w:r>
      <w:r>
        <w:rPr>
          <w:i/>
          <w:iCs/>
          <w:u w:val="none"/>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t xml:space="preserve">Jack McIntosh, Lowell Dingus and Gene Gaffney all visited RCI multiple times during the modelling process </w:t>
      </w:r>
      <w:r>
        <w:rPr>
          <w:lang w:val="en-US"/>
        </w:rPr>
        <w:t>to provide guidance and monitor progress.</w:t>
      </w:r>
    </w:p>
    <w:p>
      <w:pPr>
        <w:pStyle w:val="BodyText"/>
        <w:rPr/>
      </w:pPr>
      <w:r>
        <w:rPr>
          <w:lang w:val="en-US"/>
        </w:rPr>
        <w:t>With this in mind, we will now consider the source of specific elements of the cast.</w:t>
      </w:r>
    </w:p>
    <w:p>
      <w:pPr>
        <w:pStyle w:val="Heading3"/>
        <w:numPr>
          <w:ilvl w:val="2"/>
          <w:numId w:val="6"/>
        </w:numPr>
        <w:ind w:hanging="0" w:left="0" w:right="0"/>
        <w:rPr/>
      </w:pPr>
      <w:bookmarkStart w:id="20" w:name="__RefHeading___Toc16587_68767826"/>
      <w:bookmarkEnd w:id="20"/>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u w:val="none"/>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C.A–B).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C.C).</w:t>
      </w:r>
    </w:p>
    <w:p>
      <w:pPr>
        <w:pStyle w:val="Heading3"/>
        <w:numPr>
          <w:ilvl w:val="2"/>
          <w:numId w:val="7"/>
        </w:numPr>
        <w:ind w:hanging="0" w:left="0" w:right="0"/>
        <w:rPr/>
      </w:pPr>
      <w:bookmarkStart w:id="21" w:name="__RefHeading___Toc16589_68767826"/>
      <w:bookmarkEnd w:id="21"/>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 tenth cervical vertebra (C7), at present it preserves the last nine cervical vertebrae. These are therefore considered to be C8–C16.</w:t>
      </w:r>
    </w:p>
    <w:p>
      <w:pPr>
        <w:pStyle w:val="BodyText"/>
        <w:rPr/>
      </w:pPr>
      <w:r>
        <w:rPr/>
        <w:t xml:space="preserve">The anterior part of neck of the mount was completed using seven casts of anterior vertebrae from the Carnegie </w:t>
      </w:r>
      <w:r>
        <w:rPr>
          <w:i/>
          <w:iCs/>
        </w:rPr>
        <w:t>Diplodocus</w:t>
      </w:r>
      <w:r>
        <w:rPr/>
        <w:t xml:space="preserve">, but the anteriormost seven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w:t>
      </w:r>
      <w:r>
        <w:rPr>
          <w:i/>
          <w:iCs/>
        </w:rPr>
        <w:t>Diplodocus</w:t>
      </w:r>
      <w:r>
        <w:rPr/>
        <w:t xml:space="preserve"> cervicals was used to obtain a smooth transition: one of us (May) believes they were probably cervicals 10 (595 mm), 8 (512 mm), 6 (442 mm) and 4–1, and the relative sizes of the vertebrae corroborate this identification.</w:t>
      </w:r>
    </w:p>
    <w:p>
      <w:pPr>
        <w:pStyle w:val="BodyText"/>
        <w:rPr/>
      </w:pPr>
      <w:r>
        <w:rPr/>
        <w:t>CM 84, the specimen that forms most of the Carnegie mount, includes C2–7, but not the atlas (C1). As discussed by Taylor et al. (2025:71–72), it is not clear which specimen supplied the atlas in the Carnegie mount, and it seems most likely that this element was a sculpture not based on any specific fossil specimen.</w:t>
      </w:r>
    </w:p>
    <w:p>
      <w:pPr>
        <w:pStyle w:val="BodyText"/>
        <w:rPr/>
      </w:pPr>
      <w:r>
        <w:rPr/>
        <w:t xml:space="preserve">As noted above, the absent cervical ribs of some of the </w:t>
      </w:r>
      <w:r>
        <w:rPr>
          <w:i/>
          <w:iCs/>
        </w:rPr>
        <w:t>Barosaurus</w:t>
      </w:r>
      <w:r>
        <w:rPr/>
        <w:t xml:space="preserve"> cervical casts were either supplied from the Carnegie </w:t>
      </w:r>
      <w:r>
        <w:rPr>
          <w:i/>
          <w:iCs/>
        </w:rPr>
        <w:t>Diplodocus</w:t>
      </w:r>
      <w:r>
        <w:rPr/>
        <w:t xml:space="preserve"> or possibly sculpted.</w:t>
      </w:r>
    </w:p>
    <w:p>
      <w:pPr>
        <w:pStyle w:val="Heading3"/>
        <w:numPr>
          <w:ilvl w:val="2"/>
          <w:numId w:val="1"/>
        </w:numPr>
        <w:ind w:hanging="0" w:left="0" w:right="0"/>
        <w:rPr/>
      </w:pPr>
      <w:bookmarkStart w:id="22" w:name="__RefHeading___Toc2466_2187837281"/>
      <w:bookmarkEnd w:id="22"/>
      <w:r>
        <w:rPr/>
        <w:t>Torso, sacrum and tail</w:t>
      </w:r>
    </w:p>
    <w:p>
      <w:pPr>
        <w:pStyle w:val="BodyText"/>
        <w:rPr/>
      </w:pPr>
      <w:r>
        <w:rPr/>
        <w:t>The complete dorsal sequence (of nine vertebrae) and complete sacrum (of five vertebra) are present in AMNH 6341. However, McIntosh’s (2005:43) account says that only “six ribs and fragments” were included from a total of 18 (two per dorsal vertebra), and as noted above the identification of these ribs is uncertain.</w:t>
      </w:r>
    </w:p>
    <w:p>
      <w:pPr>
        <w:pStyle w:val="BodyText"/>
        <w:rPr/>
      </w:pPr>
      <w:r>
        <w:rPr/>
        <w:t>AMNH 6341 includes the first 29 caudals (or perhaps caudals 1–20 and 22–30, see above) but only one chevron.</w:t>
      </w:r>
    </w:p>
    <w:p>
      <w:pPr>
        <w:pStyle w:val="Heading3"/>
        <w:numPr>
          <w:ilvl w:val="2"/>
          <w:numId w:val="1"/>
        </w:numPr>
        <w:ind w:hanging="0" w:left="0" w:right="0"/>
        <w:rPr/>
      </w:pPr>
      <w:bookmarkStart w:id="23" w:name="__RefHeading___Toc2470_2187837281"/>
      <w:bookmarkEnd w:id="23"/>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rPr/>
      </w:pPr>
      <w:bookmarkStart w:id="24" w:name="__RefHeading___Toc25856_1820571732"/>
      <w:bookmarkEnd w:id="24"/>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And the </w:t>
      </w:r>
      <w:r>
        <w:rPr>
          <w:i/>
          <w:iCs/>
        </w:rPr>
        <w:t>Barosaurus</w:t>
      </w:r>
      <w:r>
        <w:rPr/>
        <w:t xml:space="preserve"> cast probably used second-generation casts of these sculptures.</w:t>
      </w:r>
    </w:p>
    <w:p>
      <w:pPr>
        <w:pStyle w:val="Heading1"/>
        <w:numPr>
          <w:ilvl w:val="0"/>
          <w:numId w:val="3"/>
        </w:numPr>
        <w:ind w:hanging="0" w:left="0" w:right="0"/>
        <w:rPr/>
      </w:pPr>
      <w:bookmarkStart w:id="25" w:name="__RefHeading___Toc3401_68767826"/>
      <w:bookmarkEnd w:id="25"/>
      <w:r>
        <w:rPr/>
        <w:t>Discussion</w:t>
      </w:r>
    </w:p>
    <w:p>
      <w:pPr>
        <w:pStyle w:val="Heading2"/>
        <w:rPr/>
      </w:pPr>
      <w:bookmarkStart w:id="26" w:name="__RefHeading___Toc2476_2187837281"/>
      <w:bookmarkEnd w:id="26"/>
      <w:r>
        <w:rPr/>
        <w:t>Rearing pose</w:t>
      </w:r>
    </w:p>
    <w:p>
      <w:pPr>
        <w:pStyle w:val="BodyText"/>
        <w:rPr/>
      </w:pPr>
      <w:r>
        <w:rPr/>
        <w:t xml:space="preserve">As noted above, 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F),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u w:val="none"/>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skeleton’s critics were encouraging the public to think about the controversy for themselves.</w:t>
      </w:r>
    </w:p>
    <w:p>
      <w:pPr>
        <w:pStyle w:val="Heading2"/>
        <w:rPr/>
      </w:pPr>
      <w:bookmarkStart w:id="27" w:name="__RefHeading___Toc3786_1986291683"/>
      <w:bookmarkEnd w:id="27"/>
      <w:r>
        <w:rPr/>
        <w:t>A short history of rearing sauropods</w:t>
      </w:r>
    </w:p>
    <w:p>
      <w:pPr>
        <w:pStyle w:val="BodyText"/>
        <w:rPr/>
      </w:pPr>
      <w:r>
        <w:rPr/>
        <w:t xml:space="preserve">The notion of rearing sauropods has a long heritage. The one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i w:val="false"/>
          <w:iCs w:val="false"/>
        </w:rPr>
        <w:t xml:space="preserve">” (= </w:t>
      </w:r>
      <w:r>
        <w:rPr>
          <w:i/>
          <w:iCs/>
        </w:rPr>
        <w:t>Neuquensaurus</w:t>
      </w:r>
      <w:r>
        <w:rPr>
          <w:i w:val="false"/>
          <w:iCs w:val="false"/>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1971c, 1978). In his widely read popular-science book </w:t>
      </w:r>
      <w:r>
        <w:rPr>
          <w:i/>
          <w:iCs/>
        </w:rPr>
        <w:t>The Dinosaur Heresies</w:t>
      </w:r>
      <w:r>
        <w:rPr/>
        <w:t xml:space="preserve">, Bakker (1986:190–192) reiterated and expanded his own argument that diplodocids, including </w:t>
      </w:r>
      <w:r>
        <w:rPr>
          <w:i/>
          <w:iCs/>
          <w:u w:val="none"/>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painting influential painting </w:t>
      </w:r>
      <w:r>
        <w:rPr>
          <w:i/>
          <w:iCs/>
        </w:rPr>
        <w:t>Ambush at Como Creek</w:t>
      </w:r>
      <w:r>
        <w:rPr/>
        <w:t xml:space="preserve"> (see above), argued the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i w:val="false"/>
          <w:iCs w:val="false"/>
        </w:rPr>
        <w:t xml:space="preserve"> (considered by McIntosh et al. (1996) to be a species of </w:t>
      </w:r>
      <w:r>
        <w:rPr>
          <w:i/>
          <w:iCs/>
        </w:rPr>
        <w:t>Camarasaurus</w:t>
      </w:r>
      <w:r>
        <w:rPr>
          <w:i w:val="false"/>
          <w:iCs w:val="false"/>
        </w:rPr>
        <w:t xml:space="preserve"> but regarded as its own genus by Tschopp et al. 2014). Jensen (1988</w:t>
      </w:r>
      <w:r>
        <w:rPr/>
        <w:t xml:space="preserve">:124–128)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suprapostal plates in the sacral vertebrae, and 20-degree forward rotation of the ilia relative to the sacrum. While some of these features do not seem directly related to rearing and others are likely age-related, the rotation of the ilium remains unique and difficult to interpret at anything other than a bipedalism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fully justified.</w:t>
      </w:r>
    </w:p>
    <w:p>
      <w:pPr>
        <w:pStyle w:val="Heading2"/>
        <w:rPr/>
      </w:pPr>
      <w:bookmarkStart w:id="28" w:name="__RefHeading___Toc11689_675290491"/>
      <w:bookmarkEnd w:id="28"/>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w:t>
      </w:r>
      <w:r>
        <w:rPr>
          <w:i/>
          <w:iCs/>
        </w:rPr>
        <w:t>Prehistoric Planet</w:t>
      </w:r>
      <w:r>
        <w:rPr/>
        <w:t xml:space="preserve"> (2022). Episode 2 (</w:t>
      </w:r>
      <w:r>
        <w:rPr>
          <w:i/>
          <w:iCs/>
        </w:rPr>
        <w:t>Deserts</w:t>
      </w:r>
      <w:r>
        <w:rPr/>
        <w:t xml:space="preserve">) included a lengthy scene beginning at four minutes, in which </w:t>
      </w:r>
      <w:r>
        <w:rPr>
          <w:i/>
          <w:iCs/>
        </w:rPr>
        <w:t>Dreadnaughtus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(Smith, 2024, pers. comm.), including 50 versions of </w:t>
      </w:r>
      <w:r>
        <w:rPr>
          <w:i/>
          <w:iCs/>
        </w:rPr>
        <w:t>Brachiosaurus</w:t>
      </w:r>
      <w:r>
        <w:rPr/>
        <w:t xml:space="preserve">, 38 of </w:t>
      </w:r>
      <w:r>
        <w:rPr>
          <w:i/>
          <w:iCs/>
        </w:rPr>
        <w:t>Apatosaurus</w:t>
      </w:r>
      <w:r>
        <w:rPr/>
        <w:t xml:space="preserve">, 22 of </w:t>
      </w:r>
      <w:r>
        <w:rPr>
          <w:i/>
          <w:iCs/>
        </w:rPr>
        <w:t>Diplodocus</w:t>
      </w:r>
      <w:r>
        <w:rPr>
          <w:i w:val="false"/>
          <w:iCs w:val="false"/>
        </w:rPr>
        <w:t xml:space="preserve"> and nine of </w:t>
      </w:r>
      <w:r>
        <w:rPr>
          <w:i/>
          <w:iCs/>
        </w:rPr>
        <w:t>Camarasaurus</w:t>
      </w:r>
      <w:r>
        <w:rPr>
          <w:i w:val="false"/>
          <w:iCs w:val="false"/>
        </w:rPr>
        <w:t xml:space="preserve"> — but not a single </w:t>
      </w:r>
      <w:r>
        <w:rPr>
          <w:i/>
          <w:iCs/>
        </w:rPr>
        <w:t>Barosaurus</w:t>
      </w:r>
      <w:r>
        <w:rPr>
          <w:i w:val="false"/>
          <w:iCs w:val="false"/>
        </w:rPr>
        <w:t xml:space="preserve"> toy. The only </w:t>
      </w:r>
      <w:r>
        <w:rPr>
          <w:i/>
          <w:iCs/>
        </w:rPr>
        <w:t>Barosaurus</w:t>
      </w:r>
      <w:r>
        <w:rPr>
          <w:i w:val="false"/>
          <w:iCs w:val="false"/>
        </w:rPr>
        <w:t xml:space="preserve"> “toys”  on the market at the time of writing seem to be large museum-quality maquettes costing $500 or more. A </w:t>
      </w:r>
      <w:r>
        <w:rPr/>
        <w:t xml:space="preserve">Lego model of the rearing AMNH </w:t>
      </w:r>
      <w:r>
        <w:rPr>
          <w:i/>
          <w:iCs/>
        </w:rPr>
        <w:t>Barosaurus</w:t>
      </w:r>
      <w:r>
        <w:rPr/>
        <w:t xml:space="preserve"> has been created by Ambrosino (a pseudonym) and its instructions made freely available (Ambrosino 2023; Figure J).</w:t>
      </w:r>
    </w:p>
    <w:p>
      <w:pPr>
        <w:pStyle w:val="Heading2"/>
        <w:rPr/>
      </w:pPr>
      <w:bookmarkStart w:id="29" w:name="__RefHeading___Toc21934_68767826"/>
      <w:bookmarkEnd w:id="29"/>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ind w:hanging="0" w:left="0" w:right="0"/>
        <w:rPr/>
      </w:pPr>
      <w:bookmarkStart w:id="30" w:name="__RefHeading___Toc3403_68767826"/>
      <w:bookmarkEnd w:id="30"/>
      <w:r>
        <w:rPr/>
        <w:t>Acknowledgements</w:t>
      </w:r>
    </w:p>
    <w:p>
      <w:pPr>
        <w:pStyle w:val="BodyText"/>
        <w:rPr/>
      </w:pPr>
      <w:r>
        <w:rPr/>
        <w:t xml:space="preserve">We are grateful to Scott Hartman (University of Wisconsin-Madison) for allowing us to use his </w:t>
      </w:r>
      <w:r>
        <w:rPr>
          <w:i/>
          <w:iCs/>
        </w:rPr>
        <w:t>Barosaurus lentus</w:t>
      </w:r>
      <w:r>
        <w:rPr/>
        <w:t xml:space="preserve"> skeletal reconstruction, to Gregory S. Paul for permission to reproduce his artwork </w:t>
      </w:r>
      <w:r>
        <w:rPr>
          <w:i/>
          <w:iCs/>
        </w:rPr>
        <w:t>Ambush at Como Creek</w:t>
      </w:r>
      <w:r>
        <w:rPr/>
        <w:t xml:space="preserve">, to John Gurche for permission to reproduce his life restoration of the rearing </w:t>
      </w:r>
      <w:r>
        <w:rPr>
          <w:i/>
          <w:iCs/>
        </w:rPr>
        <w:t>Barosaurus</w:t>
      </w:r>
      <w:r>
        <w:rPr/>
        <w:t xml:space="preserve">, and to Ambrosino for permission to use a photograph of his Lego </w:t>
      </w:r>
      <w:r>
        <w:rPr>
          <w:i/>
          <w:iCs/>
        </w:rPr>
        <w:t>Barosaurus</w:t>
      </w:r>
      <w:r>
        <w:rPr/>
        <w:t xml:space="preserve"> model (Figure J). Jarrod Davis created the high-quality image of Paul’s </w:t>
      </w:r>
      <w:r>
        <w:rPr>
          <w:i/>
          <w:iCs/>
        </w:rPr>
        <w:t>Ambush</w:t>
      </w:r>
      <w:r>
        <w:rPr/>
        <w:t xml:space="preserve"> painting by combining several scans created by Mathew J. Wedel; we thank them both. Gregory S. Paul also allowed us to quote personal communications. Carl Mehling (AMNH) searched collections for the missing C7 and allowed us to cite a personal communication. Mai Reitmeyer (Department of Library Services, AMNH) helped us to obtain historical photographs. Amelia Zietlow (Richard Gilder Graduate School at the AMNH) provided helpful photographs and information about the present public exhibits (Figure I). We thank Ray Wilhite (Auburn University College of Veterinary Medicine) and Brooks Britt and Rod Scheetz (both Brigham Young University) for help in accessing the archived notebooks of John S. McIntosh. Lynton Gardiner allowed us to cite a personal communication. Mick Ellison (AMNH) kindly photographed for us both the 1939 public gallery exhibit panel (Figure G) and the prototype model (Figure H), having had the model repaired. Photography of the model was courtesy of the AMNH Main Archives. Melissa Posen, Dingus’s administrative assistant on the </w:t>
      </w:r>
      <w:r>
        <w:rPr>
          <w:i/>
          <w:iCs/>
        </w:rPr>
        <w:t>Barosaurus</w:t>
      </w:r>
      <w:r>
        <w:rPr/>
        <w:t xml:space="preserve"> project, took most of the photographs of the initial assembly in Toronto.</w:t>
      </w:r>
    </w:p>
    <w:p>
      <w:pPr>
        <w:pStyle w:val="BodyText"/>
        <w:rPr/>
      </w:pPr>
      <w:r>
        <w:rPr/>
        <w:t>XXX Acknowledge archives people at AMNH and contact at USNM and everyone in directory</w:t>
      </w:r>
    </w:p>
    <w:p>
      <w:pPr>
        <w:pStyle w:val="Heading1"/>
        <w:numPr>
          <w:ilvl w:val="0"/>
          <w:numId w:val="3"/>
        </w:numPr>
        <w:ind w:hanging="0" w:left="0" w:right="0"/>
        <w:rPr/>
      </w:pPr>
      <w:bookmarkStart w:id="31" w:name="__RefHeading___Toc3405_68767826"/>
      <w:bookmarkEnd w:id="31"/>
      <w:r>
        <w:rPr/>
        <w:t>References</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Reproduced on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Coggeshall, Arthur S. 1924. Letter to Charles W. Gilmore reporting that neck section is ready to be shipped from Caregie Museum to USNM. About 21 October 1924.</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Douglass, Earl. 1879–1953. Earl Douglass papers, 1879–1953. Collected by University of Utah Libraries, Special Collections; Excepted by Archives West. </w:t>
      </w:r>
      <w:hyperlink r:id="rId8">
        <w:r>
          <w:rPr>
            <w:rStyle w:val="Hyperlink"/>
          </w:rPr>
          <w:t>https://archiveswest.orbiscascade.org/ark:80444/xv14910</w:t>
        </w:r>
      </w:hyperlink>
      <w:r>
        <w:rPr/>
        <w:t xml:space="preserve"> </w:t>
      </w:r>
    </w:p>
    <w:p>
      <w:pPr>
        <w:pStyle w:val="Reference"/>
        <w:rPr/>
      </w:pPr>
      <w:r>
        <w:rPr/>
        <w:t>Douglass, Earl. 1922a. Telegram to George P. Merrill estimating cost and time to extract two Diplodocus skeletons from the Dinosaur National Monument quarry. 10 November 1922 or shortly before.</w:t>
      </w:r>
    </w:p>
    <w:p>
      <w:pPr>
        <w:pStyle w:val="Reference"/>
        <w:rPr/>
      </w:pPr>
      <w:r>
        <w:rPr/>
        <w:t>Douglass, Earl. 1922b. Letter to George P. Merrill expanding on cost and time to extract two Diplodocus skeletons from the Dinosaur National Monument quarry. 22 November 1922.</w:t>
      </w:r>
    </w:p>
    <w:p>
      <w:pPr>
        <w:pStyle w:val="Reference"/>
        <w:rPr/>
      </w:pPr>
      <w:r>
        <w:rPr/>
        <w:t>Douglass, Earl, 1923. Report of Work Done by the Carnegie Museum at the Dinosaur National Monument in Uinta County, Utah, under the Supervision of Earl Dougless, in the year 1922. 24 March 1923. 2 pages.</w:t>
      </w:r>
    </w:p>
    <w:p>
      <w:pPr>
        <w:pStyle w:val="Reference"/>
        <w:rPr/>
      </w:pPr>
      <w:r>
        <w:rPr/>
        <w:t>Gilmore, Charles w. 1923a. Handwritten letter to William de C. Ravenel briefly summarising the outcome of the field season at the Dinosaur National Monument quarry. 8 August 1923.</w:t>
      </w:r>
    </w:p>
    <w:p>
      <w:pPr>
        <w:pStyle w:val="Reference"/>
        <w:rPr/>
      </w:pPr>
      <w:r>
        <w:rPr/>
        <w:t>Gilmore, Charles W. 1923b. Letter to William de Chastignier Ravenel, “I herewith submit my report on the expedition to the Dinosaur National Monument”. 30 August 1923. 3 pages.</w:t>
      </w:r>
    </w:p>
    <w:p>
      <w:pPr>
        <w:pStyle w:val="Reference"/>
        <w:rPr/>
      </w:pPr>
      <w:r>
        <w:rPr/>
        <w:t xml:space="preserve">Gilmore, Charles W. 1932. On a newly mounted skeleton of </w:t>
      </w:r>
      <w:r>
        <w:rPr>
          <w:i/>
          <w:iCs/>
        </w:rPr>
        <w:t>Diplodocus</w:t>
      </w:r>
      <w:r>
        <w:rPr/>
        <w:t xml:space="preserve"> in the United States National Museum. </w:t>
      </w:r>
      <w:bookmarkStart w:id="32" w:name="__DdeLink__2788_55120580"/>
      <w:r>
        <w:rPr>
          <w:i/>
          <w:iCs/>
        </w:rPr>
        <w:t>Proceedings of the United States National Museum</w:t>
      </w:r>
      <w:bookmarkEnd w:id="32"/>
      <w:r>
        <w:rPr/>
        <w:t xml:space="preserve"> </w:t>
      </w:r>
      <w:r>
        <w:rPr>
          <w:b/>
          <w:bCs/>
        </w:rPr>
        <w:t>81</w:t>
      </w:r>
      <w:r>
        <w:rPr/>
        <w:t>:1–21.</w:t>
      </w:r>
    </w:p>
    <w:p>
      <w:pPr>
        <w:pStyle w:val="Reference"/>
        <w:rPr/>
      </w:pPr>
      <w:r>
        <w:rPr/>
        <w:t xml:space="preserve">Gilmore, Charles W. 1936. Osteology of </w:t>
      </w:r>
      <w:r>
        <w:rPr>
          <w:i/>
          <w:iCs/>
        </w:rPr>
        <w:t>Apatosaurus</w:t>
      </w:r>
      <w:r>
        <w:rPr/>
        <w:t xml:space="preserve"> with special reference to specimens in the Carnegie Museum. </w:t>
      </w:r>
      <w:r>
        <w:rPr>
          <w:i/>
          <w:iCs/>
        </w:rPr>
        <w:t>Memoirs of the Carnegie Museum</w:t>
      </w:r>
      <w:r>
        <w:rPr/>
        <w:t xml:space="preserve"> </w:t>
      </w:r>
      <w:r>
        <w:rPr>
          <w:b/>
          <w:bCs/>
        </w:rPr>
        <w:t>11</w:t>
      </w:r>
      <w:r>
        <w:rPr/>
        <w:t>:175–300 and plates XXI–XXXIV.</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1915. A new species of </w:t>
      </w:r>
      <w:r>
        <w:rPr>
          <w:i/>
          <w:iCs/>
        </w:rPr>
        <w:t>Apatosaurus</w:t>
      </w:r>
      <w:r>
        <w:rPr/>
        <w:t xml:space="preserve">. </w:t>
      </w:r>
      <w:r>
        <w:rPr>
          <w:i/>
          <w:iCs/>
        </w:rPr>
        <w:t>Annals of the Carnegie Museum</w:t>
      </w:r>
      <w:r>
        <w:rPr/>
        <w:t xml:space="preserve"> </w:t>
      </w:r>
      <w:r>
        <w:rPr>
          <w:b/>
          <w:bCs/>
        </w:rPr>
        <w:t>10</w:t>
      </w:r>
      <w:r>
        <w:rPr/>
        <w:t>:143–145.</w:t>
      </w:r>
    </w:p>
    <w:p>
      <w:pPr>
        <w:pStyle w:val="Reference"/>
        <w:rPr/>
      </w:pPr>
      <w:r>
        <w:rPr/>
        <w:t xml:space="preserve">Holland, William J. 1924. The skull of </w:t>
      </w:r>
      <w:r>
        <w:rPr>
          <w:i/>
          <w:iCs/>
        </w:rPr>
        <w:t>Diplodocus</w:t>
      </w:r>
      <w:r>
        <w:rPr/>
        <w:t xml:space="preserve">. </w:t>
      </w:r>
      <w:r>
        <w:rPr>
          <w:i/>
          <w:iCs/>
        </w:rPr>
        <w:t>Memoirs of the Carnegie Museum</w:t>
      </w:r>
      <w:r>
        <w:rPr/>
        <w:t xml:space="preserve"> </w:t>
      </w:r>
      <w:r>
        <w:rPr>
          <w:b/>
          <w:bCs/>
        </w:rPr>
        <w:t>9(3)</w:t>
      </w:r>
      <w:r>
        <w:rPr/>
        <w:t>:379–403.</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i w:val="false"/>
          <w:iCs w:val="false"/>
        </w:rPr>
        <w:t xml:space="preserve"> </w:t>
      </w:r>
      <w:r>
        <w:rPr>
          <w:b/>
          <w:bCs/>
          <w:i w:val="false"/>
          <w:iCs w:val="false"/>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:81–86. doi:10.2475/ajs.s3-39.229.81</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Merrill, George P. 1922. Letter to William de C. Ravenel on the Carnegie Museum's readiness to release the Dinosaur National Monument quarry. 6 November 1922.</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33" w:name="__DdeLink__16582_68767826"/>
      <w:r>
        <w:rPr/>
        <w:t>Nieuwland</w:t>
      </w:r>
      <w:bookmarkEnd w:id="33"/>
      <w:r>
        <w:rPr/>
        <w:t xml:space="preserve">, Ilja. 2019. </w:t>
      </w:r>
      <w:r>
        <w:rPr>
          <w:i/>
          <w:iCs/>
        </w:rPr>
        <w:t xml:space="preserve">American dinosaur abroad: a cultural history of Carnegie’s plaster </w:t>
      </w:r>
      <w:r>
        <w:rPr>
          <w:i w:val="false"/>
          <w:iCs w:val="false"/>
        </w:rPr>
        <w:t>Diplodocus</w:t>
      </w:r>
      <w:r>
        <w:rPr/>
        <w:t>.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9">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 xml:space="preserve">Osborn, Henry Fairfield,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 xml:space="preserve">:247-387 and plates LX–LXXXV. </w:t>
      </w:r>
      <w:hyperlink r:id="rId10">
        <w:r>
          <w:rPr>
            <w:rStyle w:val="Hyperlink"/>
          </w:rPr>
          <w:t>doi:10.1130/GSAB-30-379</w:t>
        </w:r>
      </w:hyperlink>
    </w:p>
    <w:p>
      <w:pPr>
        <w:pStyle w:val="Reference"/>
        <w:rPr/>
      </w:pPr>
      <w:r>
        <w:rPr/>
        <w:t>Osborne, Henry F. 1923. Letter to Charles D. Walcott with vague but ominous contents. 14 April 1923.</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Smith, Adam S. (with contributions from 20 other authors). 2007. Dinosaur Toy Blog. </w:t>
      </w:r>
      <w:hyperlink r:id="rId11">
        <w:r>
          <w:rPr>
            <w:rStyle w:val="Hyperlink"/>
          </w:rPr>
          <w:t>https://dinotoyblog.com/</w:t>
        </w:r>
      </w:hyperlink>
    </w:p>
    <w:p>
      <w:pPr>
        <w:pStyle w:val="Reference"/>
        <w:rPr/>
      </w:pPr>
      <w:r>
        <w:rPr/>
        <w:t>Stewart, Douglas. 1922a. Letter to Arthur S. Coggeshall offering to turn over the two Diplodocus skeletons at Dinosaur National Monument quarry to USNM. 6 September 1922.</w:t>
      </w:r>
    </w:p>
    <w:p>
      <w:pPr>
        <w:pStyle w:val="Reference"/>
        <w:rPr/>
      </w:pPr>
      <w:r>
        <w:rPr/>
        <w:t>Stewart, Douglas. 1922b. Letter to George P. Merrill offering to turn over the Dinosaur National Monument quarry to USNM. 7 November 1922.</w:t>
      </w:r>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2">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i w:val="false"/>
          <w:iCs w:val="false"/>
        </w:rPr>
        <w:t xml:space="preserve">. </w:t>
      </w:r>
      <w:r>
        <w:rPr>
          <w:i/>
          <w:iCs/>
        </w:rPr>
        <w:t>Annals of the Carnegie Museum</w:t>
      </w:r>
      <w:r>
        <w:rPr>
          <w:i w:val="false"/>
          <w:iCs w:val="false"/>
        </w:rPr>
        <w:t xml:space="preserve"> </w:t>
      </w:r>
      <w:r>
        <w:rPr>
          <w:b/>
          <w:bCs/>
          <w:i w:val="false"/>
          <w:iCs w:val="false"/>
        </w:rPr>
        <w:t>91(1)</w:t>
      </w:r>
      <w:r>
        <w:rPr>
          <w:i w:val="false"/>
          <w:iCs w:val="false"/>
        </w:rPr>
        <w:t>:55–91. doi:10.2992/007.091.0104</w:t>
      </w:r>
    </w:p>
    <w:p>
      <w:pPr>
        <w:pStyle w:val="Reference"/>
        <w:rPr/>
      </w:pPr>
      <w:r>
        <w:rPr/>
        <w:t xml:space="preserve">Preprint doi:10.5281/zenodo.13732377 — available at </w:t>
      </w:r>
      <w:hyperlink r:id="rId13">
        <w:r>
          <w:rPr>
            <w:rStyle w:val="Hyperlink"/>
          </w:rPr>
          <w:t>https://zenodo.org/records/13732378</w:t>
        </w:r>
      </w:hyperlink>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4">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Wetmore, F. Alexander. 1933. Letter to George H. Sherwood stating that </w:t>
      </w:r>
      <w:r>
        <w:rPr>
          <w:i/>
          <w:iCs/>
        </w:rPr>
        <w:t>Barosaurus</w:t>
      </w:r>
      <w:r>
        <w:rPr/>
        <w:t xml:space="preserve"> material had been sent to the AMNH.</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Heading1"/>
        <w:numPr>
          <w:ilvl w:val="0"/>
          <w:numId w:val="3"/>
        </w:numPr>
        <w:ind w:hanging="0" w:left="0" w:right="0"/>
        <w:rPr/>
      </w:pPr>
      <w:bookmarkStart w:id="34" w:name="__RefHeading___Toc3407_68767826"/>
      <w:bookmarkEnd w:id="34"/>
      <w:r>
        <w:rPr/>
        <w:t>Figure Captions</w:t>
      </w:r>
    </w:p>
    <w:p>
      <w:pPr>
        <w:pStyle w:val="FigureCaption"/>
        <w:rPr/>
      </w:pPr>
      <w:r>
        <w:rPr>
          <w:b/>
          <w:bCs/>
        </w:rPr>
        <w:t>Figure A.</w:t>
      </w:r>
      <w:r>
        <w:rPr>
          <w:b w:val="false"/>
          <w:bCs w:val="false"/>
        </w:rPr>
        <w:t xml:space="preserve"> The mounted skeleton of </w:t>
      </w:r>
      <w:r>
        <w:rPr>
          <w:b w:val="false"/>
          <w:bCs w:val="false"/>
          <w:i/>
          <w:iCs/>
        </w:rPr>
        <w:t>Barosaurus lentus</w:t>
      </w:r>
      <w:r>
        <w:rPr>
          <w:b w:val="false"/>
          <w:bCs w:val="false"/>
        </w:rPr>
        <w:t xml:space="preserve"> AMNH 6341 in the Theodore Roosevelt Rotunda of the American Museum of Natural History, New York, as it appeared after the initial mounting and before repairs to the middle of the neck.</w:t>
      </w:r>
    </w:p>
    <w:p>
      <w:pPr>
        <w:pStyle w:val="FigureCaption"/>
        <w:rPr/>
      </w:pPr>
      <w:r>
        <w:rPr>
          <w:b/>
          <w:bCs/>
        </w:rPr>
        <w:t>Figure B.</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C.</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spacing w:before="0" w:after="142"/>
        <w:rPr/>
      </w:pPr>
      <w:r>
        <w:rPr>
          <w:b/>
          <w:bCs/>
        </w:rPr>
        <w:t>Figure D</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(1991)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spacing w:before="0" w:after="142"/>
        <w:rPr/>
      </w:pPr>
      <w:r>
        <w:rPr>
          <w:b/>
          <w:bCs/>
        </w:rPr>
        <w:t>Figure E.</w:t>
      </w:r>
      <w:r>
        <w:rPr/>
        <w:t xml:space="preserve"> </w:t>
      </w:r>
      <w:r>
        <w:rPr>
          <w:i/>
          <w:iCs/>
        </w:rPr>
        <w:t>Ambush at Como Creek</w:t>
      </w:r>
      <w:r>
        <w:rPr/>
        <w:t xml:space="preserve">, painted by Gregory S. Paul in the late 1970s or early 1980s. In this revised version,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spacing w:before="0" w:after="142"/>
        <w:rPr/>
      </w:pPr>
      <w:r>
        <w:rPr>
          <w:b/>
          <w:bCs/>
        </w:rPr>
        <w:t>Figure F.</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spacing w:before="0" w:after="142"/>
        <w:rPr/>
      </w:pPr>
      <w:r>
        <w:rPr>
          <w:b/>
          <w:bCs/>
        </w:rPr>
        <w:t>Figure G.</w:t>
      </w:r>
      <w:r>
        <w:rPr/>
        <w:t xml:space="preserve"> Public gallery exhibit panel for AMNH 6341, prepared around 1939 to accompany the vertebral sequence, scapulocoracoid and humerus depicted in Figure D. Photographed by Mick Ellison, AMNH. Original caption reads:</w:t>
      </w:r>
    </w:p>
    <w:p>
      <w:pPr>
        <w:pStyle w:val="BlockQuotationuser"/>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widowControl/>
        <w:suppressAutoHyphens w:val="true"/>
        <w:overflowPunct w:val="true"/>
        <w:bidi w:val="0"/>
        <w:spacing w:lineRule="auto" w:line="276" w:before="0" w:after="142"/>
        <w:ind w:hanging="0" w:left="283" w:right="0"/>
        <w:jc w:val="left"/>
        <w:rPr/>
      </w:pPr>
      <w:r>
        <w:rPr/>
        <w:t xml:space="preserve">The representation of which bones are included in the specimen is a good match for our modern reconstruction (Figure B),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(1905:251–252) when omitting the dorsosacral. This was likely done to correctly depict the total number of preserved presacrals as 18.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bidi w:val="0"/>
        <w:spacing w:before="0" w:after="142"/>
        <w:jc w:val="left"/>
        <w:rPr/>
      </w:pPr>
      <w:r>
        <w:rPr>
          <w:b/>
          <w:bCs/>
        </w:rPr>
        <w:t>Figure H.</w:t>
      </w:r>
      <w:r>
        <w:rPr/>
        <w:t xml:space="preserve"> Prototype model of the proposed display. This model is three feet (91 cm) tall from the bottom of the base to the top of the rearing </w:t>
      </w:r>
      <w:r>
        <w:rPr>
          <w:i/>
          <w:iCs/>
        </w:rPr>
        <w:t>Barosaurus</w:t>
      </w:r>
      <w:r>
        <w:rPr/>
        <w:t>, and the base is 44 inches (112 cm) long.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bidi w:val="0"/>
        <w:spacing w:before="0" w:after="142"/>
        <w:jc w:val="left"/>
        <w:rPr/>
      </w:pPr>
      <w:r>
        <w:rPr>
          <w:b/>
          <w:bCs/>
        </w:rPr>
        <w:t>Figure I.</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bidi w:val="0"/>
        <w:spacing w:before="0" w:after="142"/>
        <w:jc w:val="left"/>
        <w:rPr/>
      </w:pPr>
      <w:r>
        <w:rPr>
          <w:b/>
          <w:bCs/>
        </w:rPr>
        <w:t>Figure J.</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p>
    <w:p>
      <w:pPr>
        <w:pStyle w:val="FigureCaption"/>
        <w:bidi w:val="0"/>
        <w:spacing w:before="0" w:after="142"/>
        <w:jc w:val="left"/>
        <w:rPr/>
      </w:pPr>
      <w:r>
        <w:rPr>
          <w:b/>
          <w:bCs/>
        </w:rPr>
        <w:t>Figure K.</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That that the two missing cervical vertebra have been added, and that the posterior one is a different colour from the others. The ribs are a noticeably lighter colour than the rest of the skeleton, presumably because they had not been painted at this point.</w:t>
      </w:r>
    </w:p>
    <w:p>
      <w:pPr>
        <w:pStyle w:val="FigureCaption"/>
        <w:bidi w:val="0"/>
        <w:spacing w:before="0" w:after="142"/>
        <w:jc w:val="left"/>
        <w:rPr/>
      </w:pPr>
      <w:r>
        <w:rPr>
          <w:b/>
          <w:bCs/>
        </w:rPr>
        <w:t>Figure L.</w:t>
      </w:r>
      <w:r>
        <w:rPr/>
        <w:t xml:space="preserve"> Two views of the final mounting in the Roosevelt Memorial Hall of the American Museum of Natural History., both showing the use of two frighteningly unstable-looking cherry-picker crane. The RCI employee in the higher crane are moving the head-and-neck assembly into place, while the two in the lower crane attempt to fit it to the anterior torso.</w:t>
      </w:r>
    </w:p>
    <w:p>
      <w:pPr>
        <w:pStyle w:val="FigureCaption"/>
        <w:bidi w:val="0"/>
        <w:spacing w:before="0" w:after="142"/>
        <w:jc w:val="left"/>
        <w:rPr/>
      </w:pPr>
      <w:r>
        <w:rPr>
          <w:b/>
          <w:bCs/>
        </w:rPr>
        <w:t>Figure M.</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The separator on the mold wall allows the rubber latex for the next mold section to be applied without adhering to the first mold section, so that the mold sections will separate easily.</w:t>
      </w:r>
    </w:p>
    <w:p>
      <w:pPr>
        <w:pStyle w:val="FigureCaption"/>
        <w:bidi w:val="0"/>
        <w:spacing w:before="0" w:after="142"/>
        <w:jc w:val="left"/>
        <w:rPr/>
      </w:pPr>
      <w:r>
        <w:rPr>
          <w:b/>
          <w:bCs/>
        </w:rPr>
        <w:t>Figure N.</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Lowell Dingus and Mark Norell observe.</w:t>
      </w:r>
    </w:p>
    <w:p>
      <w:pPr>
        <w:pStyle w:val="FigureCaption"/>
        <w:bidi w:val="0"/>
        <w:spacing w:before="0" w:after="142"/>
        <w:jc w:val="left"/>
        <w:rPr/>
      </w:pPr>
      <w:r>
        <w:rPr>
          <w:b/>
          <w:bCs/>
        </w:rPr>
        <w:t>Figure O.</w:t>
      </w:r>
      <w:r>
        <w:rPr/>
        <w:t xml:space="preserve"> Elements of the cast </w:t>
      </w:r>
      <w:r>
        <w:rPr>
          <w:i/>
          <w:iCs/>
        </w:rPr>
        <w:t>Barosaurus</w:t>
      </w:r>
      <w:r>
        <w:rPr/>
        <w:t xml:space="preserve"> skeleton on the floor of the Roosevelt Memorial Hall of the American Museum of Natural History before mounting. Centrally, the skull and cervical vertebrae 2–15, all articulated in a single piece. By the wall to the left are two further vertebrae — the presence of a cervical rib loop in the vertebra closest to the camera suggests it is the last cervical, and the other is probably an anterior dorsal. Between these and the neck is the distal (whiplash) portion of a tail: possibly that of the main </w:t>
      </w:r>
      <w:r>
        <w:rPr>
          <w:i/>
          <w:iCs/>
        </w:rPr>
        <w:t>Barosaurus</w:t>
      </w:r>
      <w:r>
        <w:rPr/>
        <w:t xml:space="preserve">, but more likely that of the juvenile based on the small size of the most proximal caudals. Between this and the neck is section that is probably the proximal part of the </w:t>
      </w:r>
      <w:r>
        <w:rPr>
          <w:i/>
          <w:iCs/>
        </w:rPr>
        <w:t>Allosaurus</w:t>
      </w:r>
      <w:r>
        <w:rPr/>
        <w:t xml:space="preserve"> tail. Finally, intruding on the image from the right is the distal part (whiplash) portion of the other </w:t>
      </w:r>
      <w:r>
        <w:rPr>
          <w:i/>
          <w:iCs/>
        </w:rPr>
        <w:t>Barosaurus</w:t>
      </w:r>
      <w:r>
        <w:rPr/>
        <w:t xml:space="preserve"> tail, probably that of the adult.</w:t>
      </w:r>
    </w:p>
    <w:p>
      <w:pPr>
        <w:pStyle w:val="FigureCaption"/>
        <w:bidi w:val="0"/>
        <w:spacing w:before="0" w:after="142"/>
        <w:jc w:val="left"/>
        <w:rPr/>
      </w:pPr>
      <w:r>
        <w:rPr>
          <w:b/>
          <w:bCs/>
        </w:rPr>
        <w:t>Figure P.</w:t>
      </w:r>
      <w:r>
        <w:rPr>
          <w:b w:val="false"/>
          <w:bCs w:val="false"/>
          <w:i w:val="false"/>
          <w:iCs w:val="false"/>
        </w:rPr>
        <w:t xml:space="preserve"> Carnegie Quarry map showing the relative positions of two iconic sauropod specimens: #355 (</w:t>
      </w:r>
      <w:r>
        <w:rPr>
          <w:b w:val="false"/>
          <w:bCs w:val="false"/>
          <w:i/>
          <w:iCs/>
        </w:rPr>
        <w:t>Diplodocus</w:t>
      </w:r>
      <w:r>
        <w:rPr>
          <w:b w:val="false"/>
          <w:bCs w:val="false"/>
          <w:i w:val="false"/>
          <w:iCs w:val="false"/>
        </w:rPr>
        <w:t>, right) and #340 (</w:t>
      </w:r>
      <w:r>
        <w:rPr>
          <w:b w:val="false"/>
          <w:bCs w:val="false"/>
          <w:i/>
          <w:iCs/>
        </w:rPr>
        <w:t>Barosaurus</w:t>
      </w:r>
      <w:r>
        <w:rPr>
          <w:b w:val="false"/>
          <w:bCs w:val="false"/>
          <w:i w:val="false"/>
          <w:iCs w:val="false"/>
        </w:rPr>
        <w:t xml:space="preserve">, left, highlighted in pink, initially thought to be be a second </w:t>
      </w:r>
      <w:r>
        <w:rPr>
          <w:b w:val="false"/>
          <w:bCs w:val="false"/>
          <w:i/>
          <w:iCs/>
        </w:rPr>
        <w:t>Diplodocus</w:t>
      </w:r>
      <w:r>
        <w:rPr>
          <w:b w:val="false"/>
          <w:bCs w:val="false"/>
          <w:i w:val="false"/>
          <w:iCs w:val="false"/>
        </w:rPr>
        <w:t xml:space="preserve">). Modified from Gilmore (1932:figure 1). The </w:t>
      </w:r>
      <w:r>
        <w:rPr>
          <w:b w:val="false"/>
          <w:bCs w:val="false"/>
          <w:i/>
          <w:iCs/>
        </w:rPr>
        <w:t>Diplodocus</w:t>
      </w:r>
      <w:r>
        <w:rPr>
          <w:b w:val="false"/>
          <w:bCs w:val="false"/>
          <w:i w:val="false"/>
          <w:iCs w:val="false"/>
        </w:rPr>
        <w:t xml:space="preserve"> specimen would become USNM 10865, and the </w:t>
      </w:r>
      <w:r>
        <w:rPr>
          <w:b w:val="false"/>
          <w:bCs w:val="false"/>
          <w:i/>
          <w:iCs/>
        </w:rPr>
        <w:t>Barosaurus</w:t>
      </w:r>
      <w:r>
        <w:rPr>
          <w:b w:val="false"/>
          <w:bCs w:val="false"/>
          <w:i w:val="false"/>
          <w:iCs w:val="false"/>
        </w:rPr>
        <w:t xml:space="preserve"> would become AMNH 6341.</w:t>
      </w:r>
    </w:p>
    <w:p>
      <w:pPr>
        <w:pStyle w:val="FigureCaption"/>
        <w:bidi w:val="0"/>
        <w:spacing w:before="0" w:after="142"/>
        <w:jc w:val="left"/>
        <w:rPr>
          <w:b w:val="false"/>
          <w:bCs w:val="false"/>
          <w:i w:val="false"/>
          <w:iCs w:val="false"/>
        </w:rPr>
      </w:pPr>
      <w:r>
        <w:rPr>
          <w:b/>
          <w:bCs/>
          <w:i w:val="false"/>
          <w:iCs w:val="false"/>
        </w:rPr>
        <w:t>Figure Q.</w:t>
      </w:r>
      <w:r>
        <w:rPr>
          <w:b w:val="false"/>
          <w:bCs w:val="false"/>
          <w:i w:val="false"/>
          <w:iCs w:val="false"/>
        </w:rPr>
        <w:t xml:space="preserve"> Earl Douglass, aged 60, at the Carnegie Quarry in August 1922. He is seen here standing in front of the left femur of </w:t>
      </w:r>
      <w:r>
        <w:rPr>
          <w:b w:val="false"/>
          <w:bCs w:val="false"/>
          <w:i/>
          <w:iCs/>
        </w:rPr>
        <w:t>Diplodocus</w:t>
      </w:r>
      <w:r>
        <w:rPr>
          <w:b w:val="false"/>
          <w:bCs w:val="false"/>
          <w:i w:val="false"/>
          <w:iCs w:val="false"/>
        </w:rPr>
        <w:t xml:space="preserve"> specimen #355, with the sacrum, partial left ilium last five dorsal vertebral centra and some ribs also in view (compare Figure P). The </w:t>
      </w:r>
      <w:r>
        <w:rPr>
          <w:b w:val="false"/>
          <w:bCs w:val="false"/>
          <w:i/>
          <w:iCs/>
        </w:rPr>
        <w:t>Diplodocus</w:t>
      </w:r>
      <w:r>
        <w:rPr>
          <w:b w:val="false"/>
          <w:bCs w:val="false"/>
          <w:i w:val="false"/>
          <w:iCs w:val="false"/>
        </w:rPr>
        <w:t xml:space="preserve"> is seen in ventral view with anterior to the top. Photograph uploaded to Wikimedia Commons by Ken Carpenter.</w:t>
      </w:r>
    </w:p>
    <w:p>
      <w:pPr>
        <w:pStyle w:val="FigureCaption"/>
        <w:bidi w:val="0"/>
        <w:spacing w:before="0" w:after="142"/>
        <w:jc w:val="left"/>
        <w:rPr>
          <w:b w:val="false"/>
          <w:bCs w:val="false"/>
          <w:i w:val="false"/>
          <w:iCs w:val="false"/>
        </w:rPr>
      </w:pPr>
      <w:r>
        <w:rPr>
          <w:b/>
          <w:bCs/>
          <w:i w:val="false"/>
          <w:iCs w:val="false"/>
        </w:rPr>
        <w:t>Figure R.</w:t>
      </w:r>
      <w:r>
        <w:rPr>
          <w:b w:val="false"/>
          <w:bCs w:val="false"/>
          <w:i w:val="false"/>
          <w:iCs w:val="false"/>
        </w:rPr>
        <w:t xml:space="preserve"> </w:t>
      </w:r>
      <w:r>
        <w:rPr>
          <w:b w:val="false"/>
          <w:bCs w:val="false"/>
          <w:i/>
          <w:iCs/>
        </w:rPr>
        <w:t>Barosaurus</w:t>
      </w:r>
      <w:r>
        <w:rPr>
          <w:b w:val="false"/>
          <w:bCs w:val="false"/>
          <w:i w:val="false"/>
          <w:iCs w:val="false"/>
        </w:rPr>
        <w:t xml:space="preserve"> AMNH 6341, cervical vertebrae C8–C16 in dorsal (where available) and lateral views, to scale. Lateral views except C13 from McIntosh (2005: fig. 2.1). XXX replace this with a better version using Tschopp’s and/or Mehling’s photos.</w:t>
      </w:r>
    </w:p>
    <w:p>
      <w:pPr>
        <w:pStyle w:val="Heading1"/>
        <w:rPr/>
      </w:pPr>
      <w:bookmarkStart w:id="35" w:name="__RefHeading___Toc25858_1820571732"/>
      <w:bookmarkEnd w:id="35"/>
      <w:r>
        <w:rPr/>
        <w:t>Tables</w:t>
      </w:r>
    </w:p>
    <w:p>
      <w:pPr>
        <w:pStyle w:val="Heading2"/>
        <w:rPr/>
      </w:pPr>
      <w:bookmarkStart w:id="36" w:name="__RefHeading___Toc25860_1820571732"/>
      <w:bookmarkEnd w:id="36"/>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left"/>
        <w:tblInd w:w="0" w:type="dxa"/>
        <w:tblLayout w:type="fixed"/>
        <w:tblCellMar>
          <w:top w:w="0" w:type="dxa"/>
          <w:left w:w="0" w:type="dxa"/>
          <w:bottom w:w="0" w:type="dxa"/>
          <w:right w:w="0" w:type="dxa"/>
        </w:tblCellMar>
      </w:tblPr>
      <w:tblGrid>
        <w:gridCol w:w="2207"/>
        <w:gridCol w:w="7431"/>
      </w:tblGrid>
      <w:tr>
        <w:trPr>
          <w:tblHeader w:val="true"/>
        </w:trPr>
        <w:tc>
          <w:tcPr>
            <w:tcW w:w="2207" w:type="dxa"/>
            <w:tcBorders/>
          </w:tcPr>
          <w:p>
            <w:pPr>
              <w:pStyle w:val="TableHeading"/>
              <w:spacing w:before="0" w:after="113"/>
              <w:rPr/>
            </w:pPr>
            <w:r>
              <w:rPr/>
              <w:t>Date</w:t>
            </w:r>
          </w:p>
        </w:tc>
        <w:tc>
          <w:tcPr>
            <w:tcW w:w="7431" w:type="dxa"/>
            <w:tcBorders/>
          </w:tcPr>
          <w:p>
            <w:pPr>
              <w:pStyle w:val="TableHeading"/>
              <w:spacing w:before="0" w:after="113"/>
              <w:rPr/>
            </w:pPr>
            <w:r>
              <w:rPr/>
              <w:t>Event</w:t>
            </w:r>
          </w:p>
        </w:tc>
      </w:tr>
      <w:tr>
        <w:trPr>
          <w:trHeight w:val="235" w:hRule="atLeast"/>
        </w:trPr>
        <w:tc>
          <w:tcPr>
            <w:tcW w:w="2207" w:type="dxa"/>
            <w:tcBorders/>
          </w:tcPr>
          <w:p>
            <w:pPr>
              <w:pStyle w:val="TableContents"/>
              <w:spacing w:before="0" w:after="113"/>
              <w:rPr/>
            </w:pPr>
            <w:r>
              <w:rPr/>
              <w:t>1880s</w:t>
            </w:r>
          </w:p>
        </w:tc>
        <w:tc>
          <w:tcPr>
            <w:tcW w:w="7431"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7" w:type="dxa"/>
            <w:tcBorders/>
          </w:tcPr>
          <w:p>
            <w:pPr>
              <w:pStyle w:val="TableContents"/>
              <w:spacing w:before="0" w:after="113"/>
              <w:rPr/>
            </w:pPr>
            <w:r>
              <w:rPr/>
              <w:t>Summer 1889</w:t>
            </w:r>
          </w:p>
        </w:tc>
        <w:tc>
          <w:tcPr>
            <w:tcW w:w="7431"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7" w:type="dxa"/>
            <w:tcBorders/>
          </w:tcPr>
          <w:p>
            <w:pPr>
              <w:pStyle w:val="TableContents"/>
              <w:spacing w:before="0" w:after="113"/>
              <w:rPr/>
            </w:pPr>
            <w:r>
              <w:rPr/>
              <w:t>1890</w:t>
            </w:r>
          </w:p>
        </w:tc>
        <w:tc>
          <w:tcPr>
            <w:tcW w:w="7431" w:type="dxa"/>
            <w:tcBorders/>
          </w:tcPr>
          <w:p>
            <w:pPr>
              <w:pStyle w:val="TableContent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7" w:type="dxa"/>
            <w:tcBorders/>
          </w:tcPr>
          <w:p>
            <w:pPr>
              <w:pStyle w:val="TableContents"/>
              <w:spacing w:before="0" w:after="113"/>
              <w:rPr/>
            </w:pPr>
            <w:r>
              <w:rPr/>
              <w:t>Late August 1898</w:t>
            </w:r>
          </w:p>
        </w:tc>
        <w:tc>
          <w:tcPr>
            <w:tcW w:w="7431" w:type="dxa"/>
            <w:tcBorders/>
          </w:tcPr>
          <w:p>
            <w:pPr>
              <w:pStyle w:val="TableContents"/>
              <w:spacing w:before="0" w:after="113"/>
              <w:rPr/>
            </w:pPr>
            <w:r>
              <w:rPr/>
              <w:t>Marsh sent George Wieland to collect the rest of the skeleton.</w:t>
            </w:r>
          </w:p>
        </w:tc>
      </w:tr>
      <w:tr>
        <w:trPr>
          <w:trHeight w:val="235" w:hRule="atLeast"/>
        </w:trPr>
        <w:tc>
          <w:tcPr>
            <w:tcW w:w="2207" w:type="dxa"/>
            <w:tcBorders/>
          </w:tcPr>
          <w:p>
            <w:pPr>
              <w:pStyle w:val="TableContents"/>
              <w:spacing w:before="0" w:after="113"/>
              <w:rPr/>
            </w:pPr>
            <w:r>
              <w:rPr/>
              <w:t>1899</w:t>
            </w:r>
          </w:p>
        </w:tc>
        <w:tc>
          <w:tcPr>
            <w:tcW w:w="7431" w:type="dxa"/>
            <w:tcBorders/>
          </w:tcPr>
          <w:p>
            <w:pPr>
              <w:pStyle w:val="TableContent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7" w:type="dxa"/>
            <w:tcBorders/>
          </w:tcPr>
          <w:p>
            <w:pPr>
              <w:pStyle w:val="TableContents"/>
              <w:spacing w:before="0" w:after="113"/>
              <w:rPr/>
            </w:pPr>
            <w:r>
              <w:rPr/>
              <w:t>1907</w:t>
            </w:r>
          </w:p>
        </w:tc>
        <w:tc>
          <w:tcPr>
            <w:tcW w:w="7431" w:type="dxa"/>
            <w:tcBorders/>
          </w:tcPr>
          <w:p>
            <w:pPr>
              <w:pStyle w:val="TableContents"/>
              <w:spacing w:before="0" w:after="113"/>
              <w:rPr/>
            </w:pPr>
            <w:r>
              <w:rPr/>
              <w:t xml:space="preserve">Charles R. Knight painted a rearing </w:t>
            </w:r>
            <w:r>
              <w:rPr>
                <w:i/>
                <w:iCs/>
              </w:rPr>
              <w:t>Diplodocus</w:t>
            </w:r>
            <w:r>
              <w:rPr/>
              <w:t>.</w:t>
            </w:r>
          </w:p>
        </w:tc>
      </w:tr>
      <w:tr>
        <w:trPr>
          <w:trHeight w:val="235" w:hRule="atLeast"/>
        </w:trPr>
        <w:tc>
          <w:tcPr>
            <w:tcW w:w="2207" w:type="dxa"/>
            <w:tcBorders/>
          </w:tcPr>
          <w:p>
            <w:pPr>
              <w:pStyle w:val="TableContents"/>
              <w:spacing w:before="0" w:after="113"/>
              <w:rPr/>
            </w:pPr>
            <w:r>
              <w:rPr/>
              <w:t>Late 1916</w:t>
            </w:r>
          </w:p>
        </w:tc>
        <w:tc>
          <w:tcPr>
            <w:tcW w:w="7431" w:type="dxa"/>
            <w:tcBorders/>
          </w:tcPr>
          <w:p>
            <w:pPr>
              <w:pStyle w:val="TableContent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7" w:type="dxa"/>
            <w:tcBorders/>
          </w:tcPr>
          <w:p>
            <w:pPr>
              <w:pStyle w:val="TableContents"/>
              <w:spacing w:before="0" w:after="113"/>
              <w:rPr/>
            </w:pPr>
            <w:r>
              <w:rPr/>
              <w:t>1917</w:t>
            </w:r>
          </w:p>
        </w:tc>
        <w:tc>
          <w:tcPr>
            <w:tcW w:w="7431" w:type="dxa"/>
            <w:tcBorders/>
          </w:tcPr>
          <w:p>
            <w:pPr>
              <w:pStyle w:val="TableContents"/>
              <w:spacing w:before="0" w:after="113"/>
              <w:rPr/>
            </w:pPr>
            <w:r>
              <w:rPr/>
              <w:t>Lull’s published abstract very briefly described the type specimen.</w:t>
            </w:r>
          </w:p>
        </w:tc>
      </w:tr>
      <w:tr>
        <w:trPr>
          <w:trHeight w:val="235" w:hRule="atLeast"/>
        </w:trPr>
        <w:tc>
          <w:tcPr>
            <w:tcW w:w="2207" w:type="dxa"/>
            <w:tcBorders/>
          </w:tcPr>
          <w:p>
            <w:pPr>
              <w:pStyle w:val="TableContents"/>
              <w:spacing w:before="0" w:after="113"/>
              <w:rPr/>
            </w:pPr>
            <w:r>
              <w:rPr/>
              <w:t>1919</w:t>
            </w:r>
          </w:p>
        </w:tc>
        <w:tc>
          <w:tcPr>
            <w:tcW w:w="7431" w:type="dxa"/>
            <w:tcBorders/>
          </w:tcPr>
          <w:p>
            <w:pPr>
              <w:pStyle w:val="TableContents"/>
              <w:spacing w:before="0" w:after="113"/>
              <w:rPr/>
            </w:pPr>
            <w:r>
              <w:rPr/>
              <w:t>Lull’s detailed monographic description of the type specimen.</w:t>
            </w:r>
          </w:p>
        </w:tc>
      </w:tr>
      <w:tr>
        <w:trPr>
          <w:trHeight w:val="235" w:hRule="atLeast"/>
        </w:trPr>
        <w:tc>
          <w:tcPr>
            <w:tcW w:w="2207" w:type="dxa"/>
            <w:tcBorders/>
          </w:tcPr>
          <w:p>
            <w:pPr>
              <w:pStyle w:val="TableContents"/>
              <w:spacing w:before="0" w:after="113"/>
              <w:rPr/>
            </w:pPr>
            <w:r>
              <w:rPr/>
              <w:t>1922</w:t>
            </w:r>
          </w:p>
        </w:tc>
        <w:tc>
          <w:tcPr>
            <w:tcW w:w="7431" w:type="dxa"/>
            <w:tcBorders/>
          </w:tcPr>
          <w:p>
            <w:pPr>
              <w:pStyle w:val="TableContent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7" w:type="dxa"/>
            <w:tcBorders/>
          </w:tcPr>
          <w:p>
            <w:pPr>
              <w:pStyle w:val="TableContents"/>
              <w:spacing w:before="0" w:after="113"/>
              <w:rPr/>
            </w:pPr>
            <w:r>
              <w:rPr/>
              <w:t>1922–1923</w:t>
            </w:r>
          </w:p>
        </w:tc>
        <w:tc>
          <w:tcPr>
            <w:tcW w:w="7431" w:type="dxa"/>
            <w:tcBorders/>
          </w:tcPr>
          <w:p>
            <w:pPr>
              <w:pStyle w:val="TableContent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7" w:type="dxa"/>
            <w:tcBorders/>
          </w:tcPr>
          <w:p>
            <w:pPr>
              <w:pStyle w:val="TableContents"/>
              <w:spacing w:before="0" w:after="113"/>
              <w:rPr/>
            </w:pPr>
            <w:r>
              <w:rPr/>
              <w:t>1923</w:t>
            </w:r>
          </w:p>
        </w:tc>
        <w:tc>
          <w:tcPr>
            <w:tcW w:w="7431" w:type="dxa"/>
            <w:tcBorders/>
          </w:tcPr>
          <w:p>
            <w:pPr>
              <w:pStyle w:val="TableContents"/>
              <w:spacing w:before="0" w:after="113"/>
              <w:rPr/>
            </w:pPr>
            <w:r>
              <w:rPr/>
              <w:t xml:space="preserve">The neck of #340 was sent to the USNM to provide material for a </w:t>
            </w:r>
            <w:r>
              <w:rPr>
                <w:i/>
                <w:iCs/>
              </w:rPr>
              <w:t>Diplodocus</w:t>
            </w:r>
            <w:r>
              <w:rPr/>
              <w:t xml:space="preserve"> skeletal mount based on USNM 10865 (#355).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7" w:type="dxa"/>
            <w:tcBorders/>
          </w:tcPr>
          <w:p>
            <w:pPr>
              <w:pStyle w:val="TableContents"/>
              <w:spacing w:before="0" w:after="113"/>
              <w:rPr/>
            </w:pPr>
            <w:r>
              <w:rPr/>
              <w:t>1929</w:t>
            </w:r>
          </w:p>
        </w:tc>
        <w:tc>
          <w:tcPr>
            <w:tcW w:w="7431" w:type="dxa"/>
            <w:tcBorders/>
          </w:tcPr>
          <w:p>
            <w:pPr>
              <w:pStyle w:val="TableContents"/>
              <w:spacing w:before="0" w:after="113"/>
              <w:rPr/>
            </w:pPr>
            <w:r>
              <w:rPr/>
              <w:t>Barnum Brown realised that the USNM neck and the Carnegie tail belonged to the same individual as the partial skeleton at the University of Utah. He negotiated to acquire all three portions of this skeleton for the American Museum of Natural History (AMNH) in New York.</w:t>
            </w:r>
          </w:p>
        </w:tc>
      </w:tr>
      <w:tr>
        <w:trPr>
          <w:trHeight w:val="246" w:hRule="atLeast"/>
        </w:trPr>
        <w:tc>
          <w:tcPr>
            <w:tcW w:w="2207" w:type="dxa"/>
            <w:tcBorders/>
          </w:tcPr>
          <w:p>
            <w:pPr>
              <w:pStyle w:val="TableContents"/>
              <w:spacing w:before="0" w:after="113"/>
              <w:rPr/>
            </w:pPr>
            <w:r>
              <w:rPr/>
              <w:t>1931</w:t>
            </w:r>
          </w:p>
        </w:tc>
        <w:tc>
          <w:tcPr>
            <w:tcW w:w="7431" w:type="dxa"/>
            <w:tcBorders/>
          </w:tcPr>
          <w:p>
            <w:pPr>
              <w:pStyle w:val="TableContents"/>
              <w:spacing w:before="0" w:after="113"/>
              <w:rPr/>
            </w:pPr>
            <w:r>
              <w:rPr/>
              <w:t>Work began on the Roosevelt Memorial Hall that is the main entrance to the AMNH. It was completed in 1936.</w:t>
            </w:r>
          </w:p>
        </w:tc>
      </w:tr>
      <w:tr>
        <w:trPr>
          <w:trHeight w:val="246" w:hRule="atLeast"/>
        </w:trPr>
        <w:tc>
          <w:tcPr>
            <w:tcW w:w="2207" w:type="dxa"/>
            <w:tcBorders/>
          </w:tcPr>
          <w:p>
            <w:pPr>
              <w:pStyle w:val="TableContents"/>
              <w:spacing w:before="0" w:after="113"/>
              <w:rPr/>
            </w:pPr>
            <w:r>
              <w:rPr/>
              <w:t>9 February 1933</w:t>
            </w:r>
          </w:p>
        </w:tc>
        <w:tc>
          <w:tcPr>
            <w:tcW w:w="7431" w:type="dxa"/>
            <w:tcBorders/>
          </w:tcPr>
          <w:p>
            <w:pPr>
              <w:pStyle w:val="TableContents"/>
              <w:spacing w:before="0" w:after="113"/>
              <w:rPr/>
            </w:pPr>
            <w:r>
              <w:rPr/>
              <w:t>The portion of the skeleton held by USNM was belatedly shipped to AMNH. The reunited skeleton was given the specimen number AMNH 6341.</w:t>
            </w:r>
          </w:p>
        </w:tc>
      </w:tr>
      <w:tr>
        <w:trPr>
          <w:trHeight w:val="246" w:hRule="atLeast"/>
        </w:trPr>
        <w:tc>
          <w:tcPr>
            <w:tcW w:w="2207" w:type="dxa"/>
            <w:tcBorders/>
          </w:tcPr>
          <w:p>
            <w:pPr>
              <w:pStyle w:val="TableContents"/>
              <w:spacing w:before="0" w:after="113"/>
              <w:rPr/>
            </w:pPr>
            <w:r>
              <w:rPr/>
              <w:t>17 April 1939</w:t>
            </w:r>
          </w:p>
        </w:tc>
        <w:tc>
          <w:tcPr>
            <w:tcW w:w="7431" w:type="dxa"/>
            <w:tcBorders/>
          </w:tcPr>
          <w:p>
            <w:pPr>
              <w:pStyle w:val="TableContents"/>
              <w:spacing w:before="0" w:after="113"/>
              <w:rPr/>
            </w:pPr>
            <w:r>
              <w:rPr/>
              <w:t>The presacral vertebrae and some limb bones of AMNH 6341 were exhibited in the Hall of Early Dinosaurs.</w:t>
            </w:r>
          </w:p>
        </w:tc>
      </w:tr>
      <w:tr>
        <w:trPr>
          <w:trHeight w:val="246" w:hRule="atLeast"/>
        </w:trPr>
        <w:tc>
          <w:tcPr>
            <w:tcW w:w="2207" w:type="dxa"/>
            <w:tcBorders/>
          </w:tcPr>
          <w:p>
            <w:pPr>
              <w:pStyle w:val="TableContents"/>
              <w:spacing w:before="0" w:after="113"/>
              <w:rPr/>
            </w:pPr>
            <w:r>
              <w:rPr/>
              <w:t>Early 1950s</w:t>
            </w:r>
          </w:p>
        </w:tc>
        <w:tc>
          <w:tcPr>
            <w:tcW w:w="7431" w:type="dxa"/>
            <w:tcBorders/>
          </w:tcPr>
          <w:p>
            <w:pPr>
              <w:pStyle w:val="TableContents"/>
              <w:spacing w:before="0" w:after="113"/>
              <w:rPr/>
            </w:pPr>
            <w:r>
              <w:rPr/>
              <w:t>The AMNH 6341 elements were removed from display as part of Edwin H. Colbert’s renovation of the galleries.</w:t>
            </w:r>
          </w:p>
        </w:tc>
      </w:tr>
      <w:tr>
        <w:trPr>
          <w:trHeight w:val="246" w:hRule="atLeast"/>
        </w:trPr>
        <w:tc>
          <w:tcPr>
            <w:tcW w:w="2207" w:type="dxa"/>
            <w:tcBorders/>
          </w:tcPr>
          <w:p>
            <w:pPr>
              <w:pStyle w:val="TableContents"/>
              <w:spacing w:before="0" w:after="113"/>
              <w:rPr/>
            </w:pPr>
            <w:r>
              <w:rPr/>
              <w:t>1952</w:t>
            </w:r>
          </w:p>
        </w:tc>
        <w:tc>
          <w:tcPr>
            <w:tcW w:w="7431" w:type="dxa"/>
            <w:tcBorders/>
          </w:tcPr>
          <w:p>
            <w:pPr>
              <w:pStyle w:val="TableContent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7" w:type="dxa"/>
            <w:tcBorders/>
          </w:tcPr>
          <w:p>
            <w:pPr>
              <w:pStyle w:val="TableContents"/>
              <w:spacing w:before="0" w:after="113"/>
              <w:rPr/>
            </w:pPr>
            <w:r>
              <w:rPr/>
              <w:t>8 June, 1957</w:t>
            </w:r>
          </w:p>
        </w:tc>
        <w:tc>
          <w:tcPr>
            <w:tcW w:w="7431" w:type="dxa"/>
            <w:tcBorders/>
          </w:tcPr>
          <w:p>
            <w:pPr>
              <w:pStyle w:val="TableContent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7" w:type="dxa"/>
            <w:tcBorders/>
          </w:tcPr>
          <w:p>
            <w:pPr>
              <w:pStyle w:val="TableContents"/>
              <w:spacing w:before="0" w:after="113"/>
              <w:rPr/>
            </w:pPr>
            <w:r>
              <w:rPr/>
              <w:t>1970</w:t>
            </w:r>
          </w:p>
        </w:tc>
        <w:tc>
          <w:tcPr>
            <w:tcW w:w="7431" w:type="dxa"/>
            <w:tcBorders/>
          </w:tcPr>
          <w:p>
            <w:pPr>
              <w:pStyle w:val="TableContents"/>
              <w:spacing w:before="0" w:after="113"/>
              <w:rPr/>
            </w:pPr>
            <w:r>
              <w:rPr/>
              <w:t>Eugene S. Gaffney succeeded Colbert as curator of the fossil reptile collection at the AMNH.</w:t>
            </w:r>
          </w:p>
        </w:tc>
      </w:tr>
      <w:tr>
        <w:trPr>
          <w:trHeight w:val="246" w:hRule="atLeast"/>
        </w:trPr>
        <w:tc>
          <w:tcPr>
            <w:tcW w:w="2207" w:type="dxa"/>
            <w:tcBorders/>
          </w:tcPr>
          <w:p>
            <w:pPr>
              <w:pStyle w:val="TableContents"/>
              <w:spacing w:before="0" w:after="113"/>
              <w:rPr/>
            </w:pPr>
            <w:r>
              <w:rPr/>
              <w:t>1977</w:t>
            </w:r>
          </w:p>
        </w:tc>
        <w:tc>
          <w:tcPr>
            <w:tcW w:w="7431" w:type="dxa"/>
            <w:tcBorders/>
          </w:tcPr>
          <w:p>
            <w:pPr>
              <w:pStyle w:val="TableContents"/>
              <w:spacing w:before="0" w:after="113"/>
              <w:rPr/>
            </w:pPr>
            <w:r>
              <w:rPr/>
              <w:t>Peter May began working with skeletal mounts at the Royal Ontario Museum.</w:t>
            </w:r>
          </w:p>
        </w:tc>
      </w:tr>
      <w:tr>
        <w:trPr>
          <w:trHeight w:val="246" w:hRule="atLeast"/>
        </w:trPr>
        <w:tc>
          <w:tcPr>
            <w:tcW w:w="2207" w:type="dxa"/>
            <w:tcBorders/>
          </w:tcPr>
          <w:p>
            <w:pPr>
              <w:pStyle w:val="TableContents"/>
              <w:spacing w:before="0" w:after="113"/>
              <w:rPr/>
            </w:pPr>
            <w:r>
              <w:rPr/>
              <w:t>1978</w:t>
            </w:r>
          </w:p>
        </w:tc>
        <w:tc>
          <w:tcPr>
            <w:tcW w:w="7431" w:type="dxa"/>
            <w:tcBorders/>
          </w:tcPr>
          <w:p>
            <w:pPr>
              <w:pStyle w:val="TableContent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7" w:type="dxa"/>
            <w:tcBorders/>
          </w:tcPr>
          <w:p>
            <w:pPr>
              <w:pStyle w:val="TableContents"/>
              <w:spacing w:before="0" w:after="113"/>
              <w:rPr/>
            </w:pPr>
            <w:r>
              <w:rPr/>
              <w:t>1986</w:t>
            </w:r>
          </w:p>
        </w:tc>
        <w:tc>
          <w:tcPr>
            <w:tcW w:w="7431" w:type="dxa"/>
            <w:tcBorders/>
          </w:tcPr>
          <w:p>
            <w:pPr>
              <w:pStyle w:val="TableContents"/>
              <w:spacing w:before="0" w:after="113"/>
              <w:rPr/>
            </w:pPr>
            <w:r>
              <w:rPr/>
              <w:t>The AMNH began planning an extensive renovation of its fossil halls.</w:t>
            </w:r>
          </w:p>
        </w:tc>
      </w:tr>
      <w:tr>
        <w:trPr>
          <w:trHeight w:val="246" w:hRule="atLeast"/>
        </w:trPr>
        <w:tc>
          <w:tcPr>
            <w:tcW w:w="2207" w:type="dxa"/>
            <w:tcBorders/>
          </w:tcPr>
          <w:p>
            <w:pPr>
              <w:pStyle w:val="TableContents"/>
              <w:spacing w:before="0" w:after="113"/>
              <w:rPr/>
            </w:pPr>
            <w:r>
              <w:rPr/>
              <w:t>1989</w:t>
            </w:r>
          </w:p>
        </w:tc>
        <w:tc>
          <w:tcPr>
            <w:tcW w:w="7431" w:type="dxa"/>
            <w:tcBorders/>
          </w:tcPr>
          <w:p>
            <w:pPr>
              <w:pStyle w:val="TableContent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House’s new building.</w:t>
            </w:r>
          </w:p>
        </w:tc>
      </w:tr>
      <w:tr>
        <w:trPr>
          <w:trHeight w:val="246" w:hRule="atLeast"/>
        </w:trPr>
        <w:tc>
          <w:tcPr>
            <w:tcW w:w="2207" w:type="dxa"/>
            <w:tcBorders/>
          </w:tcPr>
          <w:p>
            <w:pPr>
              <w:pStyle w:val="TableContents"/>
              <w:spacing w:before="0" w:after="113"/>
              <w:rPr/>
            </w:pPr>
            <w:r>
              <w:rPr/>
              <w:t>1990</w:t>
            </w:r>
          </w:p>
        </w:tc>
        <w:tc>
          <w:tcPr>
            <w:tcW w:w="7431" w:type="dxa"/>
            <w:tcBorders/>
          </w:tcPr>
          <w:p>
            <w:pPr>
              <w:pStyle w:val="TableContents"/>
              <w:spacing w:before="0" w:after="113"/>
              <w:rPr/>
            </w:pPr>
            <w:r>
              <w:rPr/>
              <w:t>Peter May went full time with his company Research Casting International (RCI).</w:t>
            </w:r>
          </w:p>
        </w:tc>
      </w:tr>
      <w:tr>
        <w:trPr>
          <w:trHeight w:val="246" w:hRule="atLeast"/>
        </w:trPr>
        <w:tc>
          <w:tcPr>
            <w:tcW w:w="2207" w:type="dxa"/>
            <w:tcBorders/>
          </w:tcPr>
          <w:p>
            <w:pPr>
              <w:pStyle w:val="TableContents"/>
              <w:spacing w:before="0" w:after="113"/>
              <w:rPr/>
            </w:pPr>
            <w:r>
              <w:rPr/>
              <w:t>28 March 1990</w:t>
            </w:r>
          </w:p>
        </w:tc>
        <w:tc>
          <w:tcPr>
            <w:tcW w:w="7431" w:type="dxa"/>
            <w:tcBorders/>
          </w:tcPr>
          <w:p>
            <w:pPr>
              <w:pStyle w:val="TableContents"/>
              <w:spacing w:before="0" w:after="113"/>
              <w:rPr/>
            </w:pPr>
            <w:r>
              <w:rPr/>
              <w:t xml:space="preserve">A formal agreement was made between AMNH and RCI for the project to mount a cast of </w:t>
            </w:r>
            <w:r>
              <w:rPr>
                <w:i/>
                <w:iCs/>
              </w:rPr>
              <w:t>Barosaurus</w:t>
            </w:r>
            <w:r>
              <w:rPr/>
              <w:t xml:space="preserve"> AMNH 6341.</w:t>
            </w:r>
          </w:p>
        </w:tc>
      </w:tr>
      <w:tr>
        <w:trPr>
          <w:trHeight w:val="246" w:hRule="atLeast"/>
        </w:trPr>
        <w:tc>
          <w:tcPr>
            <w:tcW w:w="2207" w:type="dxa"/>
            <w:tcBorders/>
          </w:tcPr>
          <w:p>
            <w:pPr>
              <w:pStyle w:val="TableContents"/>
              <w:spacing w:before="0" w:after="113"/>
              <w:rPr/>
            </w:pPr>
            <w:r>
              <w:rPr/>
              <w:t>Fall 1990</w:t>
            </w:r>
          </w:p>
        </w:tc>
        <w:tc>
          <w:tcPr>
            <w:tcW w:w="7431" w:type="dxa"/>
            <w:tcBorders/>
          </w:tcPr>
          <w:p>
            <w:pPr>
              <w:pStyle w:val="TableContent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7" w:type="dxa"/>
            <w:tcBorders/>
          </w:tcPr>
          <w:p>
            <w:pPr>
              <w:pStyle w:val="TableContents"/>
              <w:spacing w:before="0" w:after="113"/>
              <w:rPr/>
            </w:pPr>
            <w:r>
              <w:rPr/>
              <w:t>Late 1990/early 1991</w:t>
            </w:r>
          </w:p>
        </w:tc>
        <w:tc>
          <w:tcPr>
            <w:tcW w:w="7431" w:type="dxa"/>
            <w:tcBorders/>
          </w:tcPr>
          <w:p>
            <w:pPr>
              <w:pStyle w:val="TableContent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7" w:type="dxa"/>
            <w:tcBorders/>
          </w:tcPr>
          <w:p>
            <w:pPr>
              <w:pStyle w:val="TableContents"/>
              <w:spacing w:before="0" w:after="113"/>
              <w:rPr/>
            </w:pPr>
            <w:r>
              <w:rPr/>
              <w:t>Spring 1991</w:t>
            </w:r>
          </w:p>
        </w:tc>
        <w:tc>
          <w:tcPr>
            <w:tcW w:w="7431" w:type="dxa"/>
            <w:tcBorders/>
          </w:tcPr>
          <w:p>
            <w:pPr>
              <w:pStyle w:val="TableContent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7" w:type="dxa"/>
            <w:tcBorders/>
          </w:tcPr>
          <w:p>
            <w:pPr>
              <w:pStyle w:val="TableContents"/>
              <w:spacing w:before="0" w:after="113"/>
              <w:rPr/>
            </w:pPr>
            <w:r>
              <w:rPr/>
              <w:t>Summer 1991</w:t>
            </w:r>
          </w:p>
        </w:tc>
        <w:tc>
          <w:tcPr>
            <w:tcW w:w="7431" w:type="dxa"/>
            <w:tcBorders/>
          </w:tcPr>
          <w:p>
            <w:pPr>
              <w:pStyle w:val="TableContents"/>
              <w:spacing w:before="0" w:after="113"/>
              <w:rPr/>
            </w:pPr>
            <w:r>
              <w:rPr/>
              <w:t>Gene Gaffney and Peter May found a site in northeastern Montana that could be molded and cast to provide a base for the skeletons.</w:t>
            </w:r>
          </w:p>
        </w:tc>
      </w:tr>
      <w:tr>
        <w:trPr>
          <w:trHeight w:val="246" w:hRule="atLeast"/>
        </w:trPr>
        <w:tc>
          <w:tcPr>
            <w:tcW w:w="2207" w:type="dxa"/>
            <w:tcBorders/>
          </w:tcPr>
          <w:p>
            <w:pPr>
              <w:pStyle w:val="TableContents"/>
              <w:spacing w:before="0" w:after="113"/>
              <w:rPr/>
            </w:pPr>
            <w:r>
              <w:rPr/>
              <w:t>November 1991</w:t>
            </w:r>
          </w:p>
        </w:tc>
        <w:tc>
          <w:tcPr>
            <w:tcW w:w="7431" w:type="dxa"/>
            <w:tcBorders/>
          </w:tcPr>
          <w:p>
            <w:pPr>
              <w:pStyle w:val="TableContents"/>
              <w:spacing w:before="0" w:after="113"/>
              <w:rPr/>
            </w:pPr>
            <w:r>
              <w:rPr/>
              <w:t>The work in Toronto was complete, and the completed exhibit was transported to New York.</w:t>
            </w:r>
          </w:p>
        </w:tc>
      </w:tr>
      <w:tr>
        <w:trPr>
          <w:trHeight w:val="246" w:hRule="atLeast"/>
        </w:trPr>
        <w:tc>
          <w:tcPr>
            <w:tcW w:w="2207" w:type="dxa"/>
            <w:tcBorders/>
          </w:tcPr>
          <w:p>
            <w:pPr>
              <w:pStyle w:val="TableContents"/>
              <w:spacing w:before="0" w:after="113"/>
              <w:rPr/>
            </w:pPr>
            <w:r>
              <w:rPr/>
              <w:t>29 November 1991</w:t>
            </w:r>
          </w:p>
        </w:tc>
        <w:tc>
          <w:tcPr>
            <w:tcW w:w="7431" w:type="dxa"/>
            <w:tcBorders/>
          </w:tcPr>
          <w:p>
            <w:pPr>
              <w:pStyle w:val="TableContent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7" w:type="dxa"/>
            <w:tcBorders/>
          </w:tcPr>
          <w:p>
            <w:pPr>
              <w:pStyle w:val="TableContents"/>
              <w:spacing w:before="0" w:after="113"/>
              <w:rPr/>
            </w:pPr>
            <w:r>
              <w:rPr/>
              <w:t>3 December 1991</w:t>
            </w:r>
          </w:p>
        </w:tc>
        <w:tc>
          <w:tcPr>
            <w:tcW w:w="7431" w:type="dxa"/>
            <w:tcBorders/>
          </w:tcPr>
          <w:p>
            <w:pPr>
              <w:pStyle w:val="TableContent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7" w:type="dxa"/>
            <w:tcBorders/>
          </w:tcPr>
          <w:p>
            <w:pPr>
              <w:pStyle w:val="TableContents"/>
              <w:spacing w:before="0" w:after="113"/>
              <w:rPr/>
            </w:pPr>
            <w:r>
              <w:rPr/>
              <w:t>4 December 1991</w:t>
            </w:r>
          </w:p>
        </w:tc>
        <w:tc>
          <w:tcPr>
            <w:tcW w:w="7431" w:type="dxa"/>
            <w:tcBorders/>
          </w:tcPr>
          <w:p>
            <w:pPr>
              <w:pStyle w:val="TableContents"/>
              <w:spacing w:before="0" w:after="113"/>
              <w:rPr/>
            </w:pPr>
            <w:r>
              <w:rPr/>
              <w:t>The exhibit was opened to the public.</w:t>
            </w:r>
          </w:p>
        </w:tc>
      </w:tr>
      <w:tr>
        <w:trPr>
          <w:trHeight w:val="246" w:hRule="atLeast"/>
        </w:trPr>
        <w:tc>
          <w:tcPr>
            <w:tcW w:w="2207" w:type="dxa"/>
            <w:tcBorders/>
          </w:tcPr>
          <w:p>
            <w:pPr>
              <w:pStyle w:val="TableContents"/>
              <w:spacing w:before="0" w:after="113"/>
              <w:rPr/>
            </w:pPr>
            <w:r>
              <w:rPr/>
              <w:t>2005</w:t>
            </w:r>
          </w:p>
        </w:tc>
        <w:tc>
          <w:tcPr>
            <w:tcW w:w="7431" w:type="dxa"/>
            <w:tcBorders/>
          </w:tcPr>
          <w:p>
            <w:pPr>
              <w:pStyle w:val="TableContents"/>
              <w:spacing w:before="0" w:after="113"/>
              <w:rPr/>
            </w:pPr>
            <w:r>
              <w:rPr/>
              <w:t xml:space="preserve">McIntosh’s (2005) paper on </w:t>
            </w:r>
            <w:r>
              <w:rPr>
                <w:i/>
                <w:iCs/>
              </w:rPr>
              <w:t>Barosaurus</w:t>
            </w:r>
            <w:r>
              <w:rPr/>
              <w:t xml:space="preserve"> included the first scientific description of AMNH 6341.</w:t>
            </w:r>
          </w:p>
        </w:tc>
      </w:tr>
      <w:tr>
        <w:trPr>
          <w:trHeight w:val="246" w:hRule="atLeast"/>
        </w:trPr>
        <w:tc>
          <w:tcPr>
            <w:tcW w:w="2207" w:type="dxa"/>
            <w:tcBorders/>
          </w:tcPr>
          <w:p>
            <w:pPr>
              <w:pStyle w:val="TableContents"/>
              <w:spacing w:before="0" w:after="113"/>
              <w:rPr/>
            </w:pPr>
            <w:r>
              <w:rPr/>
              <w:t>2007</w:t>
            </w:r>
          </w:p>
        </w:tc>
        <w:tc>
          <w:tcPr>
            <w:tcW w:w="7431" w:type="dxa"/>
            <w:tcBorders/>
          </w:tcPr>
          <w:p>
            <w:pPr>
              <w:pStyle w:val="TableContents"/>
              <w:spacing w:before="0" w:after="113"/>
              <w:rPr/>
            </w:pPr>
            <w:r>
              <w:rPr/>
              <w:t>David Evans realised ROM 3670 (a “</w:t>
            </w:r>
            <w:r>
              <w:rPr>
                <w:i/>
                <w:iCs/>
              </w:rPr>
              <w:t>Diplodocus</w:t>
            </w:r>
            <w:r>
              <w:rPr/>
              <w:t xml:space="preserve">” traded from the Carnegie Museum around 1962) was actually </w:t>
            </w:r>
            <w:r>
              <w:rPr>
                <w:i/>
                <w:iCs/>
              </w:rPr>
              <w:t>Barosaurus</w:t>
            </w:r>
            <w:r>
              <w:rPr/>
              <w:t>.</w:t>
            </w:r>
          </w:p>
        </w:tc>
      </w:tr>
      <w:tr>
        <w:trPr>
          <w:trHeight w:val="246" w:hRule="atLeast"/>
        </w:trPr>
        <w:tc>
          <w:tcPr>
            <w:tcW w:w="2207" w:type="dxa"/>
            <w:tcBorders/>
          </w:tcPr>
          <w:p>
            <w:pPr>
              <w:pStyle w:val="TableContents"/>
              <w:spacing w:before="0" w:after="113"/>
              <w:rPr/>
            </w:pPr>
            <w:r>
              <w:rPr/>
              <w:t>5 December 2007</w:t>
            </w:r>
          </w:p>
        </w:tc>
        <w:tc>
          <w:tcPr>
            <w:tcW w:w="7431" w:type="dxa"/>
            <w:tcBorders/>
          </w:tcPr>
          <w:p>
            <w:pPr>
              <w:pStyle w:val="TableContents"/>
              <w:spacing w:before="0" w:after="113"/>
              <w:rPr/>
            </w:pPr>
            <w:r>
              <w:rPr/>
              <w:t>ROM 3670 (“Gordo”) was unveiled in Toronto, having been mounted by RCI.</w:t>
            </w:r>
          </w:p>
        </w:tc>
      </w:tr>
    </w:tbl>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askerville">
    <w:charset w:val="01"/>
    <w:family w:val="roman"/>
    <w:pitch w:val="variable"/>
  </w:font>
  <w:font w:name="Gill Sans">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ind w:hanging="0" w:left="0" w:right="0"/>
      <w:jc w:val="lef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qFormat/>
    <w:pPr>
      <w:spacing w:before="567" w:after="142"/>
      <w:ind w:hanging="0" w:left="0" w:right="0"/>
      <w:jc w:val="left"/>
      <w:outlineLvl w:val="0"/>
    </w:pPr>
    <w:rPr>
      <w:b/>
      <w:bCs/>
      <w:sz w:val="32"/>
      <w:szCs w:val="36"/>
    </w:rPr>
  </w:style>
  <w:style w:type="paragraph" w:styleId="Heading2">
    <w:name w:val="heading 2"/>
    <w:basedOn w:val="Heading"/>
    <w:next w:val="BodyText"/>
    <w:qFormat/>
    <w:pPr>
      <w:spacing w:before="198" w:after="119"/>
      <w:ind w:hanging="0" w:left="0" w:right="0"/>
      <w:outlineLvl w:val="1"/>
    </w:pPr>
    <w:rPr>
      <w:rFonts w:ascii="Gill Sans" w:hAnsi="Gill Sans" w:eastAsia="Songti SC" w:cs="Arial Unicode MS"/>
      <w:b/>
      <w:bCs/>
      <w:sz w:val="24"/>
      <w:szCs w:val="36"/>
    </w:rPr>
  </w:style>
  <w:style w:type="paragraph" w:styleId="Heading3">
    <w:name w:val="heading 3"/>
    <w:basedOn w:val="Heading"/>
    <w:next w:val="BodyText"/>
    <w:qFormat/>
    <w:pPr>
      <w:spacing w:before="142" w:after="142"/>
      <w:ind w:hanging="0" w:left="0" w:right="0"/>
      <w:outlineLvl w:val="2"/>
    </w:pPr>
    <w:rPr>
      <w:b w:val="false"/>
      <w:bCs/>
      <w:sz w:val="22"/>
      <w:szCs w:val="28"/>
    </w:rPr>
  </w:style>
  <w:style w:type="paragraph" w:styleId="Heading4">
    <w:name w:val="heading 4"/>
    <w:basedOn w:val="Heading"/>
    <w:next w:val="BodyText"/>
    <w:qFormat/>
    <w:pPr>
      <w:spacing w:before="120" w:after="120"/>
      <w:outlineLvl w:val="3"/>
    </w:pPr>
    <w:rPr>
      <w:rFonts w:ascii="Liberation Serif" w:hAnsi="Liberation Serif" w:eastAsia="Songti SC" w:cs="Arial Unicode MS"/>
      <w:b/>
      <w:bCs/>
      <w:sz w:val="24"/>
      <w:szCs w:val="24"/>
    </w:rPr>
  </w:style>
  <w:style w:type="character" w:styleId="Hyperlink">
    <w:name w:val="Hyperlink"/>
    <w:rPr>
      <w:color w:val="000080"/>
      <w:u w:val="single"/>
      <w:lang w:val="zxx" w:eastAsia="zxx" w:bidi="zxx"/>
    </w:rPr>
  </w:style>
  <w:style w:type="character" w:styleId="FollowedHyperlink">
    <w:name w:val="FollowedHyperlink"/>
    <w:qFormat/>
    <w:rPr>
      <w:color w:val="800000"/>
      <w:u w:val="single"/>
      <w:lang w:val="zxx" w:eastAsia="zxx" w:bidi="zxx"/>
    </w:rPr>
  </w:style>
  <w:style w:type="character" w:styleId="IndexLink">
    <w:name w:val="Index Link"/>
    <w:qFormat/>
    <w:rPr/>
  </w:style>
  <w:style w:type="character" w:styleId="Bulletsuser">
    <w:name w:val="Bullets (user)"/>
    <w:qFormat/>
    <w:rPr>
      <w:rFonts w:ascii="OpenSymbol" w:hAnsi="OpenSymbol" w:eastAsia="OpenSymbol" w:cs="OpenSymbol"/>
    </w:rPr>
  </w:style>
  <w:style w:type="character" w:styleId="Teletype">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Gill Sans" w:hAnsi="Gill Sans" w:eastAsia="PingFang SC" w:cs="Arial Unicode MS"/>
      <w:b/>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next w:val="BodyText"/>
    <w:qFormat/>
    <w:pPr>
      <w:spacing w:before="238" w:after="119"/>
      <w:jc w:val="left"/>
    </w:pPr>
    <w:rPr>
      <w:b/>
      <w:bCs/>
      <w:sz w:val="38"/>
      <w:szCs w:val="56"/>
    </w:rPr>
  </w:style>
  <w:style w:type="paragraph" w:styleId="Author">
    <w:name w:val="Author"/>
    <w:basedOn w:val="BodyText"/>
    <w:qFormat/>
    <w:pPr>
      <w:tabs>
        <w:tab w:val="clear" w:pos="720"/>
      </w:tabs>
      <w:spacing w:before="0" w:after="142"/>
      <w:ind w:hanging="283" w:left="283" w:right="0"/>
      <w:jc w:val="left"/>
    </w:pPr>
    <w:rPr>
      <w:b w:val="false"/>
      <w:i/>
    </w:rPr>
  </w:style>
  <w:style w:type="paragraph" w:styleId="BlockQuotationuser">
    <w:name w:val="Block Quotation (user)"/>
    <w:basedOn w:val="Normal"/>
    <w:qFormat/>
    <w:pPr>
      <w:spacing w:lineRule="auto" w:line="276" w:before="0" w:after="283"/>
      <w:ind w:hanging="0" w:left="567" w:right="567"/>
    </w:pPr>
    <w:rPr/>
  </w:style>
  <w:style w:type="paragraph" w:styleId="Abstract">
    <w:name w:val="Abstract"/>
    <w:basedOn w:val="BodyText"/>
    <w:qFormat/>
    <w:pPr>
      <w:spacing w:before="0" w:after="142"/>
      <w:ind w:hanging="0" w:left="567" w:right="567"/>
    </w:pPr>
    <w:rPr>
      <w:i/>
      <w:iCs/>
    </w:rPr>
  </w:style>
  <w:style w:type="paragraph" w:styleId="TOAHeading">
    <w:name w:val="TOA Heading"/>
    <w:basedOn w:val="Heading"/>
    <w:qFormat/>
    <w:pPr>
      <w:pageBreakBefore/>
      <w:suppressLineNumbers/>
      <w:ind w:hanging="0" w:left="0" w:right="0"/>
    </w:pPr>
    <w:rPr>
      <w:b/>
      <w:bCs/>
      <w:sz w:val="32"/>
      <w:szCs w:val="32"/>
    </w:rPr>
  </w:style>
  <w:style w:type="paragraph" w:styleId="TOC1">
    <w:name w:val="toc 1"/>
    <w:basedOn w:val="Index"/>
    <w:pPr>
      <w:tabs>
        <w:tab w:val="clear" w:pos="720"/>
        <w:tab w:val="right" w:pos="9638" w:leader="dot"/>
      </w:tabs>
      <w:ind w:hanging="0" w:left="0" w:right="0"/>
    </w:pPr>
    <w:rPr/>
  </w:style>
  <w:style w:type="paragraph" w:styleId="Reference">
    <w:name w:val="Reference"/>
    <w:basedOn w:val="BodyText"/>
    <w:qFormat/>
    <w:pPr>
      <w:tabs>
        <w:tab w:val="clear" w:pos="720"/>
      </w:tabs>
      <w:spacing w:before="0" w:after="142"/>
      <w:ind w:hanging="283" w:left="283" w:right="0"/>
    </w:pPr>
    <w:rPr/>
  </w:style>
  <w:style w:type="paragraph" w:styleId="TOC2">
    <w:name w:val="toc 2"/>
    <w:basedOn w:val="Index"/>
    <w:pPr>
      <w:tabs>
        <w:tab w:val="clear" w:pos="720"/>
        <w:tab w:val="right" w:pos="9355" w:leader="dot"/>
      </w:tabs>
      <w:ind w:hanging="0" w:left="283" w:right="0"/>
    </w:pPr>
    <w:rPr/>
  </w:style>
  <w:style w:type="paragraph" w:styleId="FigureCaption">
    <w:name w:val="Figure Caption"/>
    <w:basedOn w:val="BodyText"/>
    <w:qFormat/>
    <w:pPr>
      <w:tabs>
        <w:tab w:val="clear" w:pos="720"/>
      </w:tabs>
      <w:spacing w:before="0" w:after="142"/>
      <w:ind w:hanging="283" w:left="283" w:right="0"/>
    </w:pPr>
    <w:rPr/>
  </w:style>
  <w:style w:type="paragraph" w:styleId="TOC3">
    <w:name w:val="toc 3"/>
    <w:basedOn w:val="Index"/>
    <w:pPr>
      <w:tabs>
        <w:tab w:val="clear" w:pos="720"/>
        <w:tab w:val="right" w:pos="9072" w:leader="dot"/>
      </w:tabs>
      <w:ind w:hanging="0" w:left="566" w:right="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spacing w:before="0" w:after="113"/>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s://archiveswest.orbiscascade.org/ark:80444/xv14910" TargetMode="External"/><Relationship Id="rId9" Type="http://schemas.openxmlformats.org/officeDocument/2006/relationships/hyperlink" Target="http://hdl.handle.net/2246/6497" TargetMode="External"/><Relationship Id="rId10" Type="http://schemas.openxmlformats.org/officeDocument/2006/relationships/hyperlink" Target="https://doi.org/10.1130/GSAB-30-379" TargetMode="External"/><Relationship Id="rId11" Type="http://schemas.openxmlformats.org/officeDocument/2006/relationships/hyperlink" Target="https://dinotoyblog.com/" TargetMode="External"/><Relationship Id="rId12" Type="http://schemas.openxmlformats.org/officeDocument/2006/relationships/hyperlink" Target="https://github.com/miketaylor/palaeo-superbaro" TargetMode="External"/><Relationship Id="rId13" Type="http://schemas.openxmlformats.org/officeDocument/2006/relationships/hyperlink" Target="https://zenodo.org/records/13732378" TargetMode="External"/><Relationship Id="rId14" Type="http://schemas.openxmlformats.org/officeDocument/2006/relationships/hyperlink" Target="https://doi.org/10.7717/peerj.857"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24670</TotalTime>
  <Application>LibreOffice/26.2.0.3$MacOSX_AARCH64 LibreOffice_project/afbbd0df0edb6d40b450b0337ac646b0913a760c</Application>
  <AppVersion>15.0000</AppVersion>
  <Pages>31</Pages>
  <Words>15840</Words>
  <Characters>83261</Characters>
  <CharactersWithSpaces>98667</CharactersWithSpaces>
  <Paragraphs>379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2021-10-29T20:11:06Z</dcterms:created>
  <dc:creator>Mike Taylor</dc:creator>
  <dc:description/>
  <dc:language>en-GB</dc:language>
  <cp:lastModifiedBy>Mike Taylor</cp:lastModifiedBy>
  <dcterms:modified xsi:type="dcterms:W3CDTF">2026-06-16T12:19:47Z</dcterms:modified>
  <cp:revision>571</cp:revision>
  <dc:subject/>
  <dc:title/>
</cp:coreProperties>
</file>

<file path=docProps/custom.xml><?xml version="1.0" encoding="utf-8"?>
<Properties xmlns="http://schemas.openxmlformats.org/officeDocument/2006/custom-properties" xmlns:vt="http://schemas.openxmlformats.org/officeDocument/2006/docPropsVTypes"/>
</file>