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BodyText"/>
        <w:rPr/>
      </w:pPr>
      <w:r>
        <w:rPr/>
        <w:t>XXX Add references for the following section</w:t>
      </w:r>
    </w:p>
    <w:p>
      <w:pPr>
        <w:pStyle w:val="BodyText"/>
        <w:rPr/>
      </w:pPr>
      <w:r>
        <w:rPr/>
        <w:t xml:space="preserve">By 1922 the Museum had more fossils from this locality than it could use. Douglas Stewart, Holland’s successor as Director of the Carnegie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to Coggeshall, 6 September, 1922, cited by Carpenter 2018:13).</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w:t>
      </w:r>
      <w:r>
        <w:rPr/>
        <w:t>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 xml:space="preserve">USNM’s only interest in #340 was apparently in using </w:t>
      </w:r>
      <w:r>
        <w:rPr/>
        <w:t>elements of the skeleton</w:t>
      </w:r>
      <w:r>
        <w:rPr/>
        <w:t xml:space="preserve"> to complete #355 for a gallery mount </w:t>
      </w:r>
      <w:r>
        <w:rPr/>
        <w:t>(Gilmore 1923b:1)</w:t>
      </w:r>
      <w:r>
        <w:rPr/>
        <w:t xml:space="preserve">, so only the cervical, </w:t>
      </w:r>
      <w:r>
        <w:rPr/>
        <w:t xml:space="preserve">three anterior dorsals, left scapulocoracoid and humerus </w:t>
      </w:r>
      <w:r>
        <w:rPr/>
        <w:t xml:space="preserve">were sent there </w:t>
      </w:r>
      <w:r>
        <w:rPr/>
        <w:t>(Brown 1929)</w:t>
      </w:r>
      <w:r>
        <w:rPr/>
        <w:t xml:space="preserve">. </w:t>
      </w:r>
      <w:r>
        <w:rPr/>
        <w:t xml:space="preserve">XXX though contrast with Gilmore’s (1923b:3) list. </w:t>
      </w:r>
      <w:r>
        <w:rPr/>
        <w:t xml:space="preserve">Another block belonging to this specimen was shipped to </w:t>
      </w:r>
      <w:r>
        <w:rPr/>
        <w:t xml:space="preserve">the Carnegie Museum with the intention that it would be </w:t>
      </w:r>
      <w:r>
        <w:rPr/>
        <w:t xml:space="preserve">turned over to the </w:t>
      </w:r>
      <w:r>
        <w:rPr/>
        <w:t>USNM</w:t>
      </w:r>
      <w:r>
        <w:rPr/>
        <w:t xml:space="preserve"> </w:t>
      </w:r>
      <w:r>
        <w:rPr/>
        <w:t xml:space="preserve">once </w:t>
      </w:r>
      <w:r>
        <w:rPr/>
        <w:t xml:space="preserve">bones of another individual </w:t>
      </w:r>
      <w:r>
        <w:rPr/>
        <w:t xml:space="preserve">were </w:t>
      </w:r>
      <w:r>
        <w:rPr/>
        <w:t xml:space="preserve">extracted from it. </w:t>
      </w:r>
      <w:r>
        <w:rPr/>
        <w:t>(</w:t>
      </w:r>
      <w:r>
        <w:rPr/>
        <w:t>Gilmore 1923b:1</w:t>
      </w:r>
      <w:r>
        <w:rPr/>
        <w:t>). This block probably contained the “nine or ten vertebrae” of the tail mentioned by Brown (1929) as being part of this specimen.</w:t>
      </w:r>
    </w:p>
    <w:p>
      <w:pPr>
        <w:pStyle w:val="BodyText"/>
        <w:rPr/>
      </w:pPr>
      <w:r>
        <w:rPr/>
        <w:t>XXXXX segue into next bit. Reconcile McIntosh 2005 with Gilmore 1923</w:t>
      </w:r>
      <w:r>
        <w:rPr/>
        <w:t>b</w:t>
      </w:r>
      <w:r>
        <w:rPr/>
        <w:t xml:space="preserve"> and Brown 1929 quoted in Dingus 1996.</w:t>
      </w:r>
    </w:p>
    <w:p>
      <w:pPr>
        <w:pStyle w:val="BodyText"/>
        <w:rPr/>
      </w:pPr>
      <w:r>
        <w:rPr/>
        <w:t xml:space="preserve">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XXX “The skull and two or three of the anterior cervicals of no. 340 had been detached and were not in place” — Douglass 1922b:3.</w:t>
      </w:r>
    </w:p>
    <w:p>
      <w:pPr>
        <w:pStyle w:val="BodyText"/>
        <w:rPr/>
      </w:pPr>
      <w:r>
        <w:rPr/>
        <w:t>XXX “13 cervical vertebrae” reported in #340 — Gilmore 1923b:3.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0">
        <w:r>
          <w:rPr>
            <w:rStyle w:val="Hyperlink"/>
          </w:rPr>
          <w:t>https://dinotoyblog.com/</w:t>
        </w:r>
      </w:hyperlink>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1">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2">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3">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val="false"/>
          <w:bCs w:val="false"/>
          <w:i w:val="false"/>
          <w:iCs w:val="false"/>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8"/>
        <w:gridCol w:w="7430"/>
      </w:tblGrid>
      <w:tr>
        <w:trPr>
          <w:tblHeader w:val="true"/>
        </w:trPr>
        <w:tc>
          <w:tcPr>
            <w:tcW w:w="2208" w:type="dxa"/>
            <w:tcBorders/>
          </w:tcPr>
          <w:p>
            <w:pPr>
              <w:pStyle w:val="TableHeading"/>
              <w:spacing w:before="0" w:after="113"/>
              <w:rPr/>
            </w:pPr>
            <w:r>
              <w:rPr/>
              <w:t>Date</w:t>
            </w:r>
          </w:p>
        </w:tc>
        <w:tc>
          <w:tcPr>
            <w:tcW w:w="7430" w:type="dxa"/>
            <w:tcBorders/>
          </w:tcPr>
          <w:p>
            <w:pPr>
              <w:pStyle w:val="TableHeading"/>
              <w:spacing w:before="0" w:after="113"/>
              <w:rPr/>
            </w:pPr>
            <w:r>
              <w:rPr/>
              <w:t>Event</w:t>
            </w:r>
          </w:p>
        </w:tc>
      </w:tr>
      <w:tr>
        <w:trPr>
          <w:trHeight w:val="235" w:hRule="atLeast"/>
        </w:trPr>
        <w:tc>
          <w:tcPr>
            <w:tcW w:w="2208" w:type="dxa"/>
            <w:tcBorders/>
          </w:tcPr>
          <w:p>
            <w:pPr>
              <w:pStyle w:val="TableContents"/>
              <w:spacing w:before="0" w:after="113"/>
              <w:rPr/>
            </w:pPr>
            <w:r>
              <w:rPr/>
              <w:t>1880s</w:t>
            </w:r>
          </w:p>
        </w:tc>
        <w:tc>
          <w:tcPr>
            <w:tcW w:w="7430"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8" w:type="dxa"/>
            <w:tcBorders/>
          </w:tcPr>
          <w:p>
            <w:pPr>
              <w:pStyle w:val="TableContents"/>
              <w:spacing w:before="0" w:after="113"/>
              <w:rPr/>
            </w:pPr>
            <w:r>
              <w:rPr/>
              <w:t>Summer 1889</w:t>
            </w:r>
          </w:p>
        </w:tc>
        <w:tc>
          <w:tcPr>
            <w:tcW w:w="7430"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8" w:type="dxa"/>
            <w:tcBorders/>
          </w:tcPr>
          <w:p>
            <w:pPr>
              <w:pStyle w:val="TableContents"/>
              <w:spacing w:before="0" w:after="113"/>
              <w:rPr/>
            </w:pPr>
            <w:r>
              <w:rPr/>
              <w:t>1890</w:t>
            </w:r>
          </w:p>
        </w:tc>
        <w:tc>
          <w:tcPr>
            <w:tcW w:w="7430"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8" w:type="dxa"/>
            <w:tcBorders/>
          </w:tcPr>
          <w:p>
            <w:pPr>
              <w:pStyle w:val="TableContents"/>
              <w:spacing w:before="0" w:after="113"/>
              <w:rPr/>
            </w:pPr>
            <w:r>
              <w:rPr/>
              <w:t>Late August 1898</w:t>
            </w:r>
          </w:p>
        </w:tc>
        <w:tc>
          <w:tcPr>
            <w:tcW w:w="7430" w:type="dxa"/>
            <w:tcBorders/>
          </w:tcPr>
          <w:p>
            <w:pPr>
              <w:pStyle w:val="TableContents"/>
              <w:spacing w:before="0" w:after="113"/>
              <w:rPr/>
            </w:pPr>
            <w:r>
              <w:rPr/>
              <w:t>Marsh sent George Wieland to collect the rest of the skeleton.</w:t>
            </w:r>
          </w:p>
        </w:tc>
      </w:tr>
      <w:tr>
        <w:trPr>
          <w:trHeight w:val="235" w:hRule="atLeast"/>
        </w:trPr>
        <w:tc>
          <w:tcPr>
            <w:tcW w:w="2208" w:type="dxa"/>
            <w:tcBorders/>
          </w:tcPr>
          <w:p>
            <w:pPr>
              <w:pStyle w:val="TableContents"/>
              <w:spacing w:before="0" w:after="113"/>
              <w:rPr/>
            </w:pPr>
            <w:r>
              <w:rPr/>
              <w:t>1899</w:t>
            </w:r>
          </w:p>
        </w:tc>
        <w:tc>
          <w:tcPr>
            <w:tcW w:w="7430"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8" w:type="dxa"/>
            <w:tcBorders/>
          </w:tcPr>
          <w:p>
            <w:pPr>
              <w:pStyle w:val="TableContents"/>
              <w:spacing w:before="0" w:after="113"/>
              <w:rPr/>
            </w:pPr>
            <w:r>
              <w:rPr/>
              <w:t>1907</w:t>
            </w:r>
          </w:p>
        </w:tc>
        <w:tc>
          <w:tcPr>
            <w:tcW w:w="7430"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8" w:type="dxa"/>
            <w:tcBorders/>
          </w:tcPr>
          <w:p>
            <w:pPr>
              <w:pStyle w:val="TableContents"/>
              <w:spacing w:before="0" w:after="113"/>
              <w:rPr/>
            </w:pPr>
            <w:r>
              <w:rPr/>
              <w:t>Late 1916</w:t>
            </w:r>
          </w:p>
        </w:tc>
        <w:tc>
          <w:tcPr>
            <w:tcW w:w="7430"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8" w:type="dxa"/>
            <w:tcBorders/>
          </w:tcPr>
          <w:p>
            <w:pPr>
              <w:pStyle w:val="TableContents"/>
              <w:spacing w:before="0" w:after="113"/>
              <w:rPr/>
            </w:pPr>
            <w:r>
              <w:rPr/>
              <w:t>1917</w:t>
            </w:r>
          </w:p>
        </w:tc>
        <w:tc>
          <w:tcPr>
            <w:tcW w:w="7430" w:type="dxa"/>
            <w:tcBorders/>
          </w:tcPr>
          <w:p>
            <w:pPr>
              <w:pStyle w:val="TableContents"/>
              <w:spacing w:before="0" w:after="113"/>
              <w:rPr/>
            </w:pPr>
            <w:r>
              <w:rPr/>
              <w:t>Lull’s published abstract very briefly described the type specimen.</w:t>
            </w:r>
          </w:p>
        </w:tc>
      </w:tr>
      <w:tr>
        <w:trPr>
          <w:trHeight w:val="235" w:hRule="atLeast"/>
        </w:trPr>
        <w:tc>
          <w:tcPr>
            <w:tcW w:w="2208" w:type="dxa"/>
            <w:tcBorders/>
          </w:tcPr>
          <w:p>
            <w:pPr>
              <w:pStyle w:val="TableContents"/>
              <w:spacing w:before="0" w:after="113"/>
              <w:rPr/>
            </w:pPr>
            <w:r>
              <w:rPr/>
              <w:t>1919</w:t>
            </w:r>
          </w:p>
        </w:tc>
        <w:tc>
          <w:tcPr>
            <w:tcW w:w="7430" w:type="dxa"/>
            <w:tcBorders/>
          </w:tcPr>
          <w:p>
            <w:pPr>
              <w:pStyle w:val="TableContents"/>
              <w:spacing w:before="0" w:after="113"/>
              <w:rPr/>
            </w:pPr>
            <w:r>
              <w:rPr/>
              <w:t>Lull’s detailed monographic description of the type specimen.</w:t>
            </w:r>
          </w:p>
        </w:tc>
      </w:tr>
      <w:tr>
        <w:trPr>
          <w:trHeight w:val="235" w:hRule="atLeast"/>
        </w:trPr>
        <w:tc>
          <w:tcPr>
            <w:tcW w:w="2208" w:type="dxa"/>
            <w:tcBorders/>
          </w:tcPr>
          <w:p>
            <w:pPr>
              <w:pStyle w:val="TableContents"/>
              <w:spacing w:before="0" w:after="113"/>
              <w:rPr/>
            </w:pPr>
            <w:r>
              <w:rPr/>
              <w:t>1922</w:t>
            </w:r>
          </w:p>
        </w:tc>
        <w:tc>
          <w:tcPr>
            <w:tcW w:w="7430"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8" w:type="dxa"/>
            <w:tcBorders/>
          </w:tcPr>
          <w:p>
            <w:pPr>
              <w:pStyle w:val="TableContents"/>
              <w:spacing w:before="0" w:after="113"/>
              <w:rPr/>
            </w:pPr>
            <w:r>
              <w:rPr/>
              <w:t>1922–1923</w:t>
            </w:r>
          </w:p>
        </w:tc>
        <w:tc>
          <w:tcPr>
            <w:tcW w:w="7430"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8" w:type="dxa"/>
            <w:tcBorders/>
          </w:tcPr>
          <w:p>
            <w:pPr>
              <w:pStyle w:val="TableContents"/>
              <w:spacing w:before="0" w:after="113"/>
              <w:rPr/>
            </w:pPr>
            <w:r>
              <w:rPr/>
              <w:t>Mid-1920s</w:t>
            </w:r>
          </w:p>
        </w:tc>
        <w:tc>
          <w:tcPr>
            <w:tcW w:w="7430"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8" w:type="dxa"/>
            <w:tcBorders/>
          </w:tcPr>
          <w:p>
            <w:pPr>
              <w:pStyle w:val="TableContents"/>
              <w:spacing w:before="0" w:after="113"/>
              <w:rPr/>
            </w:pPr>
            <w:r>
              <w:rPr/>
              <w:t>1929</w:t>
            </w:r>
          </w:p>
        </w:tc>
        <w:tc>
          <w:tcPr>
            <w:tcW w:w="7430" w:type="dxa"/>
            <w:tcBorders/>
          </w:tcPr>
          <w:p>
            <w:pPr>
              <w:pStyle w:val="TableContents"/>
              <w:spacing w:before="0" w:after="113"/>
              <w:rPr/>
            </w:pPr>
            <w:r>
              <w:rPr/>
              <w:t>Barnum Brown realised that the USNM neck and the Carnegie tail belonged to the same individual as the partial skeleton at the University of Utah. He acquired all three three portions of this skeleton and reunited them at the American Museum of Natural History (AMNH) in New York. The reunited skeleton was given the specimen number AMNH 6341.</w:t>
            </w:r>
          </w:p>
        </w:tc>
      </w:tr>
      <w:tr>
        <w:trPr>
          <w:trHeight w:val="246" w:hRule="atLeast"/>
        </w:trPr>
        <w:tc>
          <w:tcPr>
            <w:tcW w:w="2208" w:type="dxa"/>
            <w:tcBorders/>
          </w:tcPr>
          <w:p>
            <w:pPr>
              <w:pStyle w:val="TableContents"/>
              <w:spacing w:before="0" w:after="113"/>
              <w:rPr/>
            </w:pPr>
            <w:r>
              <w:rPr/>
              <w:t>1931</w:t>
            </w:r>
          </w:p>
        </w:tc>
        <w:tc>
          <w:tcPr>
            <w:tcW w:w="7430"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8" w:type="dxa"/>
            <w:tcBorders/>
          </w:tcPr>
          <w:p>
            <w:pPr>
              <w:pStyle w:val="TableContents"/>
              <w:spacing w:before="0" w:after="113"/>
              <w:rPr/>
            </w:pPr>
            <w:r>
              <w:rPr/>
              <w:t>17 April 1939</w:t>
            </w:r>
          </w:p>
        </w:tc>
        <w:tc>
          <w:tcPr>
            <w:tcW w:w="7430"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8" w:type="dxa"/>
            <w:tcBorders/>
          </w:tcPr>
          <w:p>
            <w:pPr>
              <w:pStyle w:val="TableContents"/>
              <w:spacing w:before="0" w:after="113"/>
              <w:rPr/>
            </w:pPr>
            <w:r>
              <w:rPr/>
              <w:t>Early 1950s</w:t>
            </w:r>
          </w:p>
        </w:tc>
        <w:tc>
          <w:tcPr>
            <w:tcW w:w="7430"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8" w:type="dxa"/>
            <w:tcBorders/>
          </w:tcPr>
          <w:p>
            <w:pPr>
              <w:pStyle w:val="TableContents"/>
              <w:spacing w:before="0" w:after="113"/>
              <w:rPr/>
            </w:pPr>
            <w:r>
              <w:rPr/>
              <w:t>1952</w:t>
            </w:r>
          </w:p>
        </w:tc>
        <w:tc>
          <w:tcPr>
            <w:tcW w:w="7430"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8" w:type="dxa"/>
            <w:tcBorders/>
          </w:tcPr>
          <w:p>
            <w:pPr>
              <w:pStyle w:val="TableContents"/>
              <w:spacing w:before="0" w:after="113"/>
              <w:rPr/>
            </w:pPr>
            <w:r>
              <w:rPr/>
              <w:t>8 June, 1957</w:t>
            </w:r>
          </w:p>
        </w:tc>
        <w:tc>
          <w:tcPr>
            <w:tcW w:w="7430"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8" w:type="dxa"/>
            <w:tcBorders/>
          </w:tcPr>
          <w:p>
            <w:pPr>
              <w:pStyle w:val="TableContents"/>
              <w:spacing w:before="0" w:after="113"/>
              <w:rPr/>
            </w:pPr>
            <w:r>
              <w:rPr/>
              <w:t>1970</w:t>
            </w:r>
          </w:p>
        </w:tc>
        <w:tc>
          <w:tcPr>
            <w:tcW w:w="7430"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8" w:type="dxa"/>
            <w:tcBorders/>
          </w:tcPr>
          <w:p>
            <w:pPr>
              <w:pStyle w:val="TableContents"/>
              <w:spacing w:before="0" w:after="113"/>
              <w:rPr/>
            </w:pPr>
            <w:r>
              <w:rPr/>
              <w:t>1977</w:t>
            </w:r>
          </w:p>
        </w:tc>
        <w:tc>
          <w:tcPr>
            <w:tcW w:w="7430" w:type="dxa"/>
            <w:tcBorders/>
          </w:tcPr>
          <w:p>
            <w:pPr>
              <w:pStyle w:val="TableContents"/>
              <w:spacing w:before="0" w:after="113"/>
              <w:rPr/>
            </w:pPr>
            <w:r>
              <w:rPr/>
              <w:t>Peter May began working with skeletal mounts at the Royal Ontario Museum.</w:t>
            </w:r>
          </w:p>
        </w:tc>
      </w:tr>
      <w:tr>
        <w:trPr>
          <w:trHeight w:val="246" w:hRule="atLeast"/>
        </w:trPr>
        <w:tc>
          <w:tcPr>
            <w:tcW w:w="2208" w:type="dxa"/>
            <w:tcBorders/>
          </w:tcPr>
          <w:p>
            <w:pPr>
              <w:pStyle w:val="TableContents"/>
              <w:spacing w:before="0" w:after="113"/>
              <w:rPr/>
            </w:pPr>
            <w:r>
              <w:rPr/>
              <w:t>1978</w:t>
            </w:r>
          </w:p>
        </w:tc>
        <w:tc>
          <w:tcPr>
            <w:tcW w:w="7430"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8" w:type="dxa"/>
            <w:tcBorders/>
          </w:tcPr>
          <w:p>
            <w:pPr>
              <w:pStyle w:val="TableContents"/>
              <w:spacing w:before="0" w:after="113"/>
              <w:rPr/>
            </w:pPr>
            <w:r>
              <w:rPr/>
              <w:t>1986</w:t>
            </w:r>
          </w:p>
        </w:tc>
        <w:tc>
          <w:tcPr>
            <w:tcW w:w="7430" w:type="dxa"/>
            <w:tcBorders/>
          </w:tcPr>
          <w:p>
            <w:pPr>
              <w:pStyle w:val="TableContents"/>
              <w:spacing w:before="0" w:after="113"/>
              <w:rPr/>
            </w:pPr>
            <w:r>
              <w:rPr/>
              <w:t>The AMNH began planning an extensive renovation of its fossil halls.</w:t>
            </w:r>
          </w:p>
        </w:tc>
      </w:tr>
      <w:tr>
        <w:trPr>
          <w:trHeight w:val="246" w:hRule="atLeast"/>
        </w:trPr>
        <w:tc>
          <w:tcPr>
            <w:tcW w:w="2208" w:type="dxa"/>
            <w:tcBorders/>
          </w:tcPr>
          <w:p>
            <w:pPr>
              <w:pStyle w:val="TableContents"/>
              <w:spacing w:before="0" w:after="113"/>
              <w:rPr/>
            </w:pPr>
            <w:r>
              <w:rPr/>
              <w:t>1989</w:t>
            </w:r>
          </w:p>
        </w:tc>
        <w:tc>
          <w:tcPr>
            <w:tcW w:w="7430"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8" w:type="dxa"/>
            <w:tcBorders/>
          </w:tcPr>
          <w:p>
            <w:pPr>
              <w:pStyle w:val="TableContents"/>
              <w:spacing w:before="0" w:after="113"/>
              <w:rPr/>
            </w:pPr>
            <w:r>
              <w:rPr/>
              <w:t>1990</w:t>
            </w:r>
          </w:p>
        </w:tc>
        <w:tc>
          <w:tcPr>
            <w:tcW w:w="7430" w:type="dxa"/>
            <w:tcBorders/>
          </w:tcPr>
          <w:p>
            <w:pPr>
              <w:pStyle w:val="TableContents"/>
              <w:spacing w:before="0" w:after="113"/>
              <w:rPr/>
            </w:pPr>
            <w:r>
              <w:rPr/>
              <w:t>Peter May went full time with his company Research Casting International (RCI).</w:t>
            </w:r>
          </w:p>
        </w:tc>
      </w:tr>
      <w:tr>
        <w:trPr>
          <w:trHeight w:val="246" w:hRule="atLeast"/>
        </w:trPr>
        <w:tc>
          <w:tcPr>
            <w:tcW w:w="2208" w:type="dxa"/>
            <w:tcBorders/>
          </w:tcPr>
          <w:p>
            <w:pPr>
              <w:pStyle w:val="TableContents"/>
              <w:spacing w:before="0" w:after="113"/>
              <w:rPr/>
            </w:pPr>
            <w:r>
              <w:rPr/>
              <w:t>28 March 1990</w:t>
            </w:r>
          </w:p>
        </w:tc>
        <w:tc>
          <w:tcPr>
            <w:tcW w:w="7430"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8" w:type="dxa"/>
            <w:tcBorders/>
          </w:tcPr>
          <w:p>
            <w:pPr>
              <w:pStyle w:val="TableContents"/>
              <w:spacing w:before="0" w:after="113"/>
              <w:rPr/>
            </w:pPr>
            <w:r>
              <w:rPr/>
              <w:t>Fall 1990</w:t>
            </w:r>
          </w:p>
        </w:tc>
        <w:tc>
          <w:tcPr>
            <w:tcW w:w="7430"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8" w:type="dxa"/>
            <w:tcBorders/>
          </w:tcPr>
          <w:p>
            <w:pPr>
              <w:pStyle w:val="TableContents"/>
              <w:spacing w:before="0" w:after="113"/>
              <w:rPr/>
            </w:pPr>
            <w:r>
              <w:rPr/>
              <w:t>Late 1990/early 1991</w:t>
            </w:r>
          </w:p>
        </w:tc>
        <w:tc>
          <w:tcPr>
            <w:tcW w:w="7430"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8" w:type="dxa"/>
            <w:tcBorders/>
          </w:tcPr>
          <w:p>
            <w:pPr>
              <w:pStyle w:val="TableContents"/>
              <w:spacing w:before="0" w:after="113"/>
              <w:rPr/>
            </w:pPr>
            <w:r>
              <w:rPr/>
              <w:t>Spring 1991</w:t>
            </w:r>
          </w:p>
        </w:tc>
        <w:tc>
          <w:tcPr>
            <w:tcW w:w="7430"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8" w:type="dxa"/>
            <w:tcBorders/>
          </w:tcPr>
          <w:p>
            <w:pPr>
              <w:pStyle w:val="TableContents"/>
              <w:spacing w:before="0" w:after="113"/>
              <w:rPr/>
            </w:pPr>
            <w:r>
              <w:rPr/>
              <w:t>Summer 1991</w:t>
            </w:r>
          </w:p>
        </w:tc>
        <w:tc>
          <w:tcPr>
            <w:tcW w:w="7430"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8" w:type="dxa"/>
            <w:tcBorders/>
          </w:tcPr>
          <w:p>
            <w:pPr>
              <w:pStyle w:val="TableContents"/>
              <w:spacing w:before="0" w:after="113"/>
              <w:rPr/>
            </w:pPr>
            <w:r>
              <w:rPr/>
              <w:t>November 1991</w:t>
            </w:r>
          </w:p>
        </w:tc>
        <w:tc>
          <w:tcPr>
            <w:tcW w:w="7430"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8" w:type="dxa"/>
            <w:tcBorders/>
          </w:tcPr>
          <w:p>
            <w:pPr>
              <w:pStyle w:val="TableContents"/>
              <w:spacing w:before="0" w:after="113"/>
              <w:rPr/>
            </w:pPr>
            <w:r>
              <w:rPr/>
              <w:t>29 November 1991</w:t>
            </w:r>
          </w:p>
        </w:tc>
        <w:tc>
          <w:tcPr>
            <w:tcW w:w="7430"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8" w:type="dxa"/>
            <w:tcBorders/>
          </w:tcPr>
          <w:p>
            <w:pPr>
              <w:pStyle w:val="TableContents"/>
              <w:spacing w:before="0" w:after="113"/>
              <w:rPr/>
            </w:pPr>
            <w:r>
              <w:rPr/>
              <w:t>3 December 1991</w:t>
            </w:r>
          </w:p>
        </w:tc>
        <w:tc>
          <w:tcPr>
            <w:tcW w:w="7430"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8" w:type="dxa"/>
            <w:tcBorders/>
          </w:tcPr>
          <w:p>
            <w:pPr>
              <w:pStyle w:val="TableContents"/>
              <w:spacing w:before="0" w:after="113"/>
              <w:rPr/>
            </w:pPr>
            <w:r>
              <w:rPr/>
              <w:t>4 December 1991</w:t>
            </w:r>
          </w:p>
        </w:tc>
        <w:tc>
          <w:tcPr>
            <w:tcW w:w="7430" w:type="dxa"/>
            <w:tcBorders/>
          </w:tcPr>
          <w:p>
            <w:pPr>
              <w:pStyle w:val="TableContents"/>
              <w:spacing w:before="0" w:after="113"/>
              <w:rPr/>
            </w:pPr>
            <w:r>
              <w:rPr/>
              <w:t>The exhibit was opened to the public.</w:t>
            </w:r>
          </w:p>
        </w:tc>
      </w:tr>
      <w:tr>
        <w:trPr>
          <w:trHeight w:val="246" w:hRule="atLeast"/>
        </w:trPr>
        <w:tc>
          <w:tcPr>
            <w:tcW w:w="2208" w:type="dxa"/>
            <w:tcBorders/>
          </w:tcPr>
          <w:p>
            <w:pPr>
              <w:pStyle w:val="TableContents"/>
              <w:spacing w:before="0" w:after="113"/>
              <w:rPr/>
            </w:pPr>
            <w:r>
              <w:rPr/>
              <w:t>2005</w:t>
            </w:r>
          </w:p>
        </w:tc>
        <w:tc>
          <w:tcPr>
            <w:tcW w:w="7430"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8" w:type="dxa"/>
            <w:tcBorders/>
          </w:tcPr>
          <w:p>
            <w:pPr>
              <w:pStyle w:val="TableContents"/>
              <w:spacing w:before="0" w:after="113"/>
              <w:rPr/>
            </w:pPr>
            <w:r>
              <w:rPr/>
              <w:t>2007</w:t>
            </w:r>
          </w:p>
        </w:tc>
        <w:tc>
          <w:tcPr>
            <w:tcW w:w="7430"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8" w:type="dxa"/>
            <w:tcBorders/>
          </w:tcPr>
          <w:p>
            <w:pPr>
              <w:pStyle w:val="TableContents"/>
              <w:spacing w:before="0" w:after="113"/>
              <w:rPr/>
            </w:pPr>
            <w:r>
              <w:rPr/>
              <w:t>5 December 2007</w:t>
            </w:r>
          </w:p>
        </w:tc>
        <w:tc>
          <w:tcPr>
            <w:tcW w:w="7430"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inotoyblog.com/" TargetMode="External"/><Relationship Id="rId11" Type="http://schemas.openxmlformats.org/officeDocument/2006/relationships/hyperlink" Target="https://github.com/miketaylor/palaeo-superbaro" TargetMode="External"/><Relationship Id="rId12" Type="http://schemas.openxmlformats.org/officeDocument/2006/relationships/hyperlink" Target="https://zenodo.org/records/13732378" TargetMode="External"/><Relationship Id="rId13" Type="http://schemas.openxmlformats.org/officeDocument/2006/relationships/hyperlink" Target="https://doi.org/10.7717/peerj.857"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24264</TotalTime>
  <Application>LibreOffice/26.2.0.3$MacOSX_AARCH64 LibreOffice_project/afbbd0df0edb6d40b450b0337ac646b0913a760c</Application>
  <AppVersion>15.0000</AppVersion>
  <Pages>30</Pages>
  <Words>15286</Words>
  <Characters>80460</Characters>
  <CharactersWithSpaces>95327</CharactersWithSpaces>
  <Paragraphs>361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2026-06-07T09:42:51Z</dcterms:modified>
  <cp:revision>547</cp:revision>
  <dc:subject/>
  <dc:title/>
</cp:coreProperties>
</file>

<file path=docProps/custom.xml><?xml version="1.0" encoding="utf-8"?>
<Properties xmlns="http://schemas.openxmlformats.org/officeDocument/2006/custom-properties" xmlns:vt="http://schemas.openxmlformats.org/officeDocument/2006/docPropsVTypes"/>
</file>