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rPr/>
          </w:pPr>
          <w:hyperlink w:anchor="__RefHeading___Toc3401_68767826">
            <w:r>
              <w:rPr>
                <w:rStyle w:val="IndexLink"/>
              </w:rPr>
              <w:t>Discussion</w:t>
              <w:tab/>
              <w:t>18</w:t>
            </w:r>
          </w:hyperlink>
        </w:p>
        <w:p>
          <w:pPr>
            <w:pStyle w:val="Contents1"/>
            <w:rPr/>
          </w:pPr>
          <w:hyperlink w:anchor="__RefHeading___Toc1833_55120580">
            <w:r>
              <w:rPr>
                <w:rStyle w:val="IndexLink"/>
              </w:rPr>
              <w:t>Acknowledgements</w:t>
              <w:tab/>
              <w:t>20</w:t>
            </w:r>
          </w:hyperlink>
        </w:p>
        <w:p>
          <w:pPr>
            <w:pStyle w:val="Contents1"/>
            <w:rPr/>
          </w:pPr>
          <w:hyperlink w:anchor="__RefHeading___Toc3405_68767826">
            <w:r>
              <w:rPr>
                <w:rStyle w:val="IndexLink"/>
              </w:rPr>
              <w:t>References</w:t>
              <w:tab/>
              <w:t>20</w:t>
            </w:r>
          </w:hyperlink>
        </w:p>
        <w:p>
          <w:pPr>
            <w:pStyle w:val="Contents1"/>
            <w:rPr/>
          </w:pPr>
          <w:hyperlink w:anchor="__RefHeading___Toc5233_14216418">
            <w:r>
              <w:rPr>
                <w:rStyle w:val="IndexLink"/>
              </w:rPr>
              <w:t>Tables</w:t>
              <w:tab/>
              <w:t>26</w:t>
            </w:r>
          </w:hyperlink>
        </w:p>
        <w:p>
          <w:pPr>
            <w:pStyle w:val="Contents1"/>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highlight w:val="yellow"/>
        </w:rPr>
      </w:pPr>
      <w:r>
        <w:rPr/>
        <w:t>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w:t>
      </w:r>
      <w:r>
        <w:rPr/>
        <w:t xml:space="preserve">room </w:t>
      </w:r>
      <w:r>
        <w:rPr/>
        <w:t xml:space="preserve">for the tail of the </w:t>
      </w:r>
      <w:r>
        <w:rPr>
          <w:i/>
          <w:iCs/>
        </w:rPr>
        <w:t>Allosaurus</w:t>
      </w:r>
      <w:r>
        <w:rPr/>
        <w:t xml:space="preserve"> mount CM 11844 that was </w:t>
      </w:r>
      <w:r>
        <w:rPr/>
        <w:t xml:space="preserve">at some point moved </w:t>
      </w:r>
      <w:r>
        <w:rPr/>
        <w:t xml:space="preserve">there </w:t>
      </w:r>
      <w:r>
        <w:rPr/>
        <w:t xml:space="preserve">from its original 1938 position behind and to the right of the </w:t>
      </w:r>
      <w:r>
        <w:rPr>
          <w:i/>
          <w:iCs/>
        </w:rPr>
        <w:t>Diplodocus</w:t>
      </w:r>
      <w:r>
        <w:rPr/>
        <w:t xml:space="preserve"> tail. (The tail of the repositioned </w:t>
      </w:r>
      <w:r>
        <w:rPr>
          <w:i/>
          <w:iCs/>
        </w:rPr>
        <w:t>Allosaurus</w:t>
      </w:r>
      <w:r>
        <w:rPr/>
        <w:t xml:space="preserve"> can be seen </w:t>
      </w:r>
      <w:r>
        <w:rPr/>
        <w:t xml:space="preserve">in Figure G). </w:t>
      </w:r>
      <w:r>
        <w:rPr/>
        <w:t>But as the date of th</w:t>
      </w:r>
      <w:r>
        <w:rPr/>
        <w:t xml:space="preserve">e </w:t>
      </w:r>
      <w:r>
        <w:rPr>
          <w:i/>
          <w:iCs/>
        </w:rPr>
        <w:t>Allosaurus</w:t>
      </w:r>
      <w:r>
        <w:rPr/>
        <w:t xml:space="preserve"> move </w:t>
      </w:r>
      <w:r>
        <w:rPr/>
        <w:t>is no</w:t>
      </w:r>
      <w:r>
        <w:rPr/>
        <w:t>t</w:t>
      </w:r>
      <w:r>
        <w:rPr/>
        <w:t xml:space="preserve">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7" w:name="__RefHeading___Toc1833_55120580"/>
      <w:bookmarkEnd w:id="27"/>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8" w:name="__RefHeading___Toc3405_68767826"/>
      <w:bookmarkEnd w:id="2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9" w:name="__DdeLink__2481_14216418"/>
      <w:r>
        <w:rPr/>
        <w:t>Anonymous</w:t>
      </w:r>
      <w:bookmarkEnd w:id="2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0" w:name="__DdeLink__5014_2834848739"/>
      <w:r>
        <w:rPr/>
        <w:t xml:space="preserve">Carnegie Institute. 1934. </w:t>
      </w:r>
      <w:r>
        <w:rPr>
          <w:i/>
          <w:iCs/>
        </w:rPr>
        <w:t>Thirty-seventh annual report of the Carnegie Museum, Carnegie Institute, Pittsburgh</w:t>
      </w:r>
      <w:r>
        <w:rPr/>
        <w:t>.</w:t>
      </w:r>
      <w:bookmarkEnd w:id="3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1" w:name="__DdeLink__16582_68767826"/>
      <w:r>
        <w:rPr/>
        <w:t>Nieuwland</w:t>
      </w:r>
      <w:bookmarkEnd w:id="3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2" w:name="__DdeLink__2717_3412805200"/>
      <w:r>
        <w:rPr>
          <w:rFonts w:ascii="Baskerville Old Face" w:hAnsi="Baskerville Old Face"/>
        </w:rPr>
        <w:t>Riedl-Dorn</w:t>
      </w:r>
      <w:bookmarkEnd w:id="32"/>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3" w:name="__DdeLink__1645_2410814995"/>
      <w:r>
        <w:rPr>
          <w:rFonts w:cs="Alkes" w:ascii="Baskerville Old Face" w:hAnsi="Baskerville Old Face"/>
          <w:kern w:val="0"/>
          <w:lang w:bidi="ar-SA"/>
        </w:rPr>
        <w:t>Schuchert, C. and LeVene, C.M. 1940</w:t>
      </w:r>
      <w:bookmarkEnd w:id="33"/>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4" w:name="__RefHeading___Toc5233_14216418"/>
      <w:bookmarkEnd w:id="3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5"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6" w:name="__RefHeading___Toc3407_68767826"/>
      <w:bookmarkEnd w:id="3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t>Verónica Díez Díaz</w:t>
      </w:r>
      <w:bookmarkEnd w:id="37"/>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Seated, facing right: possibly Albert “Bill” Thomson, though this seems unlikely as he was never part of the Carnegie crew</w:t>
      </w:r>
    </w:p>
    <w:p>
      <w:pPr>
        <w:pStyle w:val="FigureCaption"/>
        <w:numPr>
          <w:ilvl w:val="0"/>
          <w:numId w:val="8"/>
        </w:numPr>
        <w:ind w:left="720" w:right="0" w:hanging="360"/>
        <w:rPr/>
      </w:pPr>
      <w:r>
        <w:rPr/>
        <w:t>Standing at back: chief preparator Arthur S. Coggeshall</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possibly preparator Louis Coggeshall, Arthur’s brother</w:t>
      </w:r>
    </w:p>
    <w:p>
      <w:pPr>
        <w:pStyle w:val="FigureCaption"/>
        <w:numPr>
          <w:ilvl w:val="0"/>
          <w:numId w:val="8"/>
        </w:numPr>
        <w:ind w:left="720" w:right="0" w:hanging="360"/>
        <w:rPr/>
      </w:pPr>
      <w:r>
        <w:rPr/>
        <w:t>Sitting at far table, facing left: possibly lead sculptor Serafino Agostini.</w:t>
      </w:r>
    </w:p>
    <w:p>
      <w:pPr>
        <w:pStyle w:val="FigureCaption"/>
        <w:numPr>
          <w:ilvl w:val="0"/>
          <w:numId w:val="8"/>
        </w:numPr>
        <w:ind w:left="720" w:right="0" w:hanging="360"/>
        <w:rPr/>
      </w:pPr>
      <w:r>
        <w:rPr/>
        <w:t>Seated: unknown</w:t>
      </w:r>
    </w:p>
    <w:p>
      <w:pPr>
        <w:pStyle w:val="FigureCaption"/>
        <w:numPr>
          <w:ilvl w:val="0"/>
          <w:numId w:val="8"/>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ind w:left="720" w:right="0" w:hanging="360"/>
        <w:rPr>
          <w:highlight w:val="none"/>
          <w:shd w:fill="FFFF00" w:val="clear"/>
        </w:rPr>
      </w:pPr>
      <w:r>
        <w:rPr>
          <w:shd w:fill="FFFF00" w:val="clear"/>
        </w:rPr>
        <w:t>XXX From photo library metadata: W. H. Utterback, O. A. Peterson, Louis Coggeshall, Charles W. Gilmore, Earl Douglass, Arthur S. Coggeshall, Asher W. VanKirk, Sydney Prentice, John B. Hatcher</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28852</TotalTime>
  <Application>LibreOffice/7.4.1.2$MacOSX_X86_64 LibreOffice_project/3c58a8f3a960df8bc8fd77b461821e42c061c5f0</Application>
  <AppVersion>15.0000</AppVersion>
  <Pages>31</Pages>
  <Words>16039</Words>
  <Characters>84577</Characters>
  <CharactersWithSpaces>100111</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2022-10-30T08:09:25Z</dcterms:modified>
  <cp:revision>763</cp:revision>
  <dc:subject/>
  <dc:title/>
</cp:coreProperties>
</file>

<file path=docProps/custom.xml><?xml version="1.0" encoding="utf-8"?>
<Properties xmlns="http://schemas.openxmlformats.org/officeDocument/2006/custom-properties" xmlns:vt="http://schemas.openxmlformats.org/officeDocument/2006/docPropsVTypes"/>
</file>