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yellow"/>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08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7</w:t>
        </w:r>
      </w:hyperlink>
    </w:p>
    <w:p>
      <w:pPr>
        <w:pStyle w:val="Contents2"/>
        <w:tabs>
          <w:tab w:val="clear" w:pos="9355"/>
          <w:tab w:val="right" w:pos="9638" w:leader="dot"/>
        </w:tabs>
        <w:rPr/>
      </w:pPr>
      <w:hyperlink w:anchor="__RefHeading___Toc1838_55120580">
        <w:r>
          <w:rPr>
            <w:rStyle w:val="IndexLink"/>
          </w:rPr>
          <w:t>The original mount at the Carnegie Museum</w:t>
          <w:tab/>
          <w:t>7</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r>
          <w:rPr>
            <w:rStyle w:val="IndexLink"/>
          </w:rPr>
          <w:t>Replacement of skull with cast of CM 11161</w:t>
          <w:tab/>
          <w:t>10</w:t>
        </w:r>
      </w:hyperlink>
    </w:p>
    <w:p>
      <w:pPr>
        <w:pStyle w:val="Contents3"/>
        <w:tabs>
          <w:tab w:val="clear" w:pos="9072"/>
          <w:tab w:val="right" w:pos="9638" w:leader="dot"/>
        </w:tabs>
        <w:rPr/>
      </w:pPr>
      <w:hyperlink w:anchor="__RefHeading___Toc16707_802501007">
        <w:r>
          <w:rPr>
            <w:rStyle w:val="IndexLink"/>
          </w:rPr>
          <w:t>Re-pose of neck</w:t>
          <w:tab/>
          <w:t>11</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11</w:t>
        </w:r>
      </w:hyperlink>
    </w:p>
    <w:p>
      <w:pPr>
        <w:pStyle w:val="Contents3"/>
        <w:tabs>
          <w:tab w:val="clear" w:pos="9072"/>
          <w:tab w:val="right" w:pos="9638" w:leader="dot"/>
        </w:tabs>
        <w:rPr/>
      </w:pPr>
      <w:hyperlink w:anchor="__RefHeading___Toc6555_802501007">
        <w:r>
          <w:rPr>
            <w:rStyle w:val="IndexLink"/>
          </w:rPr>
          <w:t>2007 refurbishment of the dinosaur exhibition</w:t>
          <w:tab/>
          <w:t>12</w:t>
        </w:r>
      </w:hyperlink>
    </w:p>
    <w:p>
      <w:pPr>
        <w:pStyle w:val="Contents3"/>
        <w:tabs>
          <w:tab w:val="clear" w:pos="9072"/>
          <w:tab w:val="right" w:pos="9638" w:leader="dot"/>
        </w:tabs>
        <w:rPr/>
      </w:pPr>
      <w:hyperlink w:anchor="__RefHeading___Toc3742_2834848739">
        <w:r>
          <w:rPr>
            <w:rStyle w:val="IndexLink"/>
          </w:rPr>
          <w:t>Forefeet WDC-FS001A</w:t>
          <w:tab/>
          <w:t>12</w:t>
        </w:r>
      </w:hyperlink>
    </w:p>
    <w:p>
      <w:pPr>
        <w:pStyle w:val="Contents3"/>
        <w:tabs>
          <w:tab w:val="clear" w:pos="9072"/>
          <w:tab w:val="right" w:pos="9638" w:leader="dot"/>
        </w:tabs>
        <w:rPr/>
      </w:pPr>
      <w:hyperlink w:anchor="__RefHeading___Toc3744_2834848739">
        <w:r>
          <w:rPr>
            <w:rStyle w:val="IndexLink"/>
          </w:rPr>
          <w:t>Forelimbs from BYU material</w:t>
          <w:tab/>
          <w:t>12</w:t>
        </w:r>
      </w:hyperlink>
    </w:p>
    <w:p>
      <w:pPr>
        <w:pStyle w:val="Contents3"/>
        <w:tabs>
          <w:tab w:val="clear" w:pos="9072"/>
          <w:tab w:val="right" w:pos="9638" w:leader="dot"/>
        </w:tabs>
        <w:rPr/>
      </w:pPr>
      <w:hyperlink w:anchor="__RefHeading___Toc3746_2834848739">
        <w:r>
          <w:rPr>
            <w:rStyle w:val="IndexLink"/>
          </w:rPr>
          <w:t>Distal caudal vertebrae</w:t>
          <w:tab/>
          <w:t>12</w:t>
        </w:r>
      </w:hyperlink>
    </w:p>
    <w:p>
      <w:pPr>
        <w:pStyle w:val="Contents2"/>
        <w:tabs>
          <w:tab w:val="clear" w:pos="9355"/>
          <w:tab w:val="right" w:pos="9638" w:leader="dot"/>
        </w:tabs>
        <w:rPr/>
      </w:pPr>
      <w:hyperlink w:anchor="__RefHeading___Toc3282_55120580">
        <w:r>
          <w:rPr>
            <w:rStyle w:val="IndexLink"/>
          </w:rPr>
          <w:t>The casts made from the Carnegie molds</w:t>
          <w:tab/>
          <w:t>13</w:t>
        </w:r>
      </w:hyperlink>
    </w:p>
    <w:p>
      <w:pPr>
        <w:pStyle w:val="Contents1"/>
        <w:tabs>
          <w:tab w:val="right" w:pos="9638" w:leader="dot"/>
        </w:tabs>
        <w:rPr/>
      </w:pPr>
      <w:hyperlink w:anchor="__RefHeading___Toc3401_68767826">
        <w:r>
          <w:rPr>
            <w:rStyle w:val="IndexLink"/>
          </w:rPr>
          <w:t>Discussion</w:t>
          <w:tab/>
          <w:t>13</w:t>
        </w:r>
      </w:hyperlink>
    </w:p>
    <w:p>
      <w:pPr>
        <w:pStyle w:val="Contents1"/>
        <w:tabs>
          <w:tab w:val="right" w:pos="9638" w:leader="dot"/>
        </w:tabs>
        <w:rPr/>
      </w:pPr>
      <w:hyperlink w:anchor="__RefHeading___Toc1833_55120580">
        <w:r>
          <w:rPr>
            <w:rStyle w:val="IndexLink"/>
          </w:rPr>
          <w:t>Acknowledgements</w:t>
          <w:tab/>
          <w:t>14</w:t>
        </w:r>
      </w:hyperlink>
    </w:p>
    <w:p>
      <w:pPr>
        <w:pStyle w:val="Contents1"/>
        <w:tabs>
          <w:tab w:val="right" w:pos="9638" w:leader="dot"/>
        </w:tabs>
        <w:rPr/>
      </w:pPr>
      <w:hyperlink w:anchor="__RefHeading___Toc3405_68767826">
        <w:r>
          <w:rPr>
            <w:rStyle w:val="IndexLink"/>
          </w:rPr>
          <w:t>References</w:t>
          <w:tab/>
          <w:t>14</w:t>
        </w:r>
      </w:hyperlink>
    </w:p>
    <w:p>
      <w:pPr>
        <w:pStyle w:val="Contents1"/>
        <w:tabs>
          <w:tab w:val="right" w:pos="9638" w:leader="dot"/>
        </w:tabs>
        <w:rPr/>
      </w:pPr>
      <w:hyperlink w:anchor="__RefHeading___Toc5233_14216418">
        <w:r>
          <w:rPr>
            <w:rStyle w:val="IndexLink"/>
          </w:rPr>
          <w:t>Tables</w:t>
          <w:tab/>
          <w:t>18</w:t>
        </w:r>
      </w:hyperlink>
    </w:p>
    <w:p>
      <w:pPr>
        <w:pStyle w:val="Contents1"/>
        <w:tabs>
          <w:tab w:val="right" w:pos="9638" w:leader="dot"/>
        </w:tabs>
        <w:rPr/>
      </w:pPr>
      <w:hyperlink w:anchor="__RefHeading___Toc3407_68767826">
        <w:r>
          <w:rPr>
            <w:rStyle w:val="IndexLink"/>
          </w:rPr>
          <w:t>Figure Captions</w:t>
          <w:tab/>
          <w:t>20</w:t>
        </w:r>
      </w:hyperlink>
    </w:p>
    <w:p>
      <w:pPr>
        <w:pStyle w:val="TextBody"/>
        <w:spacing w:lineRule="auto" w:line="276" w:before="0" w:after="140"/>
        <w:rPr>
          <w:i/>
          <w:i/>
          <w:iCs/>
        </w:rPr>
      </w:pPr>
      <w:r>
        <w:rPr>
          <w:i/>
          <w:iCs/>
        </w:rPr>
      </w:r>
      <w:r>
        <w:rPr>
          <w:i/>
          <w:iCs/>
        </w:rPr>
        <w:fldChar w:fldCharType="end"/>
      </w:r>
    </w:p>
    <w:p>
      <w:pPr>
        <w:pStyle w:val="Heading1"/>
        <w:rPr/>
      </w:pPr>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1" w:name="__RefHeading___Toc943_1155462304"/>
      <w:bookmarkEnd w:id="1"/>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w:t>
      </w:r>
      <w:r>
        <w:rPr>
          <w:highlight w:val="yellow"/>
        </w:rPr>
        <w:t>XXX Mike, make sure this is consistently the case.</w:t>
      </w:r>
    </w:p>
    <w:p>
      <w:pPr>
        <w:pStyle w:val="TextBody"/>
        <w:rPr/>
      </w:pPr>
      <w:bookmarkStart w:id="2" w:name="__DdeLink__23596_802501007"/>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bookmarkEnd w:id="2"/>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skeleton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mount.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along with the other collections of the Russian Academy of Sciences. From 1937 it was displayed in the Neshkuchny Palace, an 18th-century complex next to Gorki Park, with a wartime interlude to Almaty in Kazahstan, then into storage following the Palace’s closure as a museum in 1954, and from 1987 onward in Moscow’s new Orlov Museum of Natural History. The cast went through two re-mounts: in the Neskuchny it was put in a </w:t>
      </w:r>
      <w:r>
        <w:rPr/>
        <w:t xml:space="preserve">bizarre </w:t>
      </w:r>
      <w:r>
        <w:rPr/>
        <w:t xml:space="preserve">posture with </w:t>
      </w:r>
      <w:r>
        <w:rPr/>
        <w:t>parasagittal hindlimbs but strongly everted elbows</w:t>
      </w:r>
      <w:r>
        <w:rPr/>
        <w:t>, p</w:t>
      </w:r>
      <w:r>
        <w:rPr/>
        <w:t xml:space="preserve">ossibly </w:t>
      </w:r>
      <w:r>
        <w:rPr/>
        <w:t>following Abel’s suggestion (Abel 1910). When it was exhibited in the Orlov Museum, it was re-mounted again in more traditional fashion, but also one that was already strikingly old-fashioned at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81 as stated by Nieuwland 2019:250), Holland arrived in Mexico City together with Coggeshall’s brother Louis, to set up his last </w:t>
      </w:r>
      <w:r>
        <w:rPr>
          <w:i/>
          <w:iCs/>
        </w:rPr>
        <w:t>Diplodocus</w:t>
      </w:r>
      <w:r>
        <w:rPr/>
        <w:t>; a year and a half later, he passed away.</w:t>
      </w:r>
    </w:p>
    <w:p>
      <w:pPr>
        <w:pStyle w:val="TextBody"/>
        <w:rPr/>
      </w:pPr>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Long assumed lost during bombing in 1944, the cast resurfaced in 1977, but has remained in storage ever since. Calls for it to be remounted as one of the attractions of a new museum at the Nymphenburg castle came to nothing, partly because of the museum authorities favoured a lighter and stronger resin cast over the maintenance-intensive plaster one.</w:t>
      </w:r>
    </w:p>
    <w:p>
      <w:pPr>
        <w:pStyle w:val="TextBody"/>
        <w:rPr/>
      </w:pPr>
      <w:r>
        <w:rPr/>
        <w:t xml:space="preserve">Although this was the last of the ten plaster casts created at the Carnegie Museum, the molds were to have one final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7" w:name="__DdeLink__25488_802501007"/>
      <w:r>
        <w:rPr>
          <w:b w:val="false"/>
          <w:bCs w:val="false"/>
        </w:rPr>
        <w:t>Untermann</w:t>
      </w:r>
      <w:bookmarkEnd w:id="7"/>
      <w:r>
        <w:rPr>
          <w:b w:val="false"/>
          <w:bCs w:val="false"/>
        </w:rPr>
        <w:t xml:space="preserve"> 1959) and stood until 1989 (Taylor and Sroka, in prep.)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B for a summary of all the Carnegie </w:t>
      </w:r>
      <w:r>
        <w:rPr>
          <w:i/>
          <w:iCs/>
        </w:rPr>
        <w:t>Diplodocus</w:t>
      </w:r>
      <w:r>
        <w:rPr/>
        <w:t xml:space="preserve"> casts </w:t>
      </w:r>
      <w:r>
        <w:rPr/>
        <w:t>and the original mount, in chronological order.</w:t>
      </w:r>
    </w:p>
    <w:p>
      <w:pPr>
        <w:pStyle w:val="Heading1"/>
        <w:numPr>
          <w:ilvl w:val="0"/>
          <w:numId w:val="1"/>
        </w:numPr>
        <w:ind w:left="0" w:right="0" w:hanging="0"/>
        <w:rPr/>
      </w:pPr>
      <w:bookmarkStart w:id="8" w:name="__RefHeading___Toc1836_55120580"/>
      <w:bookmarkEnd w:id="8"/>
      <w:r>
        <w:rPr/>
        <w:t>Material in the mounted skeleton</w:t>
      </w:r>
    </w:p>
    <w:p>
      <w:pPr>
        <w:pStyle w:val="Heading2"/>
        <w:rPr/>
      </w:pPr>
      <w:bookmarkStart w:id="9" w:name="__RefHeading___Toc1838_55120580"/>
      <w:bookmarkEnd w:id="9"/>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this information down?</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0" w:name="__RefHeading___Toc3280_55120580"/>
      <w:bookmarkEnd w:id="10"/>
      <w:r>
        <w:rPr/>
        <w:t>Changes made to the mount at the Carnegie Museum</w:t>
      </w:r>
    </w:p>
    <w:p>
      <w:pPr>
        <w:pStyle w:val="Heading3"/>
        <w:rPr/>
      </w:pPr>
      <w:bookmarkStart w:id="11" w:name="__RefHeading___Toc3738_2834848739"/>
      <w:bookmarkEnd w:id="11"/>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2" w:name="__RefHeading___Toc16707_802501007"/>
      <w:bookmarkEnd w:id="12"/>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3" w:name="__RefHeading___Toc3740_2834848739"/>
      <w:bookmarkEnd w:id="13"/>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G), although it was already known at the time of mounting that sauropod forefeet had claws on only the first digit (Osborn 1904:181). Only nearly a century later, in the second quarter of 1999, were these error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4" w:name="__RefHeading___Toc6555_802501007"/>
      <w:bookmarkEnd w:id="14"/>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and several changes were made to the materials incorporated in the mount, as follows.</w:t>
      </w:r>
    </w:p>
    <w:p>
      <w:pPr>
        <w:pStyle w:val="Heading3"/>
        <w:rPr/>
      </w:pPr>
      <w:bookmarkStart w:id="15" w:name="__RefHeading___Toc3742_2834848739"/>
      <w:bookmarkEnd w:id="15"/>
      <w:r>
        <w:rPr/>
        <w:t>Forefeet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w:t>
      </w:r>
    </w:p>
    <w:p>
      <w:pPr>
        <w:pStyle w:val="Heading3"/>
        <w:rPr/>
      </w:pPr>
      <w:bookmarkStart w:id="16" w:name="__RefHeading___Toc3744_2834848739"/>
      <w:bookmarkEnd w:id="16"/>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622, was a better match for CM 82, but not perfect as discussed above. For this reason, both forelimbs were replaced by Phil Fraley Productions in the 2007 remount by scaled-up sculptures based on the forelimb bones of a well preserved but smaller specimen of </w:t>
      </w:r>
      <w:r>
        <w:rPr>
          <w:i/>
          <w:iCs/>
        </w:rPr>
        <w:t>Diplodocus</w:t>
      </w:r>
      <w:r>
        <w:rPr/>
        <w:t xml:space="preserve">, BYU 681: specifically, the humerus BYU 681/4742, the radius BYU 681/4726 and the ulna BYU 681/4708 (Tschopp et al. 2019:33). </w:t>
      </w:r>
      <w:r>
        <w:rPr>
          <w:highlight w:val="yellow"/>
        </w:rPr>
        <w:t>XXX Matt, was the entire remount done by Phil Fraley Productions?</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17" w:name="__RefHeading___Toc3746_2834848739"/>
      <w:bookmarkEnd w:id="17"/>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18" w:name="__DdeLink__1281_802501007"/>
      <w:r>
        <w:rPr/>
        <w:t>CM 3378</w:t>
      </w:r>
      <w:bookmarkEnd w:id="18"/>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highlight w:val="yellow"/>
        </w:rPr>
      </w:pPr>
      <w:r>
        <w:rPr>
          <w:highlight w:val="yellow"/>
        </w:rPr>
        <w:t>XXX ONE CAUDAL ADDED FROM CM 94. CAUDALS 37-73 WERE CASTS IN ORIGINAL MOUNT AND REPLACED WITH CAUDALS FROM CM 307. This contradicts McIntosh (1981:20) and Curtice’s dissertation.</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19" w:name="__RefHeading___Toc3282_55120580"/>
      <w:bookmarkEnd w:id="19"/>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r>
        <w:rPr/>
        <w:t xml:space="preserve"> </w:t>
      </w:r>
      <w:r>
        <w:rPr>
          <w:highlight w:val="yellow"/>
        </w:rPr>
        <w:t>XXX Mike: perhaps visit the Paris mount and see if they are mirrored?</w:t>
      </w:r>
    </w:p>
    <w:p>
      <w:pPr>
        <w:pStyle w:val="TextBody"/>
        <w:rPr/>
      </w:pPr>
      <w:r>
        <w:rPr/>
        <w:t>Since the mounting of the ten original casts, some updates have taken place: for example, the skull of the Madrid cast was replaced by “a new Carnegie replica” when the exhibit was moved to a new hall in 1935 (Nieuwland 2019:247) and the posture of the La Plata cast was updated when it was moved from Hall V to Hall II in 2012 ( Nieuwland 2019:247).</w:t>
      </w:r>
    </w:p>
    <w:p>
      <w:pPr>
        <w:pStyle w:val="Heading1"/>
        <w:numPr>
          <w:ilvl w:val="0"/>
          <w:numId w:val="3"/>
        </w:numPr>
        <w:ind w:left="0" w:right="0" w:hanging="0"/>
        <w:rPr/>
      </w:pPr>
      <w:bookmarkStart w:id="20" w:name="__RefHeading___Toc3401_68767826"/>
      <w:bookmarkEnd w:id="20"/>
      <w:r>
        <w:rPr/>
        <w:t>Discussion</w:t>
      </w:r>
    </w:p>
    <w:p>
      <w:pPr>
        <w:pStyle w:val="TextBody"/>
        <w:rPr>
          <w:highlight w:val="yellow"/>
        </w:rPr>
      </w:pPr>
      <w:r>
        <w:rPr>
          <w:highlight w:val="yellow"/>
        </w:rPr>
        <w:t>XXX Mike: difficulty of tracking down all this information, importance of records</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renovationof the Carnegie mount; ten years until the Natural History Museum removed the first ever </w:t>
      </w:r>
      <w:r>
        <w:rPr>
          <w:i/>
          <w:iCs/>
        </w:rPr>
        <w:t>Diplodocus</w:t>
      </w:r>
      <w:r>
        <w:rPr/>
        <w:t xml:space="preserve"> cast from display to make more room for corporate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1" w:name="__RefHeading___Toc1833_55120580"/>
      <w:bookmarkEnd w:id="21"/>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2" w:name="__RefHeading___Toc3405_68767826"/>
      <w:bookmarkEnd w:id="22"/>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3" w:name="__DdeLink__2481_14216418"/>
      <w:r>
        <w:rPr/>
        <w:t>Anonymous</w:t>
      </w:r>
      <w:bookmarkEnd w:id="23"/>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4" w:name="__DdeLink__5014_2834848739"/>
      <w:r>
        <w:rPr/>
        <w:t xml:space="preserve">Carnegie Institute. 1934. </w:t>
      </w:r>
      <w:r>
        <w:rPr>
          <w:i/>
          <w:iCs/>
        </w:rPr>
        <w:t>Thirty-seventh annual report of the Carnegie Museum, Carnegie Institute, Pittsburgh</w:t>
      </w:r>
      <w:r>
        <w:rPr/>
        <w:t>.</w:t>
      </w:r>
      <w:bookmarkEnd w:id="24"/>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5" w:name="__DdeLink__16582_68767826"/>
      <w:r>
        <w:rPr/>
        <w:t>Nieuwland</w:t>
      </w:r>
      <w:bookmarkEnd w:id="2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26" w:name="__RefHeading___Toc5233_14216418"/>
      <w:bookmarkEnd w:id="26"/>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622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Alfonso XIII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7" w:name="__RefHeading___Toc3407_68767826"/>
      <w:bookmarkEnd w:id="27"/>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i w:val="false"/>
      <w:iCs w:val="false"/>
    </w:rPr>
  </w:style>
  <w:style w:type="character" w:styleId="ListLabel120">
    <w:name w:val="ListLabel 120"/>
    <w:qFormat/>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i w:val="false"/>
      <w:iCs w:val="false"/>
    </w:rPr>
  </w:style>
  <w:style w:type="character" w:styleId="ListLabel140">
    <w:name w:val="ListLabel 140"/>
    <w:qFormat/>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i w:val="false"/>
      <w:iCs w:val="false"/>
    </w:rPr>
  </w:style>
  <w:style w:type="character" w:styleId="ListLabel160">
    <w:name w:val="ListLabel 160"/>
    <w:qFormat/>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character" w:styleId="ListLabel180">
    <w:name w:val="ListLabel 180"/>
    <w:qFormat/>
    <w:rPr/>
  </w:style>
  <w:style w:type="character" w:styleId="ListLabel181">
    <w:name w:val="ListLabel 181"/>
    <w:qFormat/>
    <w:rPr>
      <w:rFonts w:cs="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i w:val="false"/>
      <w:iCs w:val="false"/>
    </w:rPr>
  </w:style>
  <w:style w:type="character" w:styleId="ListLabel200">
    <w:name w:val="ListLabel 200"/>
    <w:qFormat/>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i w:val="false"/>
      <w:iCs w:val="false"/>
    </w:rPr>
  </w:style>
  <w:style w:type="character" w:styleId="ListLabel220">
    <w:name w:val="ListLabel 220"/>
    <w:qFormat/>
    <w:rPr/>
  </w:style>
  <w:style w:type="character" w:styleId="ListLabel221">
    <w:name w:val="ListLabel 221"/>
    <w:qFormat/>
    <w:rPr>
      <w:rFonts w:cs="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i w:val="false"/>
      <w:iCs w:val="false"/>
    </w:rPr>
  </w:style>
  <w:style w:type="character" w:styleId="ListLabel260">
    <w:name w:val="ListLabel 260"/>
    <w:qFormat/>
    <w:rPr/>
  </w:style>
  <w:style w:type="character" w:styleId="ListLabel261">
    <w:name w:val="ListLabel 261"/>
    <w:qFormat/>
    <w:rPr>
      <w:rFonts w:cs="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i w:val="false"/>
      <w:iCs w:val="false"/>
    </w:rPr>
  </w:style>
  <w:style w:type="character" w:styleId="ListLabel280">
    <w:name w:val="ListLabel 280"/>
    <w:qFormat/>
    <w:rPr/>
  </w:style>
  <w:style w:type="character" w:styleId="ListLabel281">
    <w:name w:val="ListLabel 281"/>
    <w:qFormat/>
    <w:rPr>
      <w:rFonts w:cs="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i w:val="false"/>
      <w:iCs w:val="false"/>
    </w:rPr>
  </w:style>
  <w:style w:type="character" w:styleId="ListLabel300">
    <w:name w:val="ListLabel 300"/>
    <w:qFormat/>
    <w:rPr/>
  </w:style>
  <w:style w:type="character" w:styleId="ListLabel301">
    <w:name w:val="ListLabel 301"/>
    <w:qFormat/>
    <w:rPr>
      <w:rFonts w:cs="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i w:val="false"/>
      <w:iCs w:val="false"/>
    </w:rPr>
  </w:style>
  <w:style w:type="character" w:styleId="ListLabel320">
    <w:name w:val="ListLabel 320"/>
    <w:qFormat/>
    <w:rPr/>
  </w:style>
  <w:style w:type="character" w:styleId="ListLabel321">
    <w:name w:val="ListLabel 321"/>
    <w:qFormat/>
    <w:rPr>
      <w:rFonts w:cs="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i w:val="false"/>
      <w:iCs w:val="false"/>
    </w:rPr>
  </w:style>
  <w:style w:type="character" w:styleId="ListLabel340">
    <w:name w:val="ListLabel 34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26712</TotalTime>
  <Application>LibreOffice/6.1.3.2$MacOSX_X86_64 LibreOffice_project/86daf60bf00efa86ad547e59e09d6bb77c699acb</Application>
  <Pages>23</Pages>
  <Words>11108</Words>
  <Characters>57956</Characters>
  <CharactersWithSpaces>68658</CharactersWithSpaces>
  <Paragraphs>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2022-05-27T22:51:52Z</dcterms:modified>
  <cp:revision>605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