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rPr/>
          </w:pPr>
          <w:hyperlink w:anchor="__RefHeading___Toc3401_68767826">
            <w:r>
              <w:rPr>
                <w:rStyle w:val="IndexLink"/>
              </w:rPr>
              <w:t>Discussion</w:t>
              <w:tab/>
              <w:t>18</w:t>
            </w:r>
          </w:hyperlink>
        </w:p>
        <w:p>
          <w:pPr>
            <w:pStyle w:val="Contents1"/>
            <w:rPr/>
          </w:pPr>
          <w:hyperlink w:anchor="__RefHeading___Toc1833_55120580">
            <w:r>
              <w:rPr>
                <w:rStyle w:val="IndexLink"/>
              </w:rPr>
              <w:t>Acknowledgements</w:t>
              <w:tab/>
              <w:t>20</w:t>
            </w:r>
          </w:hyperlink>
        </w:p>
        <w:p>
          <w:pPr>
            <w:pStyle w:val="Contents1"/>
            <w:rPr/>
          </w:pPr>
          <w:hyperlink w:anchor="__RefHeading___Toc3405_68767826">
            <w:r>
              <w:rPr>
                <w:rStyle w:val="IndexLink"/>
              </w:rPr>
              <w:t>References</w:t>
              <w:tab/>
              <w:t>20</w:t>
            </w:r>
          </w:hyperlink>
        </w:p>
        <w:p>
          <w:pPr>
            <w:pStyle w:val="Contents1"/>
            <w:rPr/>
          </w:pPr>
          <w:hyperlink w:anchor="__RefHeading___Toc5233_14216418">
            <w:r>
              <w:rPr>
                <w:rStyle w:val="IndexLink"/>
              </w:rPr>
              <w:t>Tables</w:t>
              <w:tab/>
              <w:t>26</w:t>
            </w:r>
          </w:hyperlink>
        </w:p>
        <w:p>
          <w:pPr>
            <w:pStyle w:val="Contents1"/>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Anonymous undated:1),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w:t>
      </w:r>
      <w:r>
        <w:rPr/>
        <w:t xml:space="preserve">s </w:t>
      </w:r>
      <w:r>
        <w:rPr/>
        <w:t>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highlight w:val="yellow"/>
        </w:rPr>
      </w:pPr>
      <w:r>
        <w:rPr/>
        <w:t>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w:t>
      </w:r>
      <w:r>
        <w:rPr>
          <w:i/>
          <w:iCs/>
        </w:rPr>
        <w:t>Diplodocus</w:t>
      </w:r>
      <w:r>
        <w:rPr/>
        <w:t xml:space="preserve"> (visible in Figure G).</w:t>
      </w:r>
    </w:p>
    <w:p>
      <w:pPr>
        <w:pStyle w:val="TextBody"/>
        <w:rPr/>
      </w:pPr>
      <w:r>
        <w:rPr>
          <w:highlight w:val="yellow"/>
        </w:rPr>
        <w:t>XXX Matt, do you know with more precision when and why this neck elevation was done and by whom?</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3" w:name="__RefHeading___Toc3746_2834848739"/>
      <w:bookmarkEnd w:id="23"/>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7" w:name="__RefHeading___Toc1833_55120580"/>
      <w:bookmarkEnd w:id="27"/>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8" w:name="__RefHeading___Toc3405_68767826"/>
      <w:bookmarkEnd w:id="2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9" w:name="__DdeLink__2481_14216418"/>
      <w:r>
        <w:rPr/>
        <w:t>Anonymous</w:t>
      </w:r>
      <w:bookmarkEnd w:id="2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0" w:name="__DdeLink__5014_2834848739"/>
      <w:r>
        <w:rPr/>
        <w:t xml:space="preserve">Carnegie Institute. 1934. </w:t>
      </w:r>
      <w:r>
        <w:rPr>
          <w:i/>
          <w:iCs/>
        </w:rPr>
        <w:t>Thirty-seventh annual report of the Carnegie Museum, Carnegie Institute, Pittsburgh</w:t>
      </w:r>
      <w:r>
        <w:rPr/>
        <w:t>.</w:t>
      </w:r>
      <w:bookmarkEnd w:id="3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1" w:name="__DdeLink__16582_68767826"/>
      <w:r>
        <w:rPr/>
        <w:t>Nieuwland</w:t>
      </w:r>
      <w:bookmarkEnd w:id="3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 García,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2" w:name="__DdeLink__2717_3412805200"/>
      <w:r>
        <w:rPr>
          <w:rFonts w:ascii="Baskerville Old Face" w:hAnsi="Baskerville Old Face"/>
        </w:rPr>
        <w:t>Riedl-Dorn</w:t>
      </w:r>
      <w:bookmarkEnd w:id="32"/>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3" w:name="__DdeLink__1645_2410814995"/>
      <w:r>
        <w:rPr>
          <w:rFonts w:cs="Alkes" w:ascii="Baskerville Old Face" w:hAnsi="Baskerville Old Face"/>
          <w:kern w:val="0"/>
          <w:lang w:bidi="ar-SA"/>
        </w:rPr>
        <w:t>Schuchert, C. and LeVene, C.M. 1940</w:t>
      </w:r>
      <w:bookmarkEnd w:id="33"/>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7">
        <w:r>
          <w:rPr>
            <w:rStyle w:val="InternetLink"/>
            <w:b w:val="false"/>
            <w:bCs w:val="false"/>
          </w:rPr>
          <w:t>https://svpow.com/2019/11/04/dystylosaurus-reminds-you-to-beware-of-taking-measurements-from-casts/</w:t>
        </w:r>
      </w:hyperlink>
      <w:r>
        <w:rPr>
          <w:b w:val="false"/>
          <w:bCs w:val="false"/>
        </w:rPr>
        <w:t xml:space="preserve">, archived at </w:t>
      </w:r>
      <w:hyperlink r:id="rId18">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4" w:name="__RefHeading___Toc5233_14216418"/>
      <w:bookmarkEnd w:id="34"/>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5"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6" w:name="__RefHeading___Toc3407_68767826"/>
      <w:bookmarkEnd w:id="3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t>Verónica Díez Díaz</w:t>
      </w:r>
      <w:bookmarkEnd w:id="37"/>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Seated, facing right: possibly Albert “Bill” Thomson, though this seems unlikely as he was never part of the Carnegie crew</w:t>
      </w:r>
    </w:p>
    <w:p>
      <w:pPr>
        <w:pStyle w:val="FigureCaption"/>
        <w:numPr>
          <w:ilvl w:val="0"/>
          <w:numId w:val="8"/>
        </w:numPr>
        <w:ind w:left="720" w:right="0" w:hanging="360"/>
        <w:rPr/>
      </w:pPr>
      <w:r>
        <w:rPr/>
        <w:t>Standing at back: chief preparator Arthur S. Coggeshall</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possibly preparator Louis Coggeshall, Arthur’s brother</w:t>
      </w:r>
    </w:p>
    <w:p>
      <w:pPr>
        <w:pStyle w:val="FigureCaption"/>
        <w:numPr>
          <w:ilvl w:val="0"/>
          <w:numId w:val="8"/>
        </w:numPr>
        <w:ind w:left="720" w:right="0" w:hanging="360"/>
        <w:rPr/>
      </w:pPr>
      <w:r>
        <w:rPr/>
        <w:t>Sitting at far table, facing left: possibly lead sculptor Serafino Agostini.</w:t>
      </w:r>
    </w:p>
    <w:p>
      <w:pPr>
        <w:pStyle w:val="FigureCaption"/>
        <w:numPr>
          <w:ilvl w:val="0"/>
          <w:numId w:val="8"/>
        </w:numPr>
        <w:ind w:left="720" w:right="0" w:hanging="360"/>
        <w:rPr/>
      </w:pPr>
      <w:r>
        <w:rPr/>
        <w:t>Seated: unknown</w:t>
      </w:r>
    </w:p>
    <w:p>
      <w:pPr>
        <w:pStyle w:val="FigureCaption"/>
        <w:numPr>
          <w:ilvl w:val="0"/>
          <w:numId w:val="8"/>
        </w:numPr>
        <w:ind w:left="720" w:right="0" w:hanging="360"/>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9/11/04/dystylosaurus-reminds-you-to-beware-of-taking-measurements-from-casts/" TargetMode="External"/><Relationship Id="rId18" Type="http://schemas.openxmlformats.org/officeDocument/2006/relationships/hyperlink" Target="https://web.archive.org/web/2/https://svpow.com/2019/11/04/dystylosaurus-reminds-you-to-beware-of-taking-measurements-from-casts/"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28840</TotalTime>
  <Application>LibreOffice/7.4.1.2$MacOSX_X86_64 LibreOffice_project/3c58a8f3a960df8bc8fd77b461821e42c061c5f0</Application>
  <AppVersion>15.0000</AppVersion>
  <Pages>31</Pages>
  <Words>15986</Words>
  <Characters>84287</Characters>
  <CharactersWithSpaces>99768</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2022-10-29T13:57:35Z</dcterms:modified>
  <cp:revision>760</cp:revision>
  <dc:subject/>
  <dc:title/>
</cp:coreProperties>
</file>

<file path=docProps/custom.xml><?xml version="1.0" encoding="utf-8"?>
<Properties xmlns="http://schemas.openxmlformats.org/officeDocument/2006/custom-properties" xmlns:vt="http://schemas.openxmlformats.org/officeDocument/2006/docPropsVTypes"/>
</file>