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Brian Curtice, David Letasi, Peter May, </w:t>
      </w:r>
      <w:r>
        <w:rPr/>
        <w:t>Anthony Maltese</w:t>
      </w:r>
      <w:r>
        <w:rPr/>
        <w:t xml:space="preserve">, Florian Mildenberger, Kristian Remes, Vincent Reneleau </w:t>
      </w:r>
      <w:r>
        <w:rPr/>
        <w:t>and</w:t>
      </w:r>
      <w:r>
        <w:rPr/>
        <w:t xml:space="preserve">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w:t>
      </w:r>
      <w:r>
        <w:rPr/>
        <w:t>(Anthony Maltese, pers. comm., 2022)</w:t>
      </w:r>
      <w:r>
        <w:rPr/>
        <w:t>. People from left to right:</w:t>
      </w:r>
    </w:p>
    <w:p>
      <w:pPr>
        <w:pStyle w:val="FigureCaption"/>
        <w:numPr>
          <w:ilvl w:val="0"/>
          <w:numId w:val="8"/>
        </w:numPr>
        <w:rPr/>
      </w:pPr>
      <w:r>
        <w:rPr/>
        <w:t xml:space="preserve">Seated, facing right: perhaps </w:t>
      </w:r>
      <w:r>
        <w:rPr>
          <w:highlight w:val="yellow"/>
        </w:rPr>
        <w:t>Thompson XXX who is he? Ask ReBecca Hunt-Foster</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28347</TotalTime>
  <Application>LibreOffice/6.1.3.2$MacOSX_X86_64 LibreOffice_project/86daf60bf00efa86ad547e59e09d6bb77c699acb</Application>
  <Pages>30</Pages>
  <Words>14690</Words>
  <Characters>77036</Characters>
  <CharactersWithSpaces>91234</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2022-09-21T01:13:26Z</dcterms:modified>
  <cp:revision>715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