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4</w:t>
            </w:r>
          </w:hyperlink>
        </w:p>
        <w:p>
          <w:pPr>
            <w:pStyle w:val="Contents1"/>
            <w:tabs>
              <w:tab w:val="right" w:pos="9638" w:leader="dot"/>
            </w:tabs>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18</w:t>
            </w:r>
          </w:hyperlink>
        </w:p>
        <w:p>
          <w:pPr>
            <w:pStyle w:val="Contents2"/>
            <w:tabs>
              <w:tab w:val="clear" w:pos="9355"/>
              <w:tab w:val="right" w:pos="9638" w:leader="dot"/>
            </w:tabs>
            <w:rPr/>
          </w:pPr>
          <w:hyperlink w:anchor="__RefHeading___Toc3282_55120580">
            <w:r>
              <w:rPr>
                <w:rStyle w:val="IndexLink"/>
              </w:rPr>
              <w:t>The casts made from the Carnegie molds</w:t>
              <w:tab/>
              <w:t>20</w:t>
            </w:r>
          </w:hyperlink>
        </w:p>
        <w:p>
          <w:pPr>
            <w:pStyle w:val="Contents2"/>
            <w:tabs>
              <w:tab w:val="clear" w:pos="9355"/>
              <w:tab w:val="right" w:pos="9638" w:leader="dot"/>
            </w:tabs>
            <w:rPr/>
          </w:pPr>
          <w:hyperlink w:anchor="__RefHeading___Toc4161_3033613513">
            <w:r>
              <w:rPr>
                <w:rStyle w:val="IndexLink"/>
              </w:rPr>
              <w:t>Updates to the casts</w:t>
              <w:tab/>
              <w:t>20</w:t>
            </w:r>
          </w:hyperlink>
        </w:p>
        <w:p>
          <w:pPr>
            <w:pStyle w:val="Contents1"/>
            <w:tabs>
              <w:tab w:val="right" w:pos="9638" w:leader="dot"/>
            </w:tabs>
            <w:rPr/>
          </w:pPr>
          <w:hyperlink w:anchor="__RefHeading___Toc3401_68767826">
            <w:r>
              <w:rPr>
                <w:rStyle w:val="IndexLink"/>
              </w:rPr>
              <w:t>Discussion</w:t>
              <w:tab/>
              <w:t>22</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22</w:t>
            </w:r>
          </w:hyperlink>
        </w:p>
        <w:p>
          <w:pPr>
            <w:pStyle w:val="Contents2"/>
            <w:tabs>
              <w:tab w:val="clear" w:pos="9355"/>
              <w:tab w:val="right" w:pos="9638" w:leader="dot"/>
            </w:tabs>
            <w:rPr/>
          </w:pPr>
          <w:hyperlink w:anchor="__RefHeading___Toc3652_2595815751">
            <w:r>
              <w:rPr>
                <w:rStyle w:val="IndexLink"/>
              </w:rPr>
              <w:t>Documenting skeletal mounts</w:t>
              <w:tab/>
              <w:t>24</w:t>
            </w:r>
          </w:hyperlink>
        </w:p>
        <w:p>
          <w:pPr>
            <w:pStyle w:val="Contents1"/>
            <w:tabs>
              <w:tab w:val="right" w:pos="9638" w:leader="dot"/>
            </w:tabs>
            <w:rPr/>
          </w:pPr>
          <w:hyperlink w:anchor="__RefHeading___Toc1833_55120580">
            <w:r>
              <w:rPr>
                <w:rStyle w:val="IndexLink"/>
              </w:rPr>
              <w:t>Acknowledgements</w:t>
              <w:tab/>
              <w:t>24</w:t>
            </w:r>
          </w:hyperlink>
        </w:p>
        <w:p>
          <w:pPr>
            <w:pStyle w:val="Contents1"/>
            <w:tabs>
              <w:tab w:val="right" w:pos="9638" w:leader="dot"/>
            </w:tabs>
            <w:rPr/>
          </w:pPr>
          <w:hyperlink w:anchor="__RefHeading___Toc3405_68767826">
            <w:r>
              <w:rPr>
                <w:rStyle w:val="IndexLink"/>
              </w:rPr>
              <w:t>References</w:t>
              <w:tab/>
              <w:t>25</w:t>
            </w:r>
          </w:hyperlink>
        </w:p>
        <w:p>
          <w:pPr>
            <w:pStyle w:val="Contents1"/>
            <w:tabs>
              <w:tab w:val="right" w:pos="9638" w:leader="dot"/>
            </w:tabs>
            <w:rPr/>
          </w:pPr>
          <w:hyperlink w:anchor="__RefHeading___Toc4163_3033613513">
            <w:r>
              <w:rPr>
                <w:rStyle w:val="IndexLink"/>
              </w:rPr>
              <w:t>Tables</w:t>
              <w:tab/>
              <w:t>32</w:t>
            </w:r>
          </w:hyperlink>
        </w:p>
        <w:p>
          <w:pPr>
            <w:pStyle w:val="Contents1"/>
            <w:tabs>
              <w:tab w:val="right" w:pos="9638" w:leader="dot"/>
            </w:tabs>
            <w:rPr/>
          </w:pPr>
          <w:hyperlink w:anchor="__RefHeading___Toc3407_68767826">
            <w:r>
              <w:rPr>
                <w:rStyle w:val="IndexLink"/>
              </w:rPr>
              <w:t>Figure Captions</w:t>
              <w:tab/>
              <w:t>36</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Tschopp et al. (2019:19–21) referred them to Diplodocinae indet.) </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slated to be replaced in the 2007 remount. </w:t>
      </w:r>
      <w:r>
        <w:rPr/>
        <w:t>Various enquiries were made, but mostly proved unfruitful:</w:t>
      </w:r>
    </w:p>
    <w:p>
      <w:pPr>
        <w:pStyle w:val="TextBody"/>
        <w:numPr>
          <w:ilvl w:val="0"/>
          <w:numId w:val="9"/>
        </w:numPr>
        <w:rPr/>
      </w:pPr>
      <w:r>
        <w:rPr/>
        <w:t>T</w:t>
      </w:r>
      <w:r>
        <w:rPr/>
        <w:t xml:space="preserve">he Smithsonian </w:t>
      </w:r>
      <w:r>
        <w:rPr/>
        <w:t xml:space="preserve">(National Museum of Natural History) has a fine partial skeleton of Diplodocus, </w:t>
      </w:r>
      <w:r>
        <w:rPr/>
        <w:t xml:space="preserve">USNM V 10865, </w:t>
      </w:r>
      <w:r>
        <w:rPr/>
        <w:t>which includes both humeri and ulnae and the right radius, with the right forelimb having been found in articulation (Gilmore 1932:19-20). However, they had no casts on hand and the undermanned vertebrate palaeontology department did not have the necessary resources to mold and cast the required limb bones.</w:t>
      </w:r>
    </w:p>
    <w:p>
      <w:pPr>
        <w:pStyle w:val="TextBody"/>
        <w:numPr>
          <w:ilvl w:val="0"/>
          <w:numId w:val="9"/>
        </w:numPr>
        <w:rPr/>
      </w:pPr>
      <w:r>
        <w:rPr/>
        <w:t>T</w:t>
      </w:r>
      <w:r>
        <w:rPr/>
        <w:t xml:space="preserve">he Sauriermuseum Aathal </w:t>
      </w:r>
      <w:r>
        <w:rPr/>
        <w:t xml:space="preserve">in Switzerland has several diplodocid specimens. The owner, Kirby </w:t>
      </w:r>
      <w:r>
        <w:rPr/>
        <w:t xml:space="preserve">Siber, proposed that limb bones of their specimen XL, about 90% the size of CM 84, might be of use. The cost of purchase for the original fossils proved prohibitive and the option of casting was explored. </w:t>
      </w:r>
      <w:r>
        <w:rPr/>
        <w:t>T</w:t>
      </w:r>
      <w:r>
        <w:rPr/>
        <w:t xml:space="preserve">hese </w:t>
      </w:r>
      <w:r>
        <w:rPr/>
        <w:t xml:space="preserve">plans were </w:t>
      </w:r>
      <w:r>
        <w:rPr/>
        <w:t xml:space="preserve">abandoned, </w:t>
      </w:r>
      <w:r>
        <w:rPr/>
        <w:t xml:space="preserve">though, </w:t>
      </w:r>
      <w:r>
        <w:rPr/>
        <w:t>as the specimen XL did not have a radius and its ulna had also been misplaced.</w:t>
      </w:r>
    </w:p>
    <w:p>
      <w:pPr>
        <w:pStyle w:val="TextBody"/>
        <w:numPr>
          <w:ilvl w:val="0"/>
          <w:numId w:val="9"/>
        </w:numPr>
        <w:rPr/>
      </w:pPr>
      <w:r>
        <w:rPr/>
        <w:t>T</w:t>
      </w:r>
      <w:r>
        <w:rPr/>
        <w:t xml:space="preserve">he Wyoming Dinosaur Centre had relevant elements but they were all too small (about 60% the size of CM 84). </w:t>
      </w:r>
    </w:p>
    <w:p>
      <w:pPr>
        <w:pStyle w:val="TextBody"/>
        <w:numPr>
          <w:ilvl w:val="0"/>
          <w:numId w:val="9"/>
        </w:numPr>
        <w:rPr/>
      </w:pPr>
      <w:r>
        <w:rPr/>
        <w:t>A</w:t>
      </w:r>
      <w:r>
        <w:rPr/>
        <w:t xml:space="preserve">n enquiry about the mounted </w:t>
      </w:r>
      <w:r>
        <w:rPr>
          <w:i/>
          <w:iCs/>
        </w:rPr>
        <w:t>Diplodocus</w:t>
      </w:r>
      <w:r>
        <w:rPr/>
        <w:t xml:space="preserve"> at the Denver Museum of Natural History revealed that its forelimbs were casts from the Carnegie's old forelimb material!</w:t>
      </w:r>
    </w:p>
    <w:p>
      <w:pPr>
        <w:pStyle w:val="TextBody"/>
        <w:rPr/>
      </w:pPr>
      <w:r>
        <w:rPr/>
        <w:t xml:space="preserve">The AMNH, </w:t>
      </w:r>
      <w:r>
        <w:rPr/>
        <w:t xml:space="preserve">Dinosaur National Monument and the Yale Peabody Museum were </w:t>
      </w:r>
      <w:r>
        <w:rPr/>
        <w:t xml:space="preserve">all also </w:t>
      </w:r>
      <w:r>
        <w:rPr/>
        <w:t xml:space="preserve">suggested as possible sources, but </w:t>
      </w:r>
      <w:r>
        <w:rPr/>
        <w:t xml:space="preserve">none </w:t>
      </w:r>
      <w:r>
        <w:rPr/>
        <w:t>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as scaled up. This specimen was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It is generally accepted that caudal vertebrae 32 and 37–73 in the Carnegie mount have always been the original fossils from CM 307. For example, McIntosh (1981:20) credits this specimen as having supplied “distal caudals” and Curtice (1996:73) says “These [CM 307] caudals were used to complete the mount of CM 84, occupying position 32 and 37–73 inclusive”. However, there is a suggestion that the real fossils may have been incorporated only relativ</w:t>
      </w:r>
      <w:r>
        <w:rPr>
          <w:shd w:fill="auto" w:val="clear"/>
        </w:rPr>
        <w:t>ely recently: a database note on the 2007 remounting located by Amy Henrici says “One caudal added from CM 94. Caudals 37–73 were casts in original mount and replaced with caudals from CM 307”. Henrici also found a “specimen removed” tag in the CM 307 drawer in collection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having been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It must be considered possible that only the more proximal caudals of CM 307 were incorporated into the mount in 1907, with casts used for the more distal elements, and the accounts of Holland (1906:254), Curtice (1996:73) and Tschopp et al. (2019:20) are all misleading. It must be remember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 It is possible that only the anteriormost 20 of the CM 207 caudals were included in the 1907 mount, the remaining 18 being provided as casts, with the real material remaining in collections until 2006.</w:t>
      </w:r>
    </w:p>
    <w:p>
      <w:pPr>
        <w:pStyle w:val="TextBody"/>
        <w:rPr/>
      </w:pPr>
      <w:r>
        <w:rPr>
          <w:shd w:fill="auto" w:val="clear"/>
        </w:rPr>
        <w:t>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 to the tail when it was reposed in its present elevated posture, far out of reach of museum visitors.</w:t>
      </w:r>
    </w:p>
    <w:p>
      <w:pPr>
        <w:pStyle w:val="TextBody"/>
        <w:rPr/>
      </w:pPr>
      <w:r>
        <w:rPr>
          <w:shd w:fill="auto" w:val="clear"/>
        </w:rPr>
        <w:t>None of this explains why the one additional CM 94 caudal was not incorporated in the original mount, nor why it was added in the 2007 remount or where in the column it was inserted. One further oddity is that Fraley’s photographs show that two separate caudals of CM 307 were labelled 38A and 38B. This would seem to indicate either that the caudals described as 37–73 actually totalled 37 rather than 36; or that a sequence of 36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highlight w:val="none"/>
          <w:shd w:fill="FFFF00" w:val="clear"/>
        </w:rPr>
      </w:pPr>
      <w:r>
        <w:rPr>
          <w:shd w:fill="FFFF00" w:val="clear"/>
        </w:rPr>
        <w:t>XXX But the extra CM 94 caudal should mean that there at 84 caudals now rather than 83?</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to run a string from the snout along the curve of the vertebral column to the tip of the tail, then measure the lengths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extra distal caudals added in 2007) using a photogrammetric model constructed in November 2022 using RealityCapture, from photographs taken by Carnegie Museum volunteer Hannah Smith (now Hannah Rak) in the early to mid 2010s (Figure O).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This is 2.25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b w:val="false"/>
          <w:b w:val="false"/>
          <w:bCs w:val="false"/>
        </w:rPr>
      </w:pPr>
      <w:r>
        <w:rPr>
          <w:b w:val="false"/>
          <w:bCs w:val="false"/>
        </w:rPr>
        <w:t>Gilmore, C</w:t>
      </w:r>
      <w:r>
        <w:rPr>
          <w:b w:val="false"/>
          <w:bCs w:val="false"/>
        </w:rPr>
        <w:t xml:space="preserve">harles </w:t>
      </w:r>
      <w:r>
        <w:rPr>
          <w:b w:val="false"/>
          <w:bCs w:val="false"/>
        </w:rPr>
        <w:t xml:space="preserve">W. 1932. On a newly mounted skeleton of </w:t>
      </w:r>
      <w:r>
        <w:rPr>
          <w:b w:val="false"/>
          <w:bCs w:val="false"/>
          <w:i/>
          <w:iCs/>
        </w:rPr>
        <w:t>Diplodocus</w:t>
      </w:r>
      <w:r>
        <w:rPr>
          <w:b w:val="false"/>
          <w:bCs w:val="false"/>
        </w:rPr>
        <w:t xml:space="preserve"> in the United States National Museum. </w:t>
      </w:r>
      <w:r>
        <w:rPr>
          <w:b w:val="false"/>
          <w:bCs w:val="false"/>
          <w:i/>
          <w:iCs/>
        </w:rPr>
        <w:t>Proce</w:t>
      </w:r>
      <w:r>
        <w:rPr>
          <w:b w:val="false"/>
          <w:bCs w:val="false"/>
          <w:i/>
          <w:iCs/>
        </w:rPr>
        <w:t>e</w:t>
      </w:r>
      <w:r>
        <w:rPr>
          <w:b w:val="false"/>
          <w:bCs w:val="false"/>
          <w:i/>
          <w:iCs/>
        </w:rPr>
        <w:t>dings of the United States National Museum</w:t>
      </w:r>
      <w:r>
        <w:rPr>
          <w:b w:val="false"/>
          <w:bCs w:val="false"/>
        </w:rPr>
        <w:t xml:space="preserve"> </w:t>
      </w:r>
      <w:r>
        <w:rPr>
          <w:b/>
          <w:bCs/>
        </w:rPr>
        <w:t>81</w:t>
      </w:r>
      <w:r>
        <w:rPr>
          <w:b w:val="false"/>
          <w:bCs w:val="false"/>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 probably two</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30507</TotalTime>
  <Application>LibreOffice/7.4.2.3$MacOSX_X86_64 LibreOffice_project/382eef1f22670f7f4118c8c2dd222ec7ad009daf</Application>
  <AppVersion>15.0000</AppVersion>
  <Pages>39</Pages>
  <Words>19043</Words>
  <Characters>99219</Characters>
  <CharactersWithSpaces>117646</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2022-11-14T12:18:23Z</dcterms:modified>
  <cp:revision>868</cp:revision>
  <dc:subject/>
  <dc:title/>
</cp:coreProperties>
</file>

<file path=docProps/custom.xml><?xml version="1.0" encoding="utf-8"?>
<Properties xmlns="http://schemas.openxmlformats.org/officeDocument/2006/custom-properties" xmlns:vt="http://schemas.openxmlformats.org/officeDocument/2006/docPropsVTypes"/>
</file>