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13</w:t>
            </w:r>
          </w:hyperlink>
        </w:p>
        <w:p>
          <w:pPr>
            <w:pStyle w:val="TOC2"/>
            <w:tabs>
              <w:tab w:val="clear" w:pos="9355"/>
              <w:tab w:val="right" w:pos="9638" w:leader="dot"/>
            </w:tabs>
            <w:rPr/>
          </w:pPr>
          <w:hyperlink w:anchor="__RefHeading___Toc1838_55120580">
            <w:r>
              <w:rPr>
                <w:rStyle w:val="IndexLink"/>
              </w:rPr>
              <w:t>The original mount at the Carnegie Museum</w:t>
              <w:tab/>
              <w:t>13</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18</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19</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35</w:t>
            </w:r>
          </w:hyperlink>
        </w:p>
        <w:p>
          <w:pPr>
            <w:pStyle w:val="TOC1"/>
            <w:rPr/>
          </w:pPr>
          <w:hyperlink w:anchor="__RefHeading___Toc3407_68767826">
            <w:r>
              <w:rPr>
                <w:rStyle w:val="IndexLink"/>
              </w:rPr>
              <w:t>Figure Captions</w:t>
              <w:tab/>
              <w:t>39</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X).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appeared in the valuation made of the castle and its contents before its sale in 1982 </w:t>
      </w:r>
      <w:r>
        <w:rPr>
          <w:lang w:val="en-US"/>
        </w:rPr>
        <w:t>(National Records of Scotland 1974–1997)</w:t>
      </w:r>
      <w:r>
        <w:rPr>
          <w:lang w:val="en-US"/>
        </w:rPr>
        <w:t xml:space="preserve">, and suggested that the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V). All evidence therefore suggests that it was this print that the King saw.</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Factum Arte. 2024. Bronze Dippy replica in production. </w:t>
      </w:r>
      <w:hyperlink r:id="rId7">
        <w:r>
          <w:rPr>
            <w:rStyle w:val="Hyperlink"/>
            <w:lang w:val="en-US"/>
          </w:rPr>
          <w:t>https://www.factum-arte.com/new/892/</w:t>
        </w:r>
      </w:hyperlink>
      <w:r>
        <w:rPr>
          <w:lang w:val="en-US"/>
        </w:rPr>
        <w:t xml:space="preserve">, archived at </w:t>
      </w:r>
      <w:hyperlink r:id="rId8">
        <w:r>
          <w:rPr>
            <w:rStyle w:val="Hyperlink"/>
            <w:lang w:val="en-US"/>
          </w:rPr>
          <w:t>https://web.archive.org/web/20240522223800/https://www.factum-arte.com/new/892/</w:t>
        </w:r>
      </w:hyperlink>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9">
        <w:r>
          <w:rPr>
            <w:rStyle w:val="Hyperlink"/>
            <w:lang w:val="en-US"/>
          </w:rPr>
          <w:t>https://www.nhm.ac.uk/discover/dippy-the-dino-star.html</w:t>
        </w:r>
      </w:hyperlink>
      <w:r>
        <w:rPr>
          <w:lang w:val="en-US"/>
        </w:rPr>
        <w:t xml:space="preserve">, archived at </w:t>
      </w:r>
      <w:hyperlink r:id="rId10">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1">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5">
        <w:r>
          <w:rPr>
            <w:rStyle w:val="Hyperlink"/>
            <w:lang w:val="en-US"/>
          </w:rPr>
          <w:t>https://www.newspapers.com/article/st-louis-globe-democrat-wyoming-dinosau/146581997/</w:t>
        </w:r>
      </w:hyperlink>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pPr>
      <w:r>
        <w:rPr>
          <w:lang w:val="en-US"/>
        </w:rPr>
        <w:t>National Records of Scotland. 1974–1997. Records of the Carnegie United Kingdom Trust 1890–2011: Papers relating to Skibo Castle</w:t>
      </w:r>
      <w:r>
        <w:rPr>
          <w:lang w:val="en-US"/>
        </w:rPr>
        <w:t xml:space="preserve">: Valuation of Pictures, Furniture and Books in Castle. </w:t>
      </w:r>
      <w:r>
        <w:rPr>
          <w:lang w:val="en-US"/>
        </w:rPr>
        <w:t xml:space="preserve">Reference GD281/140. </w:t>
      </w:r>
      <w:hyperlink r:id="rId16">
        <w:r>
          <w:rPr>
            <w:rStyle w:val="Hyperlink"/>
            <w:lang w:val="en-US"/>
          </w:rPr>
          <w:t>https://catalogue.nrscotland.gov.uk/nrsonlinecatalogue/details.aspx?reference=GD281/140/9</w:t>
        </w:r>
      </w:hyperlink>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7">
        <w:r>
          <w:rPr>
            <w:rStyle w:val="Hyperlink"/>
            <w:lang w:val="en-US"/>
          </w:rPr>
          <w:t>https://www.nhm.ac.uk/content/dam/nhmwww/visit/Exhibitions/dippy-returns/dippy-returns-large-print-guide.pdf</w:t>
        </w:r>
      </w:hyperlink>
      <w:r>
        <w:rPr>
          <w:lang w:val="en-US"/>
        </w:rPr>
        <w:t xml:space="preserve">, archived at </w:t>
      </w:r>
      <w:hyperlink r:id="rId18">
        <w:r>
          <w:rPr>
            <w:rStyle w:val="Hyperlink"/>
            <w:lang w:val="en-US"/>
          </w:rPr>
          <w:t>https://web.archive.org/web/20220527100249/https://www.nhm.ac.uk/content/dam/nhmwww/visit/Exhibitions/dippy-returns/dippy-returns-large-print-guide.pdf</w:t>
        </w:r>
      </w:hyperlink>
    </w:p>
    <w:p>
      <w:pPr>
        <w:pStyle w:val="Reference"/>
        <w:rPr>
          <w:lang w:val="en-US"/>
        </w:rPr>
      </w:pPr>
      <w:r>
        <w:rPr>
          <w:lang w:val="en-US"/>
        </w:rPr>
        <w:t xml:space="preserve">Natural History Museum. 2024. Natural History Museum announces opening date of transformed gardens. </w:t>
      </w:r>
      <w:hyperlink r:id="rId19">
        <w:r>
          <w:rPr>
            <w:rStyle w:val="Hyperlink"/>
            <w:lang w:val="en-US"/>
          </w:rPr>
          <w:t>https://www.nhm.ac.uk/press-office/press-releases/natural-history-museum-announces-opening-date-of-transformed-gar.html</w:t>
        </w:r>
      </w:hyperlink>
      <w:r>
        <w:rPr>
          <w:lang w:val="en-US"/>
        </w:rPr>
        <w:t xml:space="preserve">, archived at </w:t>
      </w:r>
      <w:hyperlink r:id="rId20">
        <w:r>
          <w:rPr>
            <w:rStyle w:val="Hyperlink"/>
            <w:lang w:val="en-US"/>
          </w:rPr>
          <w:t>https://web.archive.org/web/20240522221924/https://www.nhm.ac.uk/press-office/press-releases/natural-history-museum-announces-opening-date-of-transformed-gar.html</w:t>
        </w:r>
      </w:hyperlink>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lang w:val="en-US"/>
        </w:rPr>
      </w:pPr>
      <w:bookmarkStart w:id="33" w:name="__DdeLink__2717_3412805200"/>
      <w:r>
        <w:rPr>
          <w:lang w:val="en-US"/>
        </w:rPr>
        <w:t>Riedl-Dor</w:t>
      </w:r>
      <w:bookmarkEnd w:id="33"/>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4" w:name="__DdeLink__1645_2410814995"/>
      <w:r>
        <w:rPr>
          <w:lang w:val="en-US" w:bidi="ar-SA"/>
        </w:rPr>
        <w:t>Schuchert, C. and LeVene, C.M. 1940</w:t>
      </w:r>
      <w:bookmarkEnd w:id="34"/>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21">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doi:10.59350/wkdw7-maa04 — </w:t>
      </w:r>
      <w:hyperlink r:id="rId22">
        <w:r>
          <w:rPr>
            <w:rStyle w:val="Hyperlink"/>
            <w:lang w:val="en-US"/>
          </w:rPr>
          <w:t>https://svpow.com/2014/03/01/the-case-of-the-bandy-legged-diplodocus/</w:t>
        </w:r>
      </w:hyperlink>
      <w:r>
        <w:rPr>
          <w:lang w:val="en-US"/>
        </w:rPr>
        <w:t xml:space="preserve">, archived at </w:t>
      </w:r>
      <w:hyperlink r:id="rId23">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24">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25">
        <w:r>
          <w:rPr>
            <w:rStyle w:val="Hyperlink"/>
            <w:lang w:val="en-US"/>
          </w:rPr>
          <w:t>doi:10.59350/h5xm3-0q551</w:t>
        </w:r>
      </w:hyperlink>
      <w:r>
        <w:rPr>
          <w:lang w:val="en-US"/>
        </w:rPr>
        <w:t xml:space="preserve"> — </w:t>
      </w:r>
      <w:hyperlink r:id="rId26">
        <w:r>
          <w:rPr>
            <w:rStyle w:val="Hyperlink"/>
            <w:lang w:val="en-US"/>
          </w:rPr>
          <w:t>https://svpow.com/2022/11/23/putative-atlantal-ribs-of-diplodocus/</w:t>
        </w:r>
      </w:hyperlink>
      <w:r>
        <w:rPr>
          <w:lang w:val="en-US"/>
        </w:rPr>
        <w:t xml:space="preserve">, archived at </w:t>
      </w:r>
      <w:hyperlink r:id="rId27">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8">
        <w:r>
          <w:rPr>
            <w:rStyle w:val="Hyperlink"/>
            <w:lang w:val="en-US"/>
          </w:rPr>
          <w:t>https://svpow.com/2024/04/27/atlantal-ribs-of-the-carnegie-diplodocus-moscow-and-vienna-casts/</w:t>
        </w:r>
      </w:hyperlink>
      <w:r>
        <w:rPr>
          <w:lang w:val="en-US"/>
        </w:rPr>
        <w:t xml:space="preserve">, archived at </w:t>
      </w:r>
      <w:hyperlink r:id="rId29">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30">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31">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32">
        <w:r>
          <w:rPr>
            <w:rStyle w:val="Hyperlink"/>
            <w:lang w:val="en-US"/>
          </w:rPr>
          <w:t>doi:10.59350/emdw8-96f96</w:t>
        </w:r>
      </w:hyperlink>
      <w:r>
        <w:rPr>
          <w:lang w:val="en-US"/>
        </w:rPr>
        <w:t xml:space="preserve"> — </w:t>
      </w:r>
      <w:hyperlink r:id="rId33">
        <w:r>
          <w:rPr>
            <w:rStyle w:val="Hyperlink"/>
            <w:lang w:val="en-US"/>
          </w:rPr>
          <w:t>https://svpow.com/2009/04/23/mydd/</w:t>
        </w:r>
      </w:hyperlink>
      <w:r>
        <w:rPr>
          <w:lang w:val="en-US"/>
        </w:rPr>
        <w:t xml:space="preserve">, archived at </w:t>
      </w:r>
      <w:hyperlink r:id="rId34">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35">
        <w:r>
          <w:rPr>
            <w:rStyle w:val="Hyperlink"/>
            <w:lang w:val="en-US"/>
          </w:rPr>
          <w:t>doi:10.59350/ffywx-13m34</w:t>
        </w:r>
      </w:hyperlink>
      <w:r>
        <w:rPr>
          <w:lang w:val="en-US"/>
        </w:rPr>
        <w:t xml:space="preserve"> — </w:t>
      </w:r>
      <w:hyperlink r:id="rId36">
        <w:r>
          <w:rPr>
            <w:rStyle w:val="Hyperlink"/>
            <w:lang w:val="en-US"/>
          </w:rPr>
          <w:t>https://svpow.com/2019/11/04/dystylosaurus-reminds-you-to-beware-of-taking-measurements-from-casts/</w:t>
        </w:r>
      </w:hyperlink>
      <w:r>
        <w:rPr>
          <w:lang w:val="en-US"/>
        </w:rPr>
        <w:t xml:space="preserve">, archived at </w:t>
      </w:r>
      <w:hyperlink r:id="rId37">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5" w:name="__RefHeading___Toc4163_3033613513"/>
      <w:bookmarkEnd w:id="35"/>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6" w:name="__DdeLink__2464_3009427828"/>
            <w:r>
              <w:rPr>
                <w:rFonts w:ascii="Liberation Serif" w:hAnsi="Liberation Serif"/>
                <w:color w:val="000000"/>
                <w:lang w:val="en-US"/>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7" w:name="__RefHeading___Toc3407_68767826"/>
      <w:bookmarkEnd w:id="37"/>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lang w:val="en-US"/>
        </w:rPr>
        <w:t xml:space="preserve">Verónica </w:t>
      </w:r>
      <w:bookmarkEnd w:id="38"/>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V.</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Diplodocus. This print is held by the Andrew Carnegie Birthplace Museum as ACBM 1928/461. It is evidently a cut-down copy of the reconstruction from Plate XIII of Hatcher’s (1901) descriptive monograph, with the headings and titles removed. XXX But check this carefully when the good photo arrives!</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38"/>
      <w:headerReference w:type="default" r:id="rId39"/>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factum-arte.com/new/892/" TargetMode="External"/><Relationship Id="rId8" Type="http://schemas.openxmlformats.org/officeDocument/2006/relationships/hyperlink" Target="https://web.archive.org/web/20240522223800/https://www.factum-arte.com/new/892/" TargetMode="External"/><Relationship Id="rId9" Type="http://schemas.openxmlformats.org/officeDocument/2006/relationships/hyperlink" Target="https://www.nhm.ac.uk/discover/dippy-the-dino-star.html" TargetMode="External"/><Relationship Id="rId10" Type="http://schemas.openxmlformats.org/officeDocument/2006/relationships/hyperlink" Target="https://web.archive.org/web/20211218051435/https://www.nhm.ac.uk/discover/dippy-the-dino-star.html"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ewspapers.com/article/st-louis-globe-democrat-wyoming-dinosau/146581997/" TargetMode="External"/><Relationship Id="rId16" Type="http://schemas.openxmlformats.org/officeDocument/2006/relationships/hyperlink" Target="https://catalogue.nrscotland.gov.uk/nrsonlinecatalogue/details.aspx?reference=GD281/140/9" TargetMode="External"/><Relationship Id="rId17" Type="http://schemas.openxmlformats.org/officeDocument/2006/relationships/hyperlink" Target="https://www.nhm.ac.uk/content/dam/nhmwww/visit/Exhibitions/dippy-returns/dippy-returns-large-print-guide.pdf" TargetMode="External"/><Relationship Id="rId18" Type="http://schemas.openxmlformats.org/officeDocument/2006/relationships/hyperlink" Target="https://web.archive.org/web/20220527100249/https://www.nhm.ac.uk/content/dam/nhmwww/visit/Exhibitions/dippy-returns/dippy-returns-large-print-guide.pdf" TargetMode="External"/><Relationship Id="rId19" Type="http://schemas.openxmlformats.org/officeDocument/2006/relationships/hyperlink" Target="https://www.nhm.ac.uk/press-office/press-releases/natural-history-museum-announces-opening-date-of-transformed-gar.html" TargetMode="External"/><Relationship Id="rId20" Type="http://schemas.openxmlformats.org/officeDocument/2006/relationships/hyperlink" Target="https://web.archive.org/web/20240522221924/https://www.nhm.ac.uk/press-office/press-releases/natural-history-museum-announces-opening-date-of-transformed-gar.html" TargetMode="External"/><Relationship Id="rId21" Type="http://schemas.openxmlformats.org/officeDocument/2006/relationships/hyperlink" Target="https://www.spectator.co.uk/article/dippygate-natural-history-museum-s-diplodocus-sacrificed-on-the-commercial-altar" TargetMode="External"/><Relationship Id="rId22" Type="http://schemas.openxmlformats.org/officeDocument/2006/relationships/hyperlink" Target="https://svpow.com/2014/03/01/the-case-of-the-bandy-legged-diplodocus/" TargetMode="External"/><Relationship Id="rId23" Type="http://schemas.openxmlformats.org/officeDocument/2006/relationships/hyperlink" Target="https://web.archive.org/web/20220520095801/https://svpow.com/2014/03/01/the-case-of-the-bandy-legged-diplodocus/" TargetMode="External"/><Relationship Id="rId24" Type="http://schemas.openxmlformats.org/officeDocument/2006/relationships/hyperlink" Target="https://doi.org/10.7717/peerj.12810" TargetMode="External"/><Relationship Id="rId25" Type="http://schemas.openxmlformats.org/officeDocument/2006/relationships/hyperlink" Target="https://doi.org/10.59350/h5xm3-0q551" TargetMode="External"/><Relationship Id="rId26" Type="http://schemas.openxmlformats.org/officeDocument/2006/relationships/hyperlink" Target="https://svpow.com/2022/11/23/putative-atlantal-ribs-of-diplodocus/" TargetMode="External"/><Relationship Id="rId27" Type="http://schemas.openxmlformats.org/officeDocument/2006/relationships/hyperlink" Target="https://web.archive.org/web/20240506151716/https://svpow.com/2022/11/23/putative-atlantal-ribs-of-diplodocus/" TargetMode="External"/><Relationship Id="rId28" Type="http://schemas.openxmlformats.org/officeDocument/2006/relationships/hyperlink" Target="https://svpow.com/2024/04/27/atlantal-ribs-of-the-carnegie-diplodocus-moscow-and-vienna-casts/" TargetMode="External"/><Relationship Id="rId29" Type="http://schemas.openxmlformats.org/officeDocument/2006/relationships/hyperlink" Target="https://web.archive.org/web/20240427225340/https://svpow.com/2024/04/27/atlantal-ribs-of-the-carnegie-diplodocus-moscow-and-vienna-casts/" TargetMode="External"/><Relationship Id="rId30" Type="http://schemas.openxmlformats.org/officeDocument/2006/relationships/hyperlink" Target="https://github.com/MikeTaylor/palaeo-casts" TargetMode="External"/><Relationship Id="rId31" Type="http://schemas.openxmlformats.org/officeDocument/2006/relationships/hyperlink" Target="https://github.com/MikeTaylor/palaeo-baromount" TargetMode="External"/><Relationship Id="rId32" Type="http://schemas.openxmlformats.org/officeDocument/2006/relationships/hyperlink" Target="https://doi.org/10.59350/emdw8-96f96" TargetMode="External"/><Relationship Id="rId33" Type="http://schemas.openxmlformats.org/officeDocument/2006/relationships/hyperlink" Target="https://svpow.com/2009/04/23/mydd/" TargetMode="External"/><Relationship Id="rId34" Type="http://schemas.openxmlformats.org/officeDocument/2006/relationships/hyperlink" Target="https://web.archive.org/web/20220805065019/https://svpow.com/2009/04/23/mydd/" TargetMode="External"/><Relationship Id="rId35" Type="http://schemas.openxmlformats.org/officeDocument/2006/relationships/hyperlink" Target="https://doi.org/10.59350/ffywx-13m34" TargetMode="External"/><Relationship Id="rId36" Type="http://schemas.openxmlformats.org/officeDocument/2006/relationships/hyperlink" Target="https://svpow.com/2019/11/04/dystylosaurus-reminds-you-to-beware-of-taking-measurements-from-casts/" TargetMode="External"/><Relationship Id="rId37" Type="http://schemas.openxmlformats.org/officeDocument/2006/relationships/hyperlink" Target="https://web.archive.org/web/2/https://svpow.com/2019/11/04/dystylosaurus-reminds-you-to-beware-of-taking-measurements-from-casts/"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13341</TotalTime>
  <Application>LibreOffice/24.2.2.2$MacOSX_X86_64 LibreOffice_project/d56cc158d8a96260b836f100ef4b4ef25d6f1a01</Application>
  <AppVersion>15.0000</AppVersion>
  <Pages>43</Pages>
  <Words>23318</Words>
  <Characters>123032</Characters>
  <CharactersWithSpaces>145624</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2024-07-15T12:27:01Z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file>