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716_752413846">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13</w:t>
        </w:r>
      </w:hyperlink>
    </w:p>
    <w:p>
      <w:pPr>
        <w:pStyle w:val="Contents3"/>
        <w:tabs>
          <w:tab w:val="clear" w:pos="9072"/>
          <w:tab w:val="right" w:pos="9638" w:leader="dot"/>
        </w:tabs>
        <w:rPr/>
      </w:pPr>
      <w:hyperlink w:anchor="__RefHeading___Toc3738_2834848739">
        <w:r>
          <w:rPr>
            <w:rStyle w:val="IndexLink"/>
          </w:rPr>
          <w:t>Replacement of skull with cast of CM 11161</w:t>
          <w:tab/>
          <w:t>13</w:t>
        </w:r>
      </w:hyperlink>
    </w:p>
    <w:p>
      <w:pPr>
        <w:pStyle w:val="Contents3"/>
        <w:tabs>
          <w:tab w:val="clear" w:pos="9072"/>
          <w:tab w:val="right" w:pos="9638" w:leader="dot"/>
        </w:tabs>
        <w:rPr/>
      </w:pPr>
      <w:hyperlink w:anchor="__RefHeading___Toc16707_802501007">
        <w:r>
          <w:rPr>
            <w:rStyle w:val="IndexLink"/>
          </w:rPr>
          <w:t>Re-pose of neck</w:t>
          <w:tab/>
          <w:t>14</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14</w:t>
        </w:r>
      </w:hyperlink>
    </w:p>
    <w:p>
      <w:pPr>
        <w:pStyle w:val="Contents3"/>
        <w:tabs>
          <w:tab w:val="clear" w:pos="9072"/>
          <w:tab w:val="right" w:pos="9638" w:leader="dot"/>
        </w:tabs>
        <w:rPr/>
      </w:pPr>
      <w:hyperlink w:anchor="__RefHeading___Toc6555_802501007">
        <w:r>
          <w:rPr>
            <w:rStyle w:val="IndexLink"/>
          </w:rPr>
          <w:t>2007 refurbishment of the dinosaur exhibition</w:t>
          <w:tab/>
          <w:t>15</w:t>
        </w:r>
      </w:hyperlink>
    </w:p>
    <w:p>
      <w:pPr>
        <w:pStyle w:val="Contents3"/>
        <w:tabs>
          <w:tab w:val="clear" w:pos="9072"/>
          <w:tab w:val="right" w:pos="9638" w:leader="dot"/>
        </w:tabs>
        <w:rPr/>
      </w:pPr>
      <w:hyperlink w:anchor="__RefHeading___Toc3742_2834848739">
        <w:r>
          <w:rPr>
            <w:rStyle w:val="IndexLink"/>
          </w:rPr>
          <w:t>Forefeet WDC-FS001A</w:t>
          <w:tab/>
          <w:t>15</w:t>
        </w:r>
      </w:hyperlink>
    </w:p>
    <w:p>
      <w:pPr>
        <w:pStyle w:val="Contents3"/>
        <w:tabs>
          <w:tab w:val="clear" w:pos="9072"/>
          <w:tab w:val="right" w:pos="9638" w:leader="dot"/>
        </w:tabs>
        <w:rPr/>
      </w:pPr>
      <w:hyperlink w:anchor="__RefHeading___Toc3744_2834848739">
        <w:r>
          <w:rPr>
            <w:rStyle w:val="IndexLink"/>
          </w:rPr>
          <w:t>Forelimbs from BYU material</w:t>
          <w:tab/>
          <w:t>15</w:t>
        </w:r>
      </w:hyperlink>
    </w:p>
    <w:p>
      <w:pPr>
        <w:pStyle w:val="Contents3"/>
        <w:tabs>
          <w:tab w:val="clear" w:pos="9072"/>
          <w:tab w:val="right" w:pos="9638" w:leader="dot"/>
        </w:tabs>
        <w:rPr/>
      </w:pPr>
      <w:hyperlink w:anchor="__RefHeading___Toc3746_2834848739">
        <w:r>
          <w:rPr>
            <w:rStyle w:val="IndexLink"/>
          </w:rPr>
          <w:t>Distal caudal vertebrae</w:t>
          <w:tab/>
          <w:t>16</w:t>
        </w:r>
      </w:hyperlink>
    </w:p>
    <w:p>
      <w:pPr>
        <w:pStyle w:val="Contents2"/>
        <w:tabs>
          <w:tab w:val="clear" w:pos="9355"/>
          <w:tab w:val="right" w:pos="9638" w:leader="dot"/>
        </w:tabs>
        <w:rPr/>
      </w:pPr>
      <w:hyperlink w:anchor="__RefHeading___Toc3282_55120580">
        <w:r>
          <w:rPr>
            <w:rStyle w:val="IndexLink"/>
          </w:rPr>
          <w:t>The casts made from the Carnegie molds</w:t>
          <w:tab/>
          <w:t>16</w:t>
        </w:r>
      </w:hyperlink>
    </w:p>
    <w:p>
      <w:pPr>
        <w:pStyle w:val="Contents1"/>
        <w:tabs>
          <w:tab w:val="right" w:pos="9638" w:leader="dot"/>
        </w:tabs>
        <w:rPr/>
      </w:pPr>
      <w:hyperlink w:anchor="__RefHeading___Toc3401_68767826">
        <w:r>
          <w:rPr>
            <w:rStyle w:val="IndexLink"/>
          </w:rPr>
          <w:t>Discussion</w:t>
          <w:tab/>
          <w:t>18</w:t>
        </w:r>
      </w:hyperlink>
    </w:p>
    <w:p>
      <w:pPr>
        <w:pStyle w:val="Contents1"/>
        <w:tabs>
          <w:tab w:val="right" w:pos="9638" w:leader="dot"/>
        </w:tabs>
        <w:rPr/>
      </w:pPr>
      <w:hyperlink w:anchor="__RefHeading___Toc1833_55120580">
        <w:r>
          <w:rPr>
            <w:rStyle w:val="IndexLink"/>
          </w:rPr>
          <w:t>Acknowledgements</w:t>
          <w:tab/>
          <w:t>20</w:t>
        </w:r>
      </w:hyperlink>
    </w:p>
    <w:p>
      <w:pPr>
        <w:pStyle w:val="Contents1"/>
        <w:tabs>
          <w:tab w:val="right" w:pos="9638" w:leader="dot"/>
        </w:tabs>
        <w:rPr/>
      </w:pPr>
      <w:hyperlink w:anchor="__RefHeading___Toc3405_68767826">
        <w:r>
          <w:rPr>
            <w:rStyle w:val="IndexLink"/>
          </w:rPr>
          <w:t>References</w:t>
          <w:tab/>
          <w:t>20</w:t>
        </w:r>
      </w:hyperlink>
    </w:p>
    <w:p>
      <w:pPr>
        <w:pStyle w:val="Contents1"/>
        <w:tabs>
          <w:tab w:val="right" w:pos="9638" w:leader="dot"/>
        </w:tabs>
        <w:rPr/>
      </w:pPr>
      <w:hyperlink w:anchor="__RefHeading___Toc5233_14216418">
        <w:r>
          <w:rPr>
            <w:rStyle w:val="IndexLink"/>
          </w:rPr>
          <w:t>Tables</w:t>
          <w:tab/>
          <w:t>26</w:t>
        </w:r>
      </w:hyperlink>
    </w:p>
    <w:p>
      <w:pPr>
        <w:pStyle w:val="Contents1"/>
        <w:tabs>
          <w:tab w:val="right" w:pos="9638" w:leader="dot"/>
        </w:tabs>
        <w:rPr/>
      </w:pPr>
      <w:hyperlink w:anchor="__RefHeading___Toc3407_68767826">
        <w:r>
          <w:rPr>
            <w:rStyle w:val="IndexLink"/>
          </w:rPr>
          <w:t>Figure Captions</w:t>
          <w:tab/>
          <w:t>28</w:t>
        </w:r>
      </w:hyperlink>
    </w:p>
    <w:p>
      <w:pPr>
        <w:pStyle w:val="Heading1"/>
        <w:rPr/>
      </w:pPr>
      <w:bookmarkStart w:id="1" w:name="__RefHeading___Toc1716_752413846"/>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w:t>
      </w:r>
    </w:p>
    <w:p>
      <w:pPr>
        <w:pStyle w:val="TextBody"/>
        <w:rPr/>
      </w:pPr>
      <w:r>
        <w:rPr/>
        <w:t>In early summer of 1904, the cast created for the British Museum was temporarily mounted as a trial at the Main Hall of the Pittsburgh Exposition Society at The Point in downtown Pittsburgh (</w:t>
      </w:r>
      <w:bookmarkStart w:id="8" w:name="__DdeLink__1838_3070709084"/>
      <w:r>
        <w:rPr/>
        <w:t>photograph in Nieuwland 2019:figure 3.1</w:t>
      </w:r>
      <w:bookmarkEnd w:id="8"/>
      <w:r>
        <w:rPr/>
        <w:t>). At this point, it was the only available building in the city big enough to house the skeleton, work on the museum’s Dinosaur Hall not yet having been completed. The work was done by a team of three: Coggeshall himself aided by Agostini and L. S. Coggeshall. The identity of this last team member is uncertain. The identical surname can hardly be coincidence, and the most like candidate is Coggeshall’s brother Louis. However, his wife, born Jennie Louise Smith, sometimes went by the name Jennie L. S. Coggeshall, so it seems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was interrogated by the German Secret Service at their headquarters under suspicion of being an English spy, until he was able to produce a card signed by the Kaiser explaining the work that he was doing (Coggeshall 1951a).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7" w:name="__RefHeading___Toc3740_2834848739"/>
      <w:bookmarkEnd w:id="17"/>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2" w:name="__RefHeading___Toc3746_2834848739"/>
      <w:bookmarkEnd w:id="22"/>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t>CM 3378</w:t>
      </w:r>
      <w:bookmarkEnd w:id="23"/>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w:t>
      </w:r>
      <w:r>
        <w:rPr/>
        <w:t>ed</w:t>
      </w:r>
      <w:r>
        <w:rPr/>
        <w:t xml:space="preserve"> that the museum was converted into a hospital during World War I and the skeleton dismantled and later remounted, but this contradicts other accounts: </w:t>
      </w:r>
      <w:r>
        <w:rPr/>
        <w:t>it is not included in lists of temporary</w:t>
      </w:r>
      <w:r>
        <w:rPr/>
        <w:t xml:space="preserve"> </w:t>
      </w:r>
      <w:r>
        <w:rPr/>
        <w:t>hospitals at that time. The preponderance of evidence shows that i</w:t>
      </w:r>
      <w:r>
        <w:rPr/>
        <w:t>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5" w:name="__RefHeading___Toc3401_68767826"/>
      <w:bookmarkEnd w:id="25"/>
      <w:r>
        <w:rPr/>
        <w:t>Discussion</w:t>
      </w:r>
    </w:p>
    <w:p>
      <w:pPr>
        <w:pStyle w:val="TextBody"/>
        <w:ind w:left="0" w:right="0" w:hanging="0"/>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6" w:name="__RefHeading___Toc1833_55120580"/>
      <w:bookmarkEnd w:id="26"/>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Florian Mildenberger, Brian Curtice, Daniela Schwarz, Peter May, Kristian Remes, Vincent Reneleau and David Letasi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7" w:name="__RefHeading___Toc3405_68767826"/>
      <w:bookmarkEnd w:id="27"/>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8" w:name="__DdeLink__2481_14216418"/>
      <w:r>
        <w:rPr/>
        <w:t>Anonymous</w:t>
      </w:r>
      <w:bookmarkEnd w:id="28"/>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29" w:name="__DdeLink__5014_2834848739"/>
      <w:r>
        <w:rPr/>
        <w:t xml:space="preserve">Carnegie Institute. 1934. </w:t>
      </w:r>
      <w:r>
        <w:rPr>
          <w:i/>
          <w:iCs/>
        </w:rPr>
        <w:t>Thirty-seventh annual report of the Carnegie Museum, Carnegie Institute, Pittsburgh</w:t>
      </w:r>
      <w:r>
        <w:rPr/>
        <w:t>.</w:t>
      </w:r>
      <w:bookmarkEnd w:id="29"/>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9">
        <w:r>
          <w:rPr>
            <w:rStyle w:val="InternetLink"/>
            <w:b w:val="false"/>
            <w:bCs w:val="false"/>
          </w:rPr>
          <w:t>https://www.nhm.ac.uk/content/dam/nhmwww/visit/Exhibitions/dippy-returns/dippy-returns-large-print-guide.pdf</w:t>
        </w:r>
      </w:hyperlink>
      <w:r>
        <w:rPr>
          <w:b w:val="false"/>
          <w:bCs w:val="false"/>
        </w:rPr>
        <w:t xml:space="preserve">, archived at </w:t>
      </w:r>
      <w:r>
        <w:rPr>
          <w:b w:val="false"/>
          <w:bCs w:val="false"/>
          <w:highlight w:val="yellow"/>
        </w:rPr>
        <w:t>XXX to do</w:t>
      </w:r>
    </w:p>
    <w:p>
      <w:pPr>
        <w:pStyle w:val="Reference"/>
        <w:rPr/>
      </w:pPr>
      <w:bookmarkStart w:id="30" w:name="__DdeLink__16582_68767826"/>
      <w:r>
        <w:rPr/>
        <w:t>Nieuwland</w:t>
      </w:r>
      <w:bookmarkEnd w:id="30"/>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0">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 xml:space="preserve">:32–35. </w:t>
      </w:r>
      <w:r>
        <w:rPr>
          <w:rFonts w:cs="Alkes" w:ascii="Baskerville Old Face" w:hAnsi="Baskerville Old Face"/>
          <w:kern w:val="0"/>
          <w:highlight w:val="yellow"/>
          <w:lang w:bidi="ar-SA"/>
        </w:rPr>
        <w:t>XXX save a copy of this</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1" w:name="__DdeLink__2717_3412805200"/>
      <w:r>
        <w:rPr>
          <w:rFonts w:ascii="Baskerville Old Face" w:hAnsi="Baskerville Old Face"/>
        </w:rPr>
        <w:t>Riedl-Dorn</w:t>
      </w:r>
      <w:bookmarkEnd w:id="31"/>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2" w:name="__DdeLink__1645_2410814995"/>
      <w:r>
        <w:rPr>
          <w:rFonts w:cs="Alkes" w:ascii="Baskerville Old Face" w:hAnsi="Baskerville Old Face"/>
          <w:kern w:val="0"/>
          <w:lang w:bidi="ar-SA"/>
        </w:rPr>
        <w:t>Schuchert, C. and LeVene, C.M. 1940</w:t>
      </w:r>
      <w:bookmarkEnd w:id="32"/>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1">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2">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3" w:name="__RefHeading___Toc5233_14216418"/>
      <w:bookmarkEnd w:id="33"/>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4"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4"/>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5" w:name="__RefHeading___Toc3407_68767826"/>
      <w:bookmarkEnd w:id="35"/>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6" w:name="__DdeLink__1645_3185452779"/>
      <w:r>
        <w:rPr/>
        <w:t>Verónica Díez Díaz</w:t>
      </w:r>
      <w:bookmarkEnd w:id="36"/>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rPr/>
      </w:pPr>
      <w:r>
        <w:rPr>
          <w:b/>
          <w:bCs/>
        </w:rPr>
        <w:t>Figure I.</w:t>
      </w:r>
      <w:r>
        <w:rPr/>
        <w:t xml:space="preserve"> Carnegie Museum preparation laboratory, with key personnel, in 1903 — probably January 1903, based on the calendar on the right wall.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w:t>
      </w:r>
      <w:r>
        <w:rPr/>
        <w:t xml:space="preserve">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People from left to right:</w:t>
      </w:r>
    </w:p>
    <w:p>
      <w:pPr>
        <w:pStyle w:val="FigureCaption"/>
        <w:numPr>
          <w:ilvl w:val="0"/>
          <w:numId w:val="8"/>
        </w:numPr>
        <w:rPr/>
      </w:pPr>
      <w:r>
        <w:rPr/>
        <w:t xml:space="preserve">Seated, facing right: </w:t>
      </w:r>
      <w:r>
        <w:rPr/>
        <w:t xml:space="preserve">perhaps </w:t>
      </w:r>
      <w:r>
        <w:rPr>
          <w:highlight w:val="yellow"/>
        </w:rPr>
        <w:t xml:space="preserve">Thompson </w:t>
      </w:r>
      <w:r>
        <w:rPr>
          <w:highlight w:val="yellow"/>
        </w:rPr>
        <w:t>XXX who is he? Ask ReBecca Hunt-Foster</w:t>
      </w:r>
    </w:p>
    <w:p>
      <w:pPr>
        <w:pStyle w:val="FigureCaption"/>
        <w:numPr>
          <w:ilvl w:val="0"/>
          <w:numId w:val="8"/>
        </w:numPr>
        <w:rPr/>
      </w:pPr>
      <w:r>
        <w:rPr/>
        <w:t xml:space="preserve">Standing at back: </w:t>
      </w:r>
      <w:r>
        <w:rPr/>
        <w:t xml:space="preserve">chief preparator </w:t>
      </w:r>
      <w:r>
        <w:rPr/>
        <w:t>Arthur S. Coggeshall</w:t>
      </w:r>
    </w:p>
    <w:p>
      <w:pPr>
        <w:pStyle w:val="FigureCaption"/>
        <w:numPr>
          <w:ilvl w:val="0"/>
          <w:numId w:val="8"/>
        </w:numPr>
        <w:rPr/>
      </w:pPr>
      <w:r>
        <w:rPr/>
        <w:t>Seated, looking to camera: preparator Charles W. Gilmore</w:t>
      </w:r>
    </w:p>
    <w:p>
      <w:pPr>
        <w:pStyle w:val="FigureCaption"/>
        <w:numPr>
          <w:ilvl w:val="0"/>
          <w:numId w:val="8"/>
        </w:numPr>
        <w:rPr/>
      </w:pPr>
      <w:r>
        <w:rPr/>
        <w:t xml:space="preserve">Seated at far table: </w:t>
      </w:r>
      <w:r>
        <w:rPr/>
        <w:t xml:space="preserve">field worker </w:t>
      </w:r>
      <w:r>
        <w:rPr/>
        <w:t>Earl Douglass</w:t>
      </w:r>
    </w:p>
    <w:p>
      <w:pPr>
        <w:pStyle w:val="FigureCaption"/>
        <w:numPr>
          <w:ilvl w:val="0"/>
          <w:numId w:val="8"/>
        </w:numPr>
        <w:rPr/>
      </w:pPr>
      <w:r>
        <w:rPr/>
        <w:t xml:space="preserve">Standing behind far table: possibly </w:t>
      </w:r>
      <w:r>
        <w:rPr/>
        <w:t xml:space="preserve">preparator </w:t>
      </w:r>
      <w:r>
        <w:rPr/>
        <w:t xml:space="preserve">Louis Coggeshall, </w:t>
      </w:r>
      <w:r>
        <w:rPr/>
        <w:t>Arthur’s brother</w:t>
      </w:r>
    </w:p>
    <w:p>
      <w:pPr>
        <w:pStyle w:val="FigureCaption"/>
        <w:numPr>
          <w:ilvl w:val="0"/>
          <w:numId w:val="8"/>
        </w:numPr>
        <w:rPr/>
      </w:pPr>
      <w:r>
        <w:rPr/>
        <w:t xml:space="preserve">Sitting at far table, facing left: possibly </w:t>
      </w:r>
      <w:r>
        <w:rPr/>
        <w:t xml:space="preserve">lead sculptor </w:t>
      </w:r>
      <w:r>
        <w:rPr/>
        <w:t>Serafino Agostini.</w:t>
      </w:r>
    </w:p>
    <w:p>
      <w:pPr>
        <w:pStyle w:val="FigureCaption"/>
        <w:numPr>
          <w:ilvl w:val="0"/>
          <w:numId w:val="8"/>
        </w:numPr>
        <w:rPr/>
      </w:pPr>
      <w:r>
        <w:rPr/>
        <w:t xml:space="preserve">Seated: </w:t>
      </w:r>
      <w:r>
        <w:rPr/>
        <w:t>unknown</w:t>
      </w:r>
    </w:p>
    <w:p>
      <w:pPr>
        <w:pStyle w:val="FigureCaption"/>
        <w:numPr>
          <w:ilvl w:val="0"/>
          <w:numId w:val="8"/>
        </w:numP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highlight w:val="yellow"/>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i w:val="false"/>
      <w:iCs w:val="false"/>
    </w:rPr>
  </w:style>
  <w:style w:type="character" w:styleId="ListLabel38">
    <w:name w:val="ListLabel 38"/>
    <w:qFormat/>
    <w:rPr/>
  </w:style>
  <w:style w:type="character" w:styleId="ListLabel39">
    <w:name w:val="ListLabel 39"/>
    <w:qFormat/>
    <w:rPr>
      <w:b w:val="false"/>
      <w:bCs w:val="false"/>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i w:val="false"/>
      <w:iCs w:val="false"/>
    </w:rPr>
  </w:style>
  <w:style w:type="character" w:styleId="ListLabel77">
    <w:name w:val="ListLabel 77"/>
    <w:qFormat/>
    <w:rPr/>
  </w:style>
  <w:style w:type="character" w:styleId="ListLabel78">
    <w:name w:val="ListLabel 78"/>
    <w:qFormat/>
    <w:rPr>
      <w:b w:val="false"/>
      <w:bCs w:val="false"/>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b w:val="false"/>
      <w:bCs w:val="false"/>
    </w:rPr>
  </w:style>
  <w:style w:type="character" w:styleId="VisitedInternetLink">
    <w:name w:val="Visited Internet Link"/>
    <w:rPr>
      <w:color w:val="800000"/>
      <w:u w:val="single"/>
      <w:lang w:val="zxx" w:eastAsia="zxx" w:bidi="zxx"/>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i w:val="false"/>
      <w:iCs w:val="false"/>
    </w:rPr>
  </w:style>
  <w:style w:type="character" w:styleId="ListLabel155">
    <w:name w:val="ListLabel 155"/>
    <w:qFormat/>
    <w:rPr/>
  </w:style>
  <w:style w:type="character" w:styleId="ListLabel156">
    <w:name w:val="ListLabel 156"/>
    <w:qFormat/>
    <w:rPr/>
  </w:style>
  <w:style w:type="character" w:styleId="ListLabel157">
    <w:name w:val="ListLabel 157"/>
    <w:qFormat/>
    <w:rPr>
      <w:b w:val="false"/>
      <w:bCs w:val="false"/>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i w:val="false"/>
      <w:iCs w:val="false"/>
    </w:rPr>
  </w:style>
  <w:style w:type="character" w:styleId="ListLabel195">
    <w:name w:val="ListLabel 195"/>
    <w:qFormat/>
    <w:rPr/>
  </w:style>
  <w:style w:type="character" w:styleId="ListLabel196">
    <w:name w:val="ListLabel 196"/>
    <w:qFormat/>
    <w:rPr/>
  </w:style>
  <w:style w:type="character" w:styleId="ListLabel197">
    <w:name w:val="ListLabel 197"/>
    <w:qFormat/>
    <w:rPr>
      <w:b w:val="false"/>
      <w:bCs w:val="false"/>
    </w:rPr>
  </w:style>
  <w:style w:type="character" w:styleId="ListLabel198">
    <w:name w:val="ListLabel 198"/>
    <w:qFormat/>
    <w:rPr>
      <w:rFonts w:cs="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i w:val="false"/>
      <w:iCs w:val="false"/>
    </w:rPr>
  </w:style>
  <w:style w:type="character" w:styleId="ListLabel235">
    <w:name w:val="ListLabel 235"/>
    <w:qFormat/>
    <w:rPr/>
  </w:style>
  <w:style w:type="character" w:styleId="ListLabel236">
    <w:name w:val="ListLabel 236"/>
    <w:qFormat/>
    <w:rPr/>
  </w:style>
  <w:style w:type="character" w:styleId="ListLabel237">
    <w:name w:val="ListLabel 237"/>
    <w:qFormat/>
    <w:rPr>
      <w:b w:val="false"/>
      <w:bCs w:val="false"/>
    </w:rPr>
  </w:style>
  <w:style w:type="character" w:styleId="ListLabel238">
    <w:name w:val="ListLabel 238"/>
    <w:qFormat/>
    <w:rPr>
      <w:rFonts w:cs="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i w:val="false"/>
      <w:iCs w:val="false"/>
    </w:rPr>
  </w:style>
  <w:style w:type="character" w:styleId="ListLabel275">
    <w:name w:val="ListLabel 275"/>
    <w:qFormat/>
    <w:rPr/>
  </w:style>
  <w:style w:type="character" w:styleId="ListLabel276">
    <w:name w:val="ListLabel 276"/>
    <w:qFormat/>
    <w:rPr/>
  </w:style>
  <w:style w:type="character" w:styleId="ListLabel277">
    <w:name w:val="ListLabel 277"/>
    <w:qFormat/>
    <w:rPr>
      <w:b w:val="false"/>
      <w:b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s://www.nhm.ac.uk/content/dam/nhmwww/visit/Exhibitions/dippy-returns/dippy-returns-large-print-guide.pdf" TargetMode="External"/><Relationship Id="rId10" Type="http://schemas.openxmlformats.org/officeDocument/2006/relationships/hyperlink" Target="http://hdl.handle.net/2246/6497" TargetMode="External"/><Relationship Id="rId11" Type="http://schemas.openxmlformats.org/officeDocument/2006/relationships/hyperlink" Target="https://peacepalacelibrary.nl/blog/2017/diplodocus-carnegii-peace-diplomacy-dinosaur" TargetMode="External"/><Relationship Id="rId12" Type="http://schemas.openxmlformats.org/officeDocument/2006/relationships/hyperlink" Target="https://www.spectator.co.uk/article/dippygate-natural-history-museum-s-diplodocus-sacrificed-on-the-commercial-altar"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28346</TotalTime>
  <Application>LibreOffice/6.1.3.2$MacOSX_X86_64 LibreOffice_project/86daf60bf00efa86ad547e59e09d6bb77c699acb</Application>
  <Pages>30</Pages>
  <Words>14683</Words>
  <Characters>76989</Characters>
  <CharactersWithSpaces>91180</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2022-09-21T00:40:46Z</dcterms:modified>
  <cp:revision>714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