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w:t>
      </w:r>
      <w:r>
        <w:rPr/>
        <w:t>I</w:t>
      </w:r>
      <w:r>
        <w:rPr/>
        <w:t xml:space="preserve">t does not resemble the atlas illustrated by </w:t>
      </w:r>
      <w:r>
        <w:rPr/>
        <w:t>Marsh (1896:plate XXVII, part 1</w:t>
      </w:r>
      <w:r>
        <w:rPr/>
        <w:t xml:space="preserve">) </w:t>
      </w:r>
      <w:r>
        <w:rPr/>
        <w:t xml:space="preserve">as belonging to </w:t>
      </w:r>
      <w:r>
        <w:rPr>
          <w:i/>
          <w:iCs/>
        </w:rPr>
        <w:t>Diplodocus longus</w:t>
      </w:r>
      <w:r>
        <w:rPr/>
        <w:t xml:space="preserve">, and reproduced by </w:t>
      </w:r>
      <w:r>
        <w:rPr/>
        <w:t>Hatcher (1901:figure 4</w:t>
      </w:r>
      <w:r>
        <w:rPr/>
        <w:t>).</w:t>
      </w:r>
      <w:r>
        <w:rPr/>
        <w:t xml:space="preserve"> </w:t>
      </w:r>
      <w:r>
        <w:rPr/>
        <w:t xml:space="preserve">Nor, as noted above, do its neural arches resemble those of AMNH 969, illustrated by Holland (1906:figure 14). </w:t>
      </w:r>
      <w:r>
        <w:rPr/>
        <w:t xml:space="preserve">Furthermore, it seems that the atlas in the present Carnegie mount is different again, having longer and slenderer posterior processes of the neural arch than those in the atlas used for the London cast and presumably for the original Carnegie mount </w:t>
      </w:r>
      <w:r>
        <w:rPr/>
        <w:t>(Figure M)</w:t>
      </w:r>
      <w:r>
        <w:rPr/>
        <w:t>. This change may have been made at the same time that the original skull was replaced by a cast of CM 11161 (see below).</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w:t>
      </w:r>
      <w:r>
        <w:rPr/>
        <w:t xml:space="preserve">provenance of the left </w:t>
      </w:r>
      <w:r>
        <w:rPr/>
        <w:t xml:space="preserve">hindlimb or </w:t>
      </w:r>
      <w:r>
        <w:rPr/>
        <w:t>ilium</w:t>
      </w:r>
      <w:r>
        <w:rPr/>
        <w:t xml:space="preserve"> </w:t>
      </w:r>
      <w:r>
        <w:rPr/>
        <w:t>used in the London cast</w:t>
      </w:r>
      <w:r>
        <w:rPr/>
        <w: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w:t>
      </w:r>
      <w:r>
        <w:rPr/>
        <w:t xml:space="preserve">he </w:t>
      </w:r>
      <w:r>
        <w:rPr/>
        <w:t xml:space="preserve">initial version of the </w:t>
      </w:r>
      <w:r>
        <w:rPr/>
        <w:t xml:space="preserve">Carnegie mount included the obviously incorrect left forelimb of the camarasaurid specimen CM 21775 (Figure E.B, E.E). This remained in place through the 1930s (Figure E.A) and is generally said to have been retained until the 2007 remount (e.g. Tschopp et al. 2019:33). </w:t>
      </w:r>
      <w:r>
        <w:rPr/>
        <w:t>This is almost certainly correct, but it is notable tha</w:t>
      </w:r>
      <w:r>
        <w:rPr/>
        <w:t>t</w:t>
      </w:r>
      <w:r>
        <w:rPr/>
        <w:t xml:space="preserve"> in a photograph taken </w:t>
      </w:r>
      <w:r>
        <w:rPr/>
        <w:t xml:space="preserve">some time between </w:t>
      </w:r>
      <w:r>
        <w:rPr/>
        <w:t>1985 and 1999 (Figure G) the left humerus appears about as long and as gracile as the right, suggesting the possibility that it may have been replaced some time before then. The apparent difference between forelimb disparity in the 1907 and 1980s/90s mount may however be explain</w:t>
      </w:r>
      <w:r>
        <w:rPr/>
        <w:t>able</w:t>
      </w:r>
      <w:r>
        <w:rPr/>
        <w:t xml:space="preserve"> by the different camera angles and the foreshortening effects produced by their perspectives on the two humeri.</w:t>
      </w:r>
    </w:p>
    <w:p>
      <w:pPr>
        <w:pStyle w:val="TextBody"/>
        <w:rPr/>
      </w:pPr>
      <w:r>
        <w:rPr/>
        <w:t>At any rate, t</w:t>
      </w:r>
      <w:r>
        <w:rPr/>
        <w:t>he right forelimb, having been based on the diplodocine CM 662, was a</w:t>
      </w:r>
      <w:r>
        <w:rPr/>
        <w:t>lways a much</w:t>
      </w:r>
      <w:r>
        <w:rPr/>
        <w:t xml:space="preserve">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xml:space="preserve">, but it seems from Wilhite (2003:148) that BYU 681 is a composite of elements from different taxa — in which </w:t>
      </w:r>
      <w:r>
        <w:rPr/>
        <w:t>case</w:t>
      </w:r>
      <w:r>
        <w:rPr/>
        <w:t xml:space="preserve"> the scaling calculation above may be poorly founded.</w:t>
      </w:r>
    </w:p>
    <w:p>
      <w:pPr>
        <w:pStyle w:val="Heading3"/>
        <w:rPr/>
      </w:pPr>
      <w:bookmarkStart w:id="23" w:name="__RefHeading___Toc3746_2834848739"/>
      <w:bookmarkEnd w:id="23"/>
      <w:r>
        <w:rPr/>
        <w:t>C</w:t>
      </w:r>
      <w:r>
        <w:rPr/>
        <w:t>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is generally accepted that caudal vertebrae </w:t>
      </w:r>
      <w:r>
        <w:rPr/>
        <w:t>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w:t>
      </w:r>
      <w:r>
        <w:rPr>
          <w:shd w:fill="auto" w:val="clear"/>
        </w:rPr>
        <w:t xml:space="preserve">“One caudal added from CM 94. Caudals 37–73 were casts in original mount and replaced with caudals from CM 307”. </w:t>
      </w:r>
      <w:r>
        <w:rPr>
          <w:shd w:fill="auto" w:val="clear"/>
        </w:rPr>
        <w:t>Henrici also found a “specimen removed” tag in the CM 307 drawer in collection indicating that the specimen was removed from the drawer for loan to Phil Fraley on 20 November 2006.</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w:t>
      </w:r>
      <w:r>
        <w:rPr/>
        <w:t>all in left lateral view, scaled to about the same size.</w:t>
      </w:r>
      <w:r>
        <w:rPr/>
        <w:t xml:space="preserv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then only then-known atlas referred to </w:t>
      </w:r>
      <w:r>
        <w:rPr>
          <w:i/>
          <w:iCs/>
        </w:rPr>
        <w:t>Diplodocus</w:t>
      </w:r>
      <w:r>
        <w:rPr/>
        <w:t xml:space="preserve">, although the referral must be considered highly uncertain. The specimen number is unknown. </w:t>
      </w:r>
      <w:r>
        <w:rPr>
          <w:b/>
          <w:bCs/>
        </w:rPr>
        <w:t>B.</w:t>
      </w:r>
      <w:r>
        <w:rPr/>
        <w:t xml:space="preserve"> The atlas of AMNH 969, showing the neural arch in left lateral view (from Holland 1906:figure 14) with a speculative drawing of the intercentrum </w:t>
      </w:r>
      <w:r>
        <w:rPr/>
        <w:t>(</w:t>
      </w:r>
      <w:r>
        <w:rPr/>
        <w:t>which Holland did not illustrate in lateral view</w:t>
      </w:r>
      <w:r>
        <w:rPr/>
        <w:t>)</w:t>
      </w:r>
      <w:r>
        <w:rPr/>
        <w:t xml:space="preserve">. Holland considered this atlas to belong to </w:t>
      </w:r>
      <w:r>
        <w:rPr>
          <w:i/>
          <w:iCs/>
        </w:rPr>
        <w:t>Diplodocus</w:t>
      </w:r>
      <w:r>
        <w:rPr/>
        <w:t>, but Tschopp et al. (2015:</w:t>
      </w:r>
      <w:r>
        <w:rPr/>
        <w:t>219</w:t>
      </w:r>
      <w:r>
        <w:rPr/>
        <w:t xml:space="preserve">) </w:t>
      </w:r>
      <w:r>
        <w:rPr/>
        <w:t xml:space="preserve">referred it to </w:t>
      </w:r>
      <w:r>
        <w:rPr>
          <w:i/>
          <w:iCs/>
        </w:rPr>
        <w:t>Galeamopus</w:t>
      </w:r>
      <w:r>
        <w:rPr/>
        <w:t xml:space="preserve"> sp.</w:t>
      </w:r>
      <w:r>
        <w:rPr/>
        <w:t xml:space="preserve"> </w:t>
      </w:r>
      <w:r>
        <w:rPr>
          <w:b/>
          <w:bCs/>
        </w:rPr>
        <w:t>C.</w:t>
      </w:r>
      <w:r>
        <w:rPr/>
        <w:t xml:space="preserve"> </w:t>
      </w:r>
      <w:r>
        <w:rPr/>
        <w:t>The atlas of the</w:t>
      </w:r>
      <w:r>
        <w:rPr/>
        <w:t xml:space="preserve"> London mount, </w:t>
      </w:r>
      <w:r>
        <w:rPr/>
        <w:t>reproduced from Holland (1906:figure 1)</w:t>
      </w:r>
      <w:r>
        <w:rPr/>
        <w:t xml:space="preserve">. </w:t>
      </w:r>
      <w:r>
        <w:rPr>
          <w:b/>
          <w:bCs/>
        </w:rPr>
        <w:t>D.</w:t>
      </w:r>
      <w:r>
        <w:rPr/>
        <w:t xml:space="preserve"> </w:t>
      </w:r>
      <w:r>
        <w:rPr/>
        <w:t>The atlas of the c</w:t>
      </w:r>
      <w:r>
        <w:rPr/>
        <w:t xml:space="preserve">urrent Carnegie mount. </w:t>
      </w:r>
      <w:r>
        <w:rPr/>
        <w:t xml:space="preserve">Note that this </w:t>
      </w:r>
      <w:r>
        <w:rPr/>
        <w:t>differ</w:t>
      </w:r>
      <w:r>
        <w:rPr/>
        <w:t>s from all three of the other specimens</w:t>
      </w:r>
      <w:r>
        <w:rPr/>
        <w:t>,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29151</TotalTime>
  <Application>LibreOffice/7.4.2.3$MacOSX_X86_64 LibreOffice_project/382eef1f22670f7f4118c8c2dd222ec7ad009daf</Application>
  <AppVersion>15.0000</AppVersion>
  <Pages>36</Pages>
  <Words>17115</Words>
  <Characters>89801</Characters>
  <CharactersWithSpaces>106344</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2022-11-08T01:33:24Z</dcterms:modified>
  <cp:revision>795</cp:revision>
  <dc:subject/>
  <dc:title/>
</cp:coreProperties>
</file>

<file path=docProps/custom.xml><?xml version="1.0" encoding="utf-8"?>
<Properties xmlns="http://schemas.openxmlformats.org/officeDocument/2006/custom-properties" xmlns:vt="http://schemas.openxmlformats.org/officeDocument/2006/docPropsVTypes"/>
</file>