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Holland (1906:254)</w:t>
      </w:r>
      <w:r>
        <w:rPr/>
        <w:t xml:space="preserve"> gave a more precise account of the source of the caudal vertebrae: </w:t>
      </w:r>
      <w:r>
        <w:rPr/>
        <w:t xml:space="preserve">Ca1–12 were from CM 84, </w:t>
      </w:r>
      <w:r>
        <w:rPr/>
        <w:t xml:space="preserve">Ca13–31 and 33–36 were from CM 94, </w:t>
      </w:r>
      <w:r>
        <w:rPr/>
        <w:t>and</w:t>
      </w:r>
      <w:r>
        <w:rPr/>
        <w:t xml:space="preserve"> Ca32 and Ca37–73 inclusive were from CM 307.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Curtice (1996:73) believed that the CM 307 caudals were mounted in a position about six places further back than they should have been.</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is generally accepted that caudal vertebrae </w:t>
      </w:r>
      <w:r>
        <w:rPr/>
        <w:t xml:space="preserve">32 and </w:t>
      </w:r>
      <w:r>
        <w:rPr/>
        <w:t xml:space="preserve">37–73 in the Carnegie mount have always been the original fossils from CM 307. For example, McIntosh </w:t>
      </w:r>
      <w:r>
        <w:rPr/>
        <w:t>(</w:t>
      </w:r>
      <w:r>
        <w:rPr/>
        <w:t>1981:20</w:t>
      </w:r>
      <w:r>
        <w:rPr/>
        <w:t>)</w:t>
      </w:r>
      <w:r>
        <w:rPr/>
        <w:t xml:space="preserve"> credits </w:t>
      </w:r>
      <w:r>
        <w:rPr/>
        <w:t xml:space="preserve">this specimen </w:t>
      </w:r>
      <w:r>
        <w:rPr/>
        <w:t xml:space="preserve">as having supplied “distal caudals” and Curtice (1996:73) says “These [CM 307] caudals were used to complete the mount of CM 84, occupying position 32 and 37–73 inclusive”. However, there is </w:t>
      </w:r>
      <w:r>
        <w:rPr/>
        <w:t>a suggestion</w:t>
      </w:r>
      <w:r>
        <w:rPr/>
        <w:t xml:space="preserve"> that th</w:t>
      </w:r>
      <w:r>
        <w:rPr/>
        <w:t xml:space="preserve">e real fossils </w:t>
      </w:r>
      <w:r>
        <w:rPr/>
        <w:t xml:space="preserve">may have </w:t>
      </w:r>
      <w:r>
        <w:rPr/>
        <w:t xml:space="preserve">been incorporated only </w:t>
      </w:r>
      <w:r>
        <w:rPr/>
        <w:t>relativ</w:t>
      </w:r>
      <w:r>
        <w:rPr>
          <w:shd w:fill="auto" w:val="clear"/>
        </w:rPr>
        <w:t xml:space="preserve">ely recently: </w:t>
      </w:r>
      <w:r>
        <w:rPr>
          <w:shd w:fill="auto" w:val="clear"/>
        </w:rPr>
        <w:t>a</w:t>
      </w:r>
      <w:r>
        <w:rPr>
          <w:shd w:fill="auto" w:val="clear"/>
        </w:rPr>
        <w:t xml:space="preserve">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auto" w:val="clear"/>
        </w:rPr>
        <w:t>However, photographs of caudals 37–46 taken during the remounting a</w:t>
      </w:r>
      <w:r>
        <w:rPr>
          <w:shd w:fill="auto" w:val="clear"/>
        </w:rPr>
        <w:t>nd</w:t>
      </w:r>
      <w:r>
        <w:rPr>
          <w:shd w:fill="auto" w:val="clear"/>
        </w:rPr>
        <w:t xml:space="preserve"> supplied by Phil Fraley clearly show that these elements were real bone and not casts. The best available explanation is that the distal caudals in the original mount were indeed real fossil material from CM 307, but that not all the CM 307 caudals were incorporated in the mount </w:t>
      </w:r>
      <w:r>
        <w:rPr>
          <w:shd w:fill="auto" w:val="clear"/>
        </w:rPr>
        <w:t>at that time.</w:t>
      </w:r>
      <w:r>
        <w:rPr>
          <w:shd w:fill="auto" w:val="clear"/>
        </w:rPr>
        <w:t xml:space="preserve"> </w:t>
      </w:r>
      <w:r>
        <w:rPr>
          <w:shd w:fill="auto" w:val="clear"/>
        </w:rPr>
        <w:t xml:space="preserve">Correspondence </w:t>
      </w:r>
      <w:r>
        <w:rPr>
          <w:shd w:fill="auto" w:val="clear"/>
        </w:rPr>
        <w:t xml:space="preserve">between Matthew Lamanna and </w:t>
      </w:r>
      <w:r>
        <w:rPr>
          <w:shd w:fill="auto" w:val="clear"/>
        </w:rPr>
        <w:t xml:space="preserve">John Scott Lucas confirms that in November 2006 Carnegie staff sent </w:t>
      </w:r>
      <w:r>
        <w:rPr>
          <w:shd w:fill="auto" w:val="clear"/>
        </w:rPr>
        <w:t xml:space="preserve">an unspecified number of </w:t>
      </w:r>
      <w:r>
        <w:rPr>
          <w:shd w:fill="auto" w:val="clear"/>
        </w:rPr>
        <w:t xml:space="preserve">caudal vertebrae from CM 94 and CM 307 to Fraley’s lab. </w:t>
      </w:r>
      <w:r>
        <w:rPr>
          <w:shd w:fill="auto" w:val="clear"/>
        </w:rPr>
        <w:t xml:space="preserve">During the remounting several additional caudals from the CM 307 series were added, along with one additional CM 94 caudal, lengthening the tail. </w:t>
      </w:r>
      <w:r>
        <w:rPr>
          <w:shd w:fill="auto" w:val="clear"/>
        </w:rPr>
        <w:t>Unfortunately, records do not specify which particular vertebrae these were, or where in the tail they were inserted.</w:t>
      </w:r>
      <w:r>
        <w:rPr>
          <w:shd w:fill="auto" w:val="clear"/>
        </w:rPr>
        <w:t xml:space="preserve"> (Fraley’s photographs show that two separate caudals of CM 307 were labelled 38A and 38B. No records have been located explaining this idiosyncratic numbering.)</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digital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Ca 33 and the </w:t>
      </w:r>
      <w:r>
        <w:rPr>
          <w:shd w:fill="auto" w:val="clear"/>
        </w:rPr>
        <w:t xml:space="preserve">tail </w:t>
      </w:r>
      <w:r>
        <w:rPr>
          <w:shd w:fill="auto" w:val="clear"/>
        </w:rPr>
        <w:t xml:space="preserve">tip. The total length was calculated as the sum of the measurements between consecutive markers, </w:t>
      </w:r>
      <w:r>
        <w:rPr>
          <w:shd w:fill="auto" w:val="clear"/>
        </w:rPr>
        <w:t>yielding</w:t>
      </w:r>
      <w:r>
        <w:rPr>
          <w:shd w:fill="auto" w:val="clear"/>
        </w:rPr>
        <w:t xml:space="preserve"> 26.05 m </w:t>
      </w:r>
      <w:r>
        <w:rPr>
          <w:shd w:fill="auto" w:val="clear"/>
        </w:rPr>
        <w:t>(= 85.5 feet)</w:t>
      </w:r>
      <w:r>
        <w:rPr>
          <w:shd w:fill="auto" w:val="clear"/>
        </w:rPr>
        <w:t xml:space="preserve">. </w:t>
      </w:r>
      <w:r>
        <w:rPr>
          <w:shd w:fill="auto" w:val="clear"/>
        </w:rPr>
        <w:t xml:space="preserve">This is 2.25 m longer than the likely 23.8 m of the old mount, </w:t>
      </w:r>
      <w:r>
        <w:rPr>
          <w:shd w:fill="auto" w:val="clear"/>
        </w:rPr>
        <w:t xml:space="preserve">the extra length presumably being due to the additional caudals inserted in the remount. The last few caudals (70–73) of CM 307 average 110 mm in length (Tschopp et al. 2019:table 3). If </w:t>
      </w:r>
      <w:r>
        <w:rPr>
          <w:shd w:fill="auto" w:val="clear"/>
        </w:rPr>
        <w:t xml:space="preserve">the ten </w:t>
      </w:r>
      <w:r>
        <w:rPr>
          <w:shd w:fill="auto" w:val="clear"/>
        </w:rPr>
        <w:t xml:space="preserve">sculpted </w:t>
      </w:r>
      <w:r>
        <w:rPr>
          <w:shd w:fill="auto" w:val="clear"/>
        </w:rPr>
        <w:t xml:space="preserve">whiplash caudals </w:t>
      </w:r>
      <w:r>
        <w:rPr>
          <w:shd w:fill="auto" w:val="clear"/>
        </w:rPr>
        <w:t>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 </w:t>
      </w:r>
      <w:r>
        <w:rPr/>
        <w:t>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w:t>
            </w:r>
            <w:r>
              <w:rPr>
                <w:rFonts w:ascii="Liberation Serif" w:hAnsi="Liberation Serif"/>
                <w:b w:val="false"/>
                <w:bCs w:val="false"/>
                <w:i w:val="false"/>
                <w:iCs w:val="false"/>
                <w:strike w:val="false"/>
                <w:dstrike w:val="false"/>
                <w:outline w:val="false"/>
                <w:shadow w:val="false"/>
                <w:color w:val="000000"/>
                <w:sz w:val="24"/>
                <w:szCs w:val="24"/>
                <w:u w:val="none"/>
              </w:rPr>
              <w:t>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highlight w:val="none"/>
          <w:shd w:fill="FFFF00" w:val="clear"/>
        </w:rPr>
      </w:pPr>
      <w:r>
        <w:rPr>
          <w:shd w:fill="FFFF00" w:val="clear"/>
        </w:rPr>
        <w:t>XXX If allowed by Phil Fraley, add photo of remounting work</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29753</TotalTime>
  <Application>LibreOffice/7.4.2.3$MacOSX_X86_64 LibreOffice_project/382eef1f22670f7f4118c8c2dd222ec7ad009daf</Application>
  <AppVersion>15.0000</AppVersion>
  <Pages>36</Pages>
  <Words>18059</Words>
  <Characters>94343</Characters>
  <CharactersWithSpaces>111812</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2022-11-11T02:50:22Z</dcterms:modified>
  <cp:revision>846</cp:revision>
  <dc:subject/>
  <dc:title/>
</cp:coreProperties>
</file>

<file path=docProps/custom.xml><?xml version="1.0" encoding="utf-8"?>
<Properties xmlns="http://schemas.openxmlformats.org/officeDocument/2006/custom-properties" xmlns:vt="http://schemas.openxmlformats.org/officeDocument/2006/docPropsVTypes"/>
</file>