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yellow"/>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2466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1833_55120580">
            <w:r>
              <w:rPr>
                <w:rStyle w:val="IndexLink"/>
              </w:rPr>
              <w:t>Acknowledgements</w:t>
              <w:tab/>
              <w:t>16</w:t>
            </w:r>
          </w:hyperlink>
        </w:p>
        <w:p>
          <w:pPr>
            <w:pStyle w:val="Contents1"/>
            <w:rPr/>
          </w:pPr>
          <w:hyperlink w:anchor="__RefHeading___Toc3405_68767826">
            <w:r>
              <w:rPr>
                <w:rStyle w:val="IndexLink"/>
              </w:rPr>
              <w:t>References</w:t>
              <w:tab/>
              <w:t>16</w:t>
            </w:r>
          </w:hyperlink>
        </w:p>
        <w:p>
          <w:pPr>
            <w:pStyle w:val="Contents1"/>
            <w:rPr/>
          </w:pPr>
          <w:hyperlink w:anchor="__RefHeading___Toc5233_14216418">
            <w:r>
              <w:rPr>
                <w:rStyle w:val="IndexLink"/>
              </w:rPr>
              <w:t>Tables</w:t>
              <w:tab/>
              <w:t>21</w:t>
            </w:r>
          </w:hyperlink>
        </w:p>
        <w:p>
          <w:pPr>
            <w:pStyle w:val="Contents1"/>
            <w:rPr/>
          </w:pPr>
          <w:hyperlink w:anchor="__RefHeading___Toc3407_68767826">
            <w:r>
              <w:rPr>
                <w:rStyle w:val="IndexLink"/>
              </w:rPr>
              <w:t>Figure Captions</w:t>
              <w:tab/>
              <w:t>23</w:t>
            </w:r>
          </w:hyperlink>
        </w:p>
        <w:p>
          <w:pPr>
            <w:pStyle w:val="Heading1"/>
            <w:rPr/>
          </w:pPr>
          <w:bookmarkStart w:id="1" w:name="__RefHeading___Toc2466_3009427828"/>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highlight w:val="yellow"/>
        </w:rPr>
        <w:t>XXX Mike to make sure this is consistently the case.</w:t>
      </w:r>
    </w:p>
    <w:p>
      <w:pPr>
        <w:pStyle w:val="TextBody"/>
        <w:rPr/>
      </w:pPr>
      <w:bookmarkStart w:id="3" w:name="__DdeLink__4013_3009427828"/>
      <w:bookmarkStart w:id="4" w:name="__DdeLink__23596_802501007"/>
      <w:r>
        <w:rPr/>
        <w:t xml:space="preserve">The diplodocine specimen initially designated CM 662 was moved to the Cleveland Museum of Natural History in November 1956, </w:t>
      </w:r>
      <w:r>
        <w:rPr/>
        <w:t xml:space="preserve">because </w:t>
      </w:r>
      <w:r>
        <w:rPr/>
        <w:t>museum director Graham Netting ha</w:t>
      </w:r>
      <w:r>
        <w:rPr/>
        <w:t xml:space="preserve">d directed </w:t>
      </w:r>
      <w:r>
        <w:rPr/>
        <w:t xml:space="preserve">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w:t>
      </w:r>
      <w:r>
        <w:rPr/>
        <w:t xml:space="preserve">(The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w:t>
      </w:r>
      <w:r>
        <w:rPr/>
        <w:t xml:space="preserve"> </w:t>
      </w:r>
      <w:r>
        <w:rPr/>
        <w:t xml:space="preserve">museum </w:t>
      </w:r>
      <w:r>
        <w:rPr/>
        <w:t xml:space="preserve">mounted </w:t>
      </w:r>
      <w:r>
        <w:rPr/>
        <w:t xml:space="preserve">the skeleton </w:t>
      </w:r>
      <w:r>
        <w:rPr/>
        <w:t xml:space="preserve">in 1975, then restored and remounted </w:t>
      </w:r>
      <w:r>
        <w:rPr/>
        <w:t xml:space="preserve">it </w:t>
      </w:r>
      <w:r>
        <w:rPr/>
        <w:t>between 2013 and 2015. For simplicity we refer to this specimen throughout by its original designation CM 662, as it was under this specimen number that most of its role in this story was played out</w:t>
      </w:r>
      <w:bookmarkEnd w:id="4"/>
      <w:r>
        <w:rPr/>
        <w:t>.</w:t>
      </w:r>
      <w:bookmarkEnd w:id="3"/>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5" w:name="__RefHeading___Toc5349_68767826"/>
      <w:bookmarkEnd w:id="5"/>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6" w:name="__DdeLink__5240_14216418"/>
      <w:r>
        <w:rPr/>
        <w:t>Provo, Utah</w:t>
      </w:r>
      <w:bookmarkEnd w:id="6"/>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 — Humboldt Museum für Naturkunde, Berlin, Germany (now MB).</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MB — Museum für Naturkunde Berlin, Berlin, Germany (previously HMN). Fossil reptile specimens are designated MB.R.xxxx.</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7" w:name="__RefHeading___Toc4316_68767826"/>
      <w:bookmarkEnd w:id="7"/>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8" w:name="__DdeLink__1838_3070709084"/>
      <w:r>
        <w:rPr/>
        <w:t>see photograph in Nieuwland 2019:figure 3.1</w:t>
      </w:r>
      <w:bookmarkEnd w:id="8"/>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skeleton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mount.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81 as stated by Nieuwland 2019:250), Holland arrived in Mexico City together with Coggeshall’s brother Louis, to set up his last </w:t>
      </w:r>
      <w:r>
        <w:rPr>
          <w:i/>
          <w:iCs/>
        </w:rPr>
        <w:t>Diplodocus</w:t>
      </w:r>
      <w:r>
        <w:rPr/>
        <w:t>; a year and a half later, he passed away.</w:t>
      </w:r>
    </w:p>
    <w:p>
      <w:pPr>
        <w:pStyle w:val="TextBody"/>
        <w:rPr/>
      </w:pPr>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Long assumed lost during bombing in 1944, the cast resurfaced in 1977, but has remained in storage ever since. Calls for it to be remounted as one of the attractions of a new museum at the Nymphenburg castle came to nothing, partly because of the museum authorities favoured a lighter and stronger resin cast over the maintenance-intensive plaster one.</w:t>
      </w:r>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this information down?</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3" w:name="__RefHeading___Toc3280_55120580"/>
      <w:bookmarkEnd w:id="13"/>
      <w:r>
        <w:rPr/>
        <w:t>Changes made to the mount at the Carnegie Museum</w:t>
      </w:r>
    </w:p>
    <w:p>
      <w:pPr>
        <w:pStyle w:val="Heading3"/>
        <w:rPr/>
      </w:pPr>
      <w:bookmarkStart w:id="14" w:name="__RefHeading___Toc3738_2834848739"/>
      <w:bookmarkEnd w:id="14"/>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5" w:name="__RefHeading___Toc16707_802501007"/>
      <w:bookmarkEnd w:id="15"/>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6" w:name="__RefHeading___Toc3740_2834848739"/>
      <w:bookmarkEnd w:id="16"/>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G),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7" w:name="__RefHeading___Toc6555_802501007"/>
      <w:bookmarkEnd w:id="17"/>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8" w:name="__RefHeading___Toc3742_2834848739"/>
      <w:bookmarkEnd w:id="18"/>
      <w:r>
        <w:rPr/>
        <w:t>Forefeet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9" w:name="__RefHeading___Toc3744_2834848739"/>
      <w:bookmarkEnd w:id="19"/>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82, but not perfect as discussed above. For this reason, both forelimbs were replaced in the 2007 remount by scaled-up sculptures based on the forelimb bones of a well preserved but smaller specimen of </w:t>
      </w:r>
      <w:r>
        <w:rPr>
          <w:i/>
          <w:iCs/>
        </w:rPr>
        <w:t>Diplodocus</w:t>
      </w:r>
      <w:r>
        <w:rPr/>
        <w:t xml:space="preserve">, BYU 681: specifically, the humerus BYU 681/4742, the radius BYU 681/4726 and the ulna BYU 681/4708 (Tschopp et al. 2019:33). </w:t>
      </w:r>
      <w:r>
        <w:rPr>
          <w:highlight w:val="yellow"/>
        </w:rPr>
        <w:t>XXX Matt, was the entire remount done by Phil Fraley Productions?</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0" w:name="__RefHeading___Toc3746_2834848739"/>
      <w:bookmarkEnd w:id="20"/>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1" w:name="__DdeLink__1281_802501007"/>
      <w:r>
        <w:rPr/>
        <w:t>CM 3378</w:t>
      </w:r>
      <w:bookmarkEnd w:id="21"/>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Amy Henrici’s note for Tschopp et al. 2019 says “One caudal added from CM 94. Caudals 37-73 were casts in original mount and replaced with caudals from Cm 307”. This contradicts McIntosh (1981:20) and Curtice’s dissertation. Matt,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2" w:name="__RefHeading___Toc3282_55120580"/>
      <w:bookmarkEnd w:id="22"/>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 for example, the skull of the Madrid cast was replaced by “a new Carnegie replica” when the exhibit was moved to a new hall in 1935 (Nieuwland 2019:247) and the posture of the La Plata cast was updated when it was moved from Hall V to Hall II in 2012 ( Nieuwland 2019:247).</w:t>
      </w:r>
    </w:p>
    <w:p>
      <w:pPr>
        <w:pStyle w:val="Heading1"/>
        <w:numPr>
          <w:ilvl w:val="0"/>
          <w:numId w:val="3"/>
        </w:numPr>
        <w:ind w:left="0" w:right="0" w:hanging="0"/>
        <w:rPr/>
      </w:pPr>
      <w:bookmarkStart w:id="23" w:name="__RefHeading___Toc3401_68767826"/>
      <w:bookmarkEnd w:id="23"/>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and almost nothing is known about the Yale Peabody Museum’s </w:t>
      </w:r>
      <w:r>
        <w:rPr>
          <w:i/>
          <w:iCs/>
        </w:rPr>
        <w:t>Brontosaurus excelsus</w:t>
      </w:r>
      <w:r>
        <w:rPr/>
        <w:t xml:space="preserve"> mount based on the holotype YPM 1980.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4" w:name="__RefHeading___Toc1833_55120580"/>
      <w:bookmarkEnd w:id="24"/>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5" w:name="__RefHeading___Toc3405_68767826"/>
      <w:bookmarkEnd w:id="25"/>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6" w:name="__DdeLink__2481_14216418"/>
      <w:r>
        <w:rPr/>
        <w:t>Anonymous</w:t>
      </w:r>
      <w:bookmarkEnd w:id="26"/>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7" w:name="__DdeLink__5014_2834848739"/>
      <w:r>
        <w:rPr/>
        <w:t xml:space="preserve">Carnegie Institute. 1934. </w:t>
      </w:r>
      <w:r>
        <w:rPr>
          <w:i/>
          <w:iCs/>
        </w:rPr>
        <w:t>Thirty-seventh annual report of the Carnegie Museum, Carnegie Institute, Pittsburgh</w:t>
      </w:r>
      <w:r>
        <w:rPr/>
        <w:t>.</w:t>
      </w:r>
      <w:bookmarkEnd w:id="27"/>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29" w:name="__RefHeading___Toc5233_14216418"/>
      <w:bookmarkEnd w:id="29"/>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0"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5"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0"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0"/>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1" w:name="__RefHeading___Toc3407_68767826"/>
      <w:bookmarkEnd w:id="31"/>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27080</TotalTime>
  <Application>LibreOffice/6.1.3.2$MacOSX_X86_64 LibreOffice_project/86daf60bf00efa86ad547e59e09d6bb77c699acb</Application>
  <Pages>24</Pages>
  <Words>11706</Words>
  <Characters>61265</Characters>
  <CharactersWithSpaces>72549</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2022-05-31T23:24:06Z</dcterms:modified>
  <cp:revision>620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