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8</w:t>
            </w:r>
          </w:hyperlink>
        </w:p>
        <w:p>
          <w:pPr>
            <w:pStyle w:val="Contents2"/>
            <w:tabs>
              <w:tab w:val="clear" w:pos="9355"/>
              <w:tab w:val="right" w:pos="9638" w:leader="dot"/>
            </w:tabs>
            <w:rPr/>
          </w:pPr>
          <w:hyperlink w:anchor="__RefHeading___Toc3282_55120580">
            <w:r>
              <w:rPr>
                <w:rStyle w:val="IndexLink"/>
              </w:rPr>
              <w:t>The casts made from the Carnegie molds</w:t>
              <w:tab/>
              <w:t>9</w:t>
            </w:r>
          </w:hyperlink>
        </w:p>
        <w:p>
          <w:pPr>
            <w:pStyle w:val="Contents1"/>
            <w:rPr/>
          </w:pPr>
          <w:hyperlink w:anchor="__RefHeading___Toc3401_68767826">
            <w:r>
              <w:rPr>
                <w:rStyle w:val="IndexLink"/>
              </w:rPr>
              <w:t>Discussion</w:t>
              <w:tab/>
              <w:t>9</w:t>
            </w:r>
          </w:hyperlink>
        </w:p>
        <w:p>
          <w:pPr>
            <w:pStyle w:val="Contents1"/>
            <w:rPr/>
          </w:pPr>
          <w:hyperlink w:anchor="__RefHeading___Toc1833_55120580">
            <w:r>
              <w:rPr>
                <w:rStyle w:val="IndexLink"/>
              </w:rPr>
              <w:t>Acknowledgements</w:t>
              <w:tab/>
              <w:t>10</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p>
          <w:pPr>
            <w:pStyle w:val="Heading1"/>
            <w:numPr>
              <w:ilvl w:val="0"/>
              <w:numId w:val="2"/>
            </w:numPr>
            <w:ind w:left="0" w:right="0" w:hanging="0"/>
            <w:rPr/>
          </w:pPr>
          <w:bookmarkStart w:id="1" w:name="__RefHeading___Toc473_2886139872"/>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MNHN — Muséum National d’Histoire Naturelle, Paris, France.</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w:t>
      </w:r>
      <w:r>
        <w:rPr/>
        <w:t>1911</w:t>
      </w:r>
      <w:r>
        <w:rPr/>
        <w:t xml:space="preserve">) and independently Tornier (1909) argued that its erect-legged posture was incorrect, and it should sprawl like a lizard. </w:t>
      </w:r>
      <w:r>
        <w:rPr/>
        <w:t xml:space="preserve">Abel (1910) and </w:t>
      </w:r>
      <w:r>
        <w:rPr/>
        <w:t xml:space="preserve">Holland (1910) emphatically rebutted these suggestions; Matthew (1910) also disagreed — showing rather more respect to Hay than Holland did, </w:t>
      </w:r>
      <w:r>
        <w:rPr/>
        <w:t xml:space="preserve">and critical of Holland’s tone, </w:t>
      </w:r>
      <w:r>
        <w:rPr/>
        <w:t>but dismissive enough of Tornier to write that “the subject appears, frankly, to be somewhat outside the range of his studies, and his comparisons are not broad or thorough enough to be at all convincing”.</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 Cite Figure E for CM 21775.</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H</w:t>
      </w:r>
      <w:r>
        <w:rPr/>
        <w:t>ay</w:t>
      </w:r>
      <w:r>
        <w:rPr/>
        <w:t>, O</w:t>
      </w:r>
      <w:r>
        <w:rPr/>
        <w:t xml:space="preserve">liver </w:t>
      </w:r>
      <w:r>
        <w:rPr/>
        <w:t xml:space="preserve">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23270</TotalTime>
  <Application>LibreOffice/7.3.2.2$Linux_X86_64 LibreOffice_project/30$Build-2</Application>
  <AppVersion>15.0000</AppVersion>
  <Pages>12</Pages>
  <Words>5995</Words>
  <Characters>31714</Characters>
  <CharactersWithSpaces>37517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2022-05-11T12:41:51Z</dcterms:modified>
  <cp:revision>441</cp:revision>
  <dc:subject/>
  <dc:title/>
</cp:coreProperties>
</file>

<file path=docProps/custom.xml><?xml version="1.0" encoding="utf-8"?>
<Properties xmlns="http://schemas.openxmlformats.org/officeDocument/2006/custom-properties" xmlns:vt="http://schemas.openxmlformats.org/officeDocument/2006/docPropsVTypes"/>
</file>