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4018_3009427828">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8</w:t>
        </w:r>
      </w:hyperlink>
    </w:p>
    <w:p>
      <w:pPr>
        <w:pStyle w:val="Contents2"/>
        <w:tabs>
          <w:tab w:val="clear" w:pos="9355"/>
          <w:tab w:val="right" w:pos="9638" w:leader="dot"/>
        </w:tabs>
        <w:rPr/>
      </w:pPr>
      <w:hyperlink w:anchor="__RefHeading___Toc1838_55120580">
        <w:r>
          <w:rPr>
            <w:rStyle w:val="IndexLink"/>
          </w:rPr>
          <w:t>The original mount at the Carnegie Museum</w:t>
          <w:tab/>
          <w:t>8</w:t>
        </w:r>
      </w:hyperlink>
    </w:p>
    <w:p>
      <w:pPr>
        <w:pStyle w:val="Contents2"/>
        <w:tabs>
          <w:tab w:val="clear" w:pos="9355"/>
          <w:tab w:val="right" w:pos="9638" w:leader="dot"/>
        </w:tabs>
        <w:rPr/>
      </w:pPr>
      <w:hyperlink w:anchor="__RefHeading___Toc3280_55120580">
        <w:r>
          <w:rPr>
            <w:rStyle w:val="IndexLink"/>
          </w:rPr>
          <w:t>Changes made to the mount at the Carnegie Museum</w:t>
          <w:tab/>
          <w:t>12</w:t>
        </w:r>
      </w:hyperlink>
    </w:p>
    <w:p>
      <w:pPr>
        <w:pStyle w:val="Contents3"/>
        <w:tabs>
          <w:tab w:val="clear" w:pos="9072"/>
          <w:tab w:val="right" w:pos="9638" w:leader="dot"/>
        </w:tabs>
        <w:rPr/>
      </w:pPr>
      <w:hyperlink w:anchor="__RefHeading___Toc3738_2834848739">
        <w:r>
          <w:rPr>
            <w:rStyle w:val="IndexLink"/>
          </w:rPr>
          <w:t>Replacement of skull with cast of CM 11161</w:t>
          <w:tab/>
          <w:t>12</w:t>
        </w:r>
      </w:hyperlink>
    </w:p>
    <w:p>
      <w:pPr>
        <w:pStyle w:val="Contents3"/>
        <w:tabs>
          <w:tab w:val="clear" w:pos="9072"/>
          <w:tab w:val="right" w:pos="9638" w:leader="dot"/>
        </w:tabs>
        <w:rPr/>
      </w:pPr>
      <w:hyperlink w:anchor="__RefHeading___Toc16707_802501007">
        <w:r>
          <w:rPr>
            <w:rStyle w:val="IndexLink"/>
          </w:rPr>
          <w:t>Re-pose of neck</w:t>
          <w:tab/>
          <w:t>13</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13</w:t>
        </w:r>
      </w:hyperlink>
    </w:p>
    <w:p>
      <w:pPr>
        <w:pStyle w:val="Contents3"/>
        <w:tabs>
          <w:tab w:val="clear" w:pos="9072"/>
          <w:tab w:val="right" w:pos="9638" w:leader="dot"/>
        </w:tabs>
        <w:rPr/>
      </w:pPr>
      <w:hyperlink w:anchor="__RefHeading___Toc6555_802501007">
        <w:r>
          <w:rPr>
            <w:rStyle w:val="IndexLink"/>
          </w:rPr>
          <w:t>2007 refurbishment of the dinosaur exhibition</w:t>
          <w:tab/>
          <w:t>13</w:t>
        </w:r>
      </w:hyperlink>
    </w:p>
    <w:p>
      <w:pPr>
        <w:pStyle w:val="Contents3"/>
        <w:tabs>
          <w:tab w:val="clear" w:pos="9072"/>
          <w:tab w:val="right" w:pos="9638" w:leader="dot"/>
        </w:tabs>
        <w:rPr/>
      </w:pPr>
      <w:hyperlink w:anchor="__RefHeading___Toc3742_2834848739">
        <w:r>
          <w:rPr>
            <w:rStyle w:val="IndexLink"/>
          </w:rPr>
          <w:t>Forefeet WDC-FS001A</w:t>
          <w:tab/>
          <w:t>14</w:t>
        </w:r>
      </w:hyperlink>
    </w:p>
    <w:p>
      <w:pPr>
        <w:pStyle w:val="Contents3"/>
        <w:tabs>
          <w:tab w:val="clear" w:pos="9072"/>
          <w:tab w:val="right" w:pos="9638" w:leader="dot"/>
        </w:tabs>
        <w:rPr/>
      </w:pPr>
      <w:hyperlink w:anchor="__RefHeading___Toc3744_2834848739">
        <w:r>
          <w:rPr>
            <w:rStyle w:val="IndexLink"/>
          </w:rPr>
          <w:t>Forelimbs from BYU material</w:t>
          <w:tab/>
          <w:t>14</w:t>
        </w:r>
      </w:hyperlink>
    </w:p>
    <w:p>
      <w:pPr>
        <w:pStyle w:val="Contents3"/>
        <w:tabs>
          <w:tab w:val="clear" w:pos="9072"/>
          <w:tab w:val="right" w:pos="9638" w:leader="dot"/>
        </w:tabs>
        <w:rPr/>
      </w:pPr>
      <w:hyperlink w:anchor="__RefHeading___Toc3746_2834848739">
        <w:r>
          <w:rPr>
            <w:rStyle w:val="IndexLink"/>
          </w:rPr>
          <w:t>Distal caudal vertebrae</w:t>
          <w:tab/>
          <w:t>14</w:t>
        </w:r>
      </w:hyperlink>
    </w:p>
    <w:p>
      <w:pPr>
        <w:pStyle w:val="Contents2"/>
        <w:tabs>
          <w:tab w:val="clear" w:pos="9355"/>
          <w:tab w:val="right" w:pos="9638" w:leader="dot"/>
        </w:tabs>
        <w:rPr/>
      </w:pPr>
      <w:hyperlink w:anchor="__RefHeading___Toc3282_55120580">
        <w:r>
          <w:rPr>
            <w:rStyle w:val="IndexLink"/>
          </w:rPr>
          <w:t>The casts made from the Carnegie molds</w:t>
          <w:tab/>
          <w:t>15</w:t>
        </w:r>
      </w:hyperlink>
    </w:p>
    <w:p>
      <w:pPr>
        <w:pStyle w:val="Contents1"/>
        <w:tabs>
          <w:tab w:val="right" w:pos="9638" w:leader="dot"/>
        </w:tabs>
        <w:rPr/>
      </w:pPr>
      <w:hyperlink w:anchor="__RefHeading___Toc3401_68767826">
        <w:r>
          <w:rPr>
            <w:rStyle w:val="IndexLink"/>
          </w:rPr>
          <w:t>Discussion</w:t>
          <w:tab/>
          <w:t>15</w:t>
        </w:r>
      </w:hyperlink>
    </w:p>
    <w:p>
      <w:pPr>
        <w:pStyle w:val="Contents1"/>
        <w:tabs>
          <w:tab w:val="right" w:pos="9638" w:leader="dot"/>
        </w:tabs>
        <w:rPr/>
      </w:pPr>
      <w:hyperlink w:anchor="__RefHeading___Toc1833_55120580">
        <w:r>
          <w:rPr>
            <w:rStyle w:val="IndexLink"/>
          </w:rPr>
          <w:t>Acknowledgements</w:t>
          <w:tab/>
          <w:t>16</w:t>
        </w:r>
      </w:hyperlink>
    </w:p>
    <w:p>
      <w:pPr>
        <w:pStyle w:val="Contents1"/>
        <w:tabs>
          <w:tab w:val="right" w:pos="9638" w:leader="dot"/>
        </w:tabs>
        <w:rPr/>
      </w:pPr>
      <w:hyperlink w:anchor="__RefHeading___Toc3405_68767826">
        <w:r>
          <w:rPr>
            <w:rStyle w:val="IndexLink"/>
          </w:rPr>
          <w:t>References</w:t>
          <w:tab/>
          <w:t>16</w:t>
        </w:r>
      </w:hyperlink>
    </w:p>
    <w:p>
      <w:pPr>
        <w:pStyle w:val="Contents1"/>
        <w:tabs>
          <w:tab w:val="right" w:pos="9638" w:leader="dot"/>
        </w:tabs>
        <w:rPr/>
      </w:pPr>
      <w:hyperlink w:anchor="__RefHeading___Toc5233_14216418">
        <w:r>
          <w:rPr>
            <w:rStyle w:val="IndexLink"/>
          </w:rPr>
          <w:t>Tables</w:t>
          <w:tab/>
          <w:t>21</w:t>
        </w:r>
      </w:hyperlink>
    </w:p>
    <w:p>
      <w:pPr>
        <w:pStyle w:val="Contents1"/>
        <w:tabs>
          <w:tab w:val="right" w:pos="9638" w:leader="dot"/>
        </w:tabs>
        <w:rPr/>
      </w:pPr>
      <w:hyperlink w:anchor="__RefHeading___Toc3407_68767826">
        <w:r>
          <w:rPr>
            <w:rStyle w:val="IndexLink"/>
          </w:rPr>
          <w:t>Figure Captions</w:t>
          <w:tab/>
          <w:t>23</w:t>
        </w:r>
      </w:hyperlink>
    </w:p>
    <w:p>
      <w:pPr>
        <w:pStyle w:val="Heading1"/>
        <w:rPr/>
      </w:pPr>
      <w:bookmarkStart w:id="1" w:name="__RefHeading___Toc4018_3009427828"/>
      <w:bookmarkEnd w:id="1"/>
      <w:r>
        <w:rPr/>
        <w:t>Introduction</w:t>
      </w:r>
      <w:r>
        <w:rPr/>
        <w:fldChar w:fldCharType="end"/>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 — Humboldt Museum für Naturkunde, Berlin, Germany (now MB).</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MB — Museum für Naturkunde Berlin, Berlin, Germany (previously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 xml:space="preserve">To defray the high cost of producing the cast, Holland suggested that the molds could be used to create multiple casts which Carnegie could gift to other heads of state. This idea appealed greatly to Carnegie as it allowed him to instrumentalise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too complex,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(Agostini seems to have continued to work for Carnegie Museum for at least another 30 years, as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w:t>
      </w:r>
    </w:p>
    <w:p>
      <w:pPr>
        <w:pStyle w:val="TextBody"/>
        <w:rPr/>
      </w:pPr>
      <w:r>
        <w:rPr/>
        <w:t xml:space="preserve">In late June of 1904, the cast created for the British Museum was temporarily mounted as a trial at the Pittsburgh Exposition Society Hall — </w:t>
      </w:r>
      <w:bookmarkStart w:id="7" w:name="__DdeLink__1838_3070709084"/>
      <w:r>
        <w:rPr/>
        <w:t>see photograph in Nieuwland 2019:figure 3.1</w:t>
      </w:r>
      <w:bookmarkEnd w:id="7"/>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mounted cast was unveiled at the BMNH — see photographs in Holland (1905:plates XVII and XVIII).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The original casts had now all been given away, but requests kept coming in, which led Carnegie and Holland to have another five casts prepared. The first planned donation, to Rio de Janeiro, thwarted by the tumultuous quagmire of Brazilian politics. However, a Russian cast was installed in St. Petersburg in June of 1910, again supervised by Holland (who confided to Carnegie that he was “really getting tired of ‘the old Dip’”, Nieuwland 2019:232) together with Coggeshall.</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8" w:name="__DdeLink__28830_802501007"/>
      <w:r>
        <w:rPr/>
        <w:t>Neshkuchny Palace</w:t>
      </w:r>
      <w:bookmarkEnd w:id="8"/>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Garcá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1951:314). On 28 November, the official unveiling took place, albeit again without the monarch that had been the cast's recipient.</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Moreover, by now he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81 as stated by Nieuwland 2019:250), Holland arrived in Mexico City together with Coggeshall’s brother Louis, to set up his last </w:t>
      </w:r>
      <w:r>
        <w:rPr>
          <w:i/>
          <w:iCs/>
        </w:rPr>
        <w:t>Diplodocus</w:t>
      </w:r>
      <w:r>
        <w:rPr/>
        <w:t>; a year and a half later, he passed away.</w:t>
      </w:r>
    </w:p>
    <w:p>
      <w:pPr>
        <w:pStyle w:val="TextBody"/>
        <w:rPr/>
      </w:pPr>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Long assumed lost during bombing in 1944, the cast resurfaced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p>
    <w:p>
      <w:pPr>
        <w:pStyle w:val="TextBody"/>
        <w:rPr/>
      </w:pPr>
      <w:r>
        <w:rPr/>
        <w:t xml:space="preserve">Although this was the last of the ten plaster casts created at the Carnegie Museum, the molds were to have one final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9" w:name="__DdeLink__25488_802501007"/>
      <w:r>
        <w:rPr>
          <w:b w:val="false"/>
          <w:bCs w:val="false"/>
        </w:rPr>
        <w:t>Untermann</w:t>
      </w:r>
      <w:bookmarkEnd w:id="9"/>
      <w:r>
        <w:rPr>
          <w:b w:val="false"/>
          <w:bCs w:val="false"/>
        </w:rPr>
        <w:t xml:space="preserve"> 1959) and stood until 1989 (Taylor and Sroka, in prep.)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0" w:name="__RefHeading___Toc1836_55120580"/>
      <w:bookmarkEnd w:id="10"/>
      <w:r>
        <w:rPr/>
        <w:t>Material in the mounted skeleton</w:t>
      </w:r>
    </w:p>
    <w:p>
      <w:pPr>
        <w:pStyle w:val="Heading2"/>
        <w:rPr/>
      </w:pPr>
      <w:bookmarkStart w:id="11" w:name="__RefHeading___Toc1838_55120580"/>
      <w:bookmarkEnd w:id="11"/>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highlight w:val="yellow"/>
        </w:rPr>
        <w:t>XXX Matt, do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w:t>
      </w:r>
      <w:r>
        <w:rPr>
          <w:highlight w:val="yellow"/>
        </w:rPr>
        <w:t>XXX Matt, can we track down the ilium, femur and tibia?</w:t>
      </w:r>
      <w:r>
        <w:rPr/>
        <w:t xml:space="preserve"> The paratype specimen CM 94 includes a left femur, which may have been used. (</w:t>
      </w:r>
      <w:r>
        <w:rPr>
          <w:highlight w:val="yellow"/>
        </w:rPr>
        <w:t>XXX Matt, was it?</w:t>
      </w:r>
      <w:r>
        <w:rPr/>
        <w:t xml:space="preserve">)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 This is corroborated by Brinkman’s (2010:240) observation that the London cast “was also missing a long series of chevrons, casts of which had been urgently requested from the American Museum, which was slow to fill the order”.</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12" w:name="__RefHeading___Toc3280_55120580"/>
      <w:bookmarkEnd w:id="12"/>
      <w:r>
        <w:rPr/>
        <w:t>Changes made to the mount at the Carnegie Museum</w:t>
      </w:r>
    </w:p>
    <w:p>
      <w:pPr>
        <w:pStyle w:val="Heading3"/>
        <w:rPr/>
      </w:pPr>
      <w:bookmarkStart w:id="13" w:name="__RefHeading___Toc3738_2834848739"/>
      <w:bookmarkEnd w:id="13"/>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4" w:name="__RefHeading___Toc16707_802501007"/>
      <w:bookmarkEnd w:id="14"/>
      <w:r>
        <w:rPr/>
        <w:t>Re-pose of neck</w:t>
      </w:r>
    </w:p>
    <w:p>
      <w:pPr>
        <w:pStyle w:val="TextBody"/>
        <w:rPr/>
      </w:pPr>
      <w:r>
        <w:rPr/>
        <w:t xml:space="preserve">In a photograph of the mounted </w:t>
      </w:r>
      <w:r>
        <w:rPr>
          <w:i/>
          <w:iCs/>
        </w:rPr>
        <w:t>Diplodocus</w:t>
      </w:r>
      <w:r>
        <w:rPr/>
        <w:t xml:space="preserve"> taken some time between 1980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in 1938 to free the space under the neck and so make space for the tail of the </w:t>
      </w:r>
      <w:r>
        <w:rPr>
          <w:i/>
          <w:iCs/>
        </w:rPr>
        <w:t>Allosaurus</w:t>
      </w:r>
      <w:r>
        <w:rPr/>
        <w:t xml:space="preserve"> mount CM 11844 that was then put on display in front of the Dipodocus (visible in Figure G).</w:t>
      </w:r>
    </w:p>
    <w:p>
      <w:pPr>
        <w:pStyle w:val="TextBody"/>
        <w:rPr/>
      </w:pPr>
      <w:r>
        <w:rPr>
          <w:highlight w:val="yellow"/>
        </w:rPr>
        <w:t>XXX Matt, do you know with more precision when and why this neck elevation was done and by whom?</w:t>
      </w:r>
    </w:p>
    <w:p>
      <w:pPr>
        <w:pStyle w:val="Heading3"/>
        <w:rPr/>
      </w:pPr>
      <w:bookmarkStart w:id="15" w:name="__RefHeading___Toc3740_2834848739"/>
      <w:bookmarkEnd w:id="15"/>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G), although it was already known at the time of mounting that sauropod forefeet had claws on only the first digit (Osborn 1904:181). Only nearly a century later, in the second quarter of 1999, were these error remedied, when Norman Wuerthele and Amy Henrici made casts of the forefeet of CM 662 (Carnegie Institute 1999), which were installed shortly afterwards. Although this individual was originally a Carnegie Museum specimen, by this point it was at the Houston Museum of Natural Science.</w:t>
      </w:r>
    </w:p>
    <w:p>
      <w:pPr>
        <w:pStyle w:val="Heading3"/>
        <w:rPr/>
      </w:pPr>
      <w:bookmarkStart w:id="16" w:name="__RefHeading___Toc6555_802501007"/>
      <w:bookmarkEnd w:id="16"/>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17" w:name="__RefHeading___Toc3742_2834848739"/>
      <w:bookmarkEnd w:id="17"/>
      <w:r>
        <w:rPr/>
        <w:t xml:space="preserve">Forefeet </w:t>
      </w:r>
      <w:bookmarkStart w:id="18" w:name="__DdeLink__2734_4144573659"/>
      <w:r>
        <w:rPr/>
        <w:t>WDC-FS001A</w:t>
      </w:r>
      <w:bookmarkEnd w:id="18"/>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perhaps for this reason (</w:t>
      </w:r>
      <w:r>
        <w:rPr>
          <w:highlight w:val="yellow"/>
        </w:rPr>
        <w:t>XXX Matt, was it?</w:t>
      </w:r>
      <w:r>
        <w:rPr/>
        <w:t xml:space="preserve">)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19" w:name="__RefHeading___Toc3744_2834848739"/>
      <w:bookmarkEnd w:id="19"/>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662, was a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20" w:name="__RefHeading___Toc3746_2834848739"/>
      <w:bookmarkEnd w:id="20"/>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1" w:name="__DdeLink__1281_802501007"/>
      <w:r>
        <w:rPr/>
        <w:t>CM 3378</w:t>
      </w:r>
      <w:bookmarkEnd w:id="21"/>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highlight w:val="yellow"/>
        </w:rPr>
        <w:t>XXX Matt, Amy Henrici’s note for Tschopp et al. 2019 says “One caudal added from CM 94. Caudals 37-73 were casts in original mount and replaced with caudals from Cm 307”. This contradicts McIntosh (1981:20) and Curtice’s dissertation. What do we make of this?</w:t>
      </w:r>
    </w:p>
    <w:p>
      <w:pPr>
        <w:pStyle w:val="TextBody"/>
        <w:rPr>
          <w:highlight w:val="yellow"/>
        </w:rPr>
      </w:pPr>
      <w:r>
        <w:rPr>
          <w:highlight w:val="yellow"/>
        </w:rPr>
        <w:t>XXX Matt, what is the current length of the mount and how was it measured? Photogrammetry, LiDAR scan, string?</w:t>
      </w:r>
    </w:p>
    <w:p>
      <w:pPr>
        <w:pStyle w:val="Heading2"/>
        <w:rPr/>
      </w:pPr>
      <w:bookmarkStart w:id="22" w:name="__RefHeading___Toc3282_55120580"/>
      <w:bookmarkEnd w:id="22"/>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rPr/>
      </w:pPr>
      <w:r>
        <w:rPr/>
        <w:t xml:space="preserve">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The only significant change has been the replacement and elevation of the tail in 1993 (Barrett et al. 2010:43), the dragging paster casts of the original being replaced by lightweight casts in a more dynamic pose. </w:t>
      </w:r>
      <w:r>
        <w:rPr>
          <w:highlight w:val="yellow"/>
        </w:rPr>
        <w:t>XXX Cf. Barrett et al. (2010:30)</w:t>
      </w:r>
    </w:p>
    <w:p>
      <w:pPr>
        <w:pStyle w:val="TextBody"/>
        <w:numPr>
          <w:ilvl w:val="0"/>
          <w:numId w:val="7"/>
        </w:numPr>
        <w:rPr/>
      </w:pPr>
      <w:r>
        <w:rPr/>
        <w:t xml:space="preserve">The Berlin cast was completely remounted in 2006 by Research Casting International, under the supervision of a team led by Kristian Remes, as part of a renovation of the Museum für Naturkunde’s central hall. </w:t>
      </w:r>
      <w:r>
        <w:rPr>
          <w:highlight w:val="yellow"/>
        </w:rPr>
        <w:t>XXX information from Daniela.</w:t>
      </w:r>
    </w:p>
    <w:p>
      <w:pPr>
        <w:pStyle w:val="TextBody"/>
        <w:numPr>
          <w:ilvl w:val="0"/>
          <w:numId w:val="7"/>
        </w:numPr>
        <w:rPr/>
      </w:pPr>
      <w:r>
        <w:rPr/>
        <w:t>The Paris mount remains in its original locations, and is entirely unchanged since its creation in 1908, with the exception that possibly a few tail vertebrae had to be replaced in the mid 20th Century after a mishap. This makes the Paris mount an important and perhaps unique historical artifact in its own right, and it is to be hoped that the MNHN resists the temptation to modernize it.</w:t>
      </w:r>
    </w:p>
    <w:p>
      <w:pPr>
        <w:pStyle w:val="TextBody"/>
        <w:numPr>
          <w:ilvl w:val="0"/>
          <w:numId w:val="7"/>
        </w:numPr>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rPr/>
      </w:pPr>
      <w:r>
        <w:rPr/>
        <w:t xml:space="preserve">The Bologna mount is in original location (although it </w:t>
      </w:r>
      <w:r>
        <w:rPr/>
        <w:t>w</w:t>
      </w:r>
      <w:r>
        <w:rPr/>
        <w:t>as possibly relocated to another hall in the museum and then moved back at some point). Some changes have been made to the pose, with the neck and tail placed in a leftward curve, probably to offer visitors a better view.</w:t>
      </w:r>
    </w:p>
    <w:p>
      <w:pPr>
        <w:pStyle w:val="TextBody"/>
        <w:numPr>
          <w:ilvl w:val="0"/>
          <w:numId w:val="7"/>
        </w:numPr>
        <w:rPr/>
      </w:pPr>
      <w:r>
        <w:rPr/>
        <w:t>The Russian mount has undergone the most adventures of them all. As noted above, having been mounted at the The Imperial Museum at St. Petersburg cast in June 1910, it was moved t</w:t>
      </w:r>
      <w:r>
        <w:rPr/>
        <w:t xml:space="preserve">o Moscow </w:t>
      </w:r>
      <w:r>
        <w:rPr/>
        <w:t>in</w:t>
      </w:r>
      <w:r>
        <w:rPr/>
        <w:t xml:space="preserve"> 1934, remounted </w:t>
      </w:r>
      <w:r>
        <w:rPr/>
        <w:t xml:space="preserve">in </w:t>
      </w:r>
      <w:r>
        <w:rPr/>
        <w:t xml:space="preserve">1937 in the Neshkuchny Palace </w:t>
      </w:r>
      <w:r>
        <w:rPr/>
        <w:t xml:space="preserve">in a bizzare posture with everted elbows, moved to </w:t>
      </w:r>
      <w:r>
        <w:rPr/>
        <w:t xml:space="preserve">storage </w:t>
      </w:r>
      <w:r>
        <w:rPr/>
        <w:t xml:space="preserve">in </w:t>
      </w:r>
      <w:r>
        <w:rPr/>
        <w:t xml:space="preserve">Almaty, Kazakhstan </w:t>
      </w:r>
      <w:r>
        <w:rPr/>
        <w:t xml:space="preserve">from </w:t>
      </w:r>
      <w:r>
        <w:rPr/>
        <w:t xml:space="preserve">1942 </w:t>
      </w:r>
      <w:r>
        <w:rPr/>
        <w:t xml:space="preserve">to </w:t>
      </w:r>
      <w:r>
        <w:rPr/>
        <w:t xml:space="preserve">1944, </w:t>
      </w:r>
      <w:r>
        <w:rPr/>
        <w:t xml:space="preserve">returned to the Neshkuchny Palace, placed in storage in when the museum closed in 1954 and finally remounted in a surprisingly old-fashioned tail-dragging pose in 1987 for </w:t>
      </w:r>
      <w:r>
        <w:rPr/>
        <w:t xml:space="preserve">exhibit in the </w:t>
      </w:r>
      <w:r>
        <w:rPr/>
        <w:t xml:space="preserve">new </w:t>
      </w:r>
      <w:r>
        <w:rPr/>
        <w:t xml:space="preserve">Orlov Museum. </w:t>
      </w:r>
      <w:r>
        <w:rPr/>
        <w:t>So far as we are aware, however, the same original set of casts have remained in use through all these changes.</w:t>
      </w:r>
    </w:p>
    <w:p>
      <w:pPr>
        <w:pStyle w:val="TextBody"/>
        <w:numPr>
          <w:ilvl w:val="0"/>
          <w:numId w:val="7"/>
        </w:numPr>
        <w:rPr/>
      </w:pPr>
      <w:r>
        <w:rPr/>
        <w:t xml:space="preserve">The La Plata mount has been moved within the museum on multiple occasions, and the posture of both the neck and tail changed, similarly to the changes in the Vienna cast </w:t>
      </w:r>
      <w:r>
        <w:rPr/>
        <w:t>(Otero and Gasparini 2014:300–301)</w:t>
      </w:r>
      <w:r>
        <w:rPr/>
        <w:t xml:space="preserve">. The history of this mount is covered in detail by </w:t>
      </w:r>
      <w:bookmarkStart w:id="23" w:name="__DdeLink__4377_3412805200"/>
      <w:r>
        <w:rPr/>
        <w:t>Otero and Gasparini</w:t>
      </w:r>
      <w:bookmarkEnd w:id="23"/>
      <w:r>
        <w:rPr/>
        <w:t xml:space="preserve"> (2014).</w:t>
      </w:r>
    </w:p>
    <w:p>
      <w:pPr>
        <w:pStyle w:val="TextBody"/>
        <w:numPr>
          <w:ilvl w:val="0"/>
          <w:numId w:val="7"/>
        </w:numPr>
        <w:rPr/>
      </w:pPr>
      <w:r>
        <w:rPr>
          <w:highlight w:val="yellow"/>
        </w:rPr>
        <w:t>- Madrid: Moved within the museum, original mount (as far as I could see).</w:t>
      </w:r>
    </w:p>
    <w:p>
      <w:pPr>
        <w:pStyle w:val="TextBody"/>
        <w:numPr>
          <w:ilvl w:val="0"/>
          <w:numId w:val="7"/>
        </w:numPr>
        <w:rPr/>
      </w:pPr>
      <w:r>
        <w:rPr>
          <w:highlight w:val="yellow"/>
        </w:rPr>
        <w:t>XXX Mexico?</w:t>
      </w:r>
    </w:p>
    <w:p>
      <w:pPr>
        <w:pStyle w:val="TextBody"/>
        <w:rPr/>
      </w:pPr>
      <w:r>
        <w:rPr/>
      </w:r>
    </w:p>
    <w:p>
      <w:pPr>
        <w:pStyle w:val="TextBody"/>
        <w:rPr/>
      </w:pPr>
      <w:r>
        <w:rPr/>
        <w:t xml:space="preserve">for example, the skull of the Madrid cast was replaced by “a new Carnegie replica” when the exhibit was moved to a new hall in 1935 (Nieuwland 2019:247) and the posture of the La Plata cast was updated when it was moved from Hall V to Hall II in 2012 (Nieuwland 2019:247). </w:t>
      </w:r>
      <w:r>
        <w:rPr>
          <w:highlight w:val="yellow"/>
        </w:rPr>
        <w:t>XXX Ilja, do we know of other changes?</w:t>
      </w:r>
    </w:p>
    <w:p>
      <w:pPr>
        <w:pStyle w:val="Heading1"/>
        <w:numPr>
          <w:ilvl w:val="0"/>
          <w:numId w:val="3"/>
        </w:numPr>
        <w:ind w:left="0" w:right="0" w:hanging="0"/>
        <w:rPr/>
      </w:pPr>
      <w:bookmarkStart w:id="24" w:name="__RefHeading___Toc3401_68767826"/>
      <w:bookmarkEnd w:id="24"/>
      <w:r>
        <w:rPr/>
        <w:t>Discussion</w:t>
      </w:r>
    </w:p>
    <w:p>
      <w:pPr>
        <w:pStyle w:val="TextBody"/>
        <w:rPr>
          <w:highlight w:val="yellow"/>
        </w:rPr>
      </w:pPr>
      <w:r>
        <w:rPr>
          <w:highlight w:val="yellow"/>
        </w:rPr>
        <w:t>XXX Matt, please help me judge the paragraph that follows. It makes what I think is a really important point, but I am wary of being over-critical. I would appreciate your input in workshopping the language here.</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and almost nothing is known about the Yale Peabody Museum’s </w:t>
      </w:r>
      <w:r>
        <w:rPr>
          <w:i/>
          <w:iCs/>
        </w:rPr>
        <w:t>Brontosaurus excelsus</w:t>
      </w:r>
      <w:r>
        <w:rPr/>
        <w:t xml:space="preserve"> mount based on the holotype YPM 1980.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and Sroka in prep.);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5" w:name="__RefHeading___Toc1833_55120580"/>
      <w:bookmarkEnd w:id="25"/>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Mathew J. Wedel and Josh Franzos for allowing us to use their photographs of the Carnegie mount (Figure A) and of the cast skull of the Carnegie mount (Figure F). Mike Taylor thanks his wife Fiona for tolerating his obsession with historical sauropod mounts that has consumed many months of evenings.</w:t>
      </w:r>
    </w:p>
    <w:p>
      <w:pPr>
        <w:pStyle w:val="Heading1"/>
        <w:numPr>
          <w:ilvl w:val="0"/>
          <w:numId w:val="3"/>
        </w:numPr>
        <w:ind w:left="0" w:right="0" w:hanging="0"/>
        <w:rPr/>
      </w:pPr>
      <w:bookmarkStart w:id="26" w:name="__RefHeading___Toc3405_68767826"/>
      <w:bookmarkEnd w:id="26"/>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27" w:name="__DdeLink__2481_14216418"/>
      <w:r>
        <w:rPr/>
        <w:t>Anonymous</w:t>
      </w:r>
      <w:bookmarkEnd w:id="27"/>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bookmarkStart w:id="28" w:name="__DdeLink__5014_2834848739"/>
      <w:r>
        <w:rPr/>
        <w:t xml:space="preserve">Carnegie Institute. 1934. </w:t>
      </w:r>
      <w:r>
        <w:rPr>
          <w:i/>
          <w:iCs/>
        </w:rPr>
        <w:t>Thirty-seventh annual report of the Carnegie Museum, Carnegie Institute, Pittsburgh</w:t>
      </w:r>
      <w:r>
        <w:rPr/>
        <w:t>.</w:t>
      </w:r>
      <w:bookmarkEnd w:id="28"/>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 More about “Dippy” and Royalty. </w:t>
      </w:r>
      <w:r>
        <w:rPr>
          <w:i/>
          <w:iCs/>
        </w:rPr>
        <w:t>Carnegie Magazine</w:t>
      </w:r>
      <w:r>
        <w:rPr/>
        <w:t xml:space="preserve"> </w:t>
      </w:r>
      <w:r>
        <w:rPr>
          <w:b/>
          <w:bCs/>
        </w:rPr>
        <w:t>25</w:t>
      </w:r>
      <w:r>
        <w:rPr/>
        <w:t>:312–15.</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5">
        <w:r>
          <w:rPr>
            <w:rStyle w:val="InternetLink"/>
          </w:rPr>
          <w:t>https://www.nhm.ac.uk/discover/dippy-the-dino-star.html</w:t>
        </w:r>
      </w:hyperlink>
      <w:r>
        <w:rPr/>
        <w:t xml:space="preserve">, archived at </w:t>
      </w:r>
      <w:hyperlink r:id="rId6">
        <w:r>
          <w:rPr>
            <w:rStyle w:val="InternetLink"/>
          </w:rPr>
          <w:t>https://web.archive.org/web/20211218051435/https://www.nhm.ac.uk/discover/dippy-the-dino-star.html</w:t>
        </w:r>
      </w:hyperlink>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bookmarkStart w:id="29" w:name="__DdeLink__16582_68767826"/>
      <w:r>
        <w:rPr/>
        <w:t>Nieuwland</w:t>
      </w:r>
      <w:bookmarkEnd w:id="29"/>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7">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Pérez-Garcia,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bookmarkStart w:id="30" w:name="__DdeLink__2717_3412805200"/>
      <w:r>
        <w:rPr>
          <w:rFonts w:ascii="Baskerville Old Face" w:hAnsi="Baskerville Old Face"/>
        </w:rPr>
        <w:t>Riedl-Dorn</w:t>
      </w:r>
      <w:bookmarkEnd w:id="30"/>
      <w:r>
        <w:rPr>
          <w:rFonts w:ascii="Baskerville Old Face" w:hAnsi="Baskerville Old Face"/>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8">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9">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and Eugene S. Gaffney. In prep.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1" w:name="__RefHeading___Toc5233_14216418"/>
      <w:bookmarkEnd w:id="31"/>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40"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45"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June 1910 </w:t>
            </w: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 when exactly?</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2"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2"/>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 November 1913</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33" w:name="__RefHeading___Toc3407_68767826"/>
      <w:bookmarkEnd w:id="33"/>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1980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i w:val="false"/>
      <w:iCs w:val="false"/>
    </w:rPr>
  </w:style>
  <w:style w:type="character" w:styleId="ListLabel49">
    <w:name w:val="ListLabel 49"/>
    <w:qFormat/>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i w:val="false"/>
      <w:iCs w:val="false"/>
    </w:rPr>
  </w:style>
  <w:style w:type="character" w:styleId="ListLabel78">
    <w:name w:val="ListLabel 78"/>
    <w:qFormat/>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i w:val="false"/>
      <w:iCs w:val="false"/>
    </w:rPr>
  </w:style>
  <w:style w:type="character" w:styleId="ListLabel116">
    <w:name w:val="ListLabel 116"/>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www.nhm.ac.uk/discover/dippy-the-dino-star.html" TargetMode="External"/><Relationship Id="rId6" Type="http://schemas.openxmlformats.org/officeDocument/2006/relationships/hyperlink" Target="https://web.archive.org/web/20211218051435/https://www.nhm.ac.uk/discover/dippy-the-dino-star.html" TargetMode="External"/><Relationship Id="rId7" Type="http://schemas.openxmlformats.org/officeDocument/2006/relationships/hyperlink" Target="http://hdl.handle.net/2246/6497" TargetMode="External"/><Relationship Id="rId8" Type="http://schemas.openxmlformats.org/officeDocument/2006/relationships/hyperlink" Target="https://peacepalacelibrary.nl/blog/2017/diplodocus-carnegii-peace-diplomacy-dinosaur" TargetMode="External"/><Relationship Id="rId9" Type="http://schemas.openxmlformats.org/officeDocument/2006/relationships/hyperlink" Target="https://www.spectator.co.uk/article/dippygate-natural-history-museum-s-diplodocus-sacrificed-on-the-commercial-altar"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27231</TotalTime>
  <Application>LibreOffice/6.1.3.2$MacOSX_X86_64 LibreOffice_project/86daf60bf00efa86ad547e59e09d6bb77c699acb</Application>
  <Pages>26</Pages>
  <Words>12402</Words>
  <Characters>64922</Characters>
  <CharactersWithSpaces>76875</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2022-08-30T09:01:01Z</dcterms:modified>
  <cp:revision>638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