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w:t>
      </w:r>
      <w:r>
        <w:rPr/>
        <w:t>M</w:t>
      </w:r>
      <w:r>
        <w:rPr/>
        <w:t xml:space="preserve">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TextBody"/>
        <w:rPr/>
      </w:pPr>
      <w:r>
        <w:rPr/>
        <w:t>When measurements are quoted in both feet and meters in either order, e.g. “84 feet (= 25.6 m)” or “23.5 m (= 77 feet)”, the first measurement is as originally reported, and the second is converted.</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an 11th story window. In fact, the dinosaur depicted in this article, “Most colossal animal ever on Earth just found out west”, was extrapolated from a single femur, described as being eight feet long, but shown in a photograph as being the same height as </w:t>
      </w:r>
      <w:r>
        <w:rPr/>
        <w:t>its discoverer, William H. Reed</w:t>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r>
        <w:rPr/>
        <w:t>2</w:t>
      </w:r>
      <w:r>
        <w:rPr/>
        <w:t xml:space="preserve"> July 1899, Dr. Jacob L. Wortman, working for the Carnegie Museum, found the first bones of a largely complete sauropod specimen at Sheep Creek in Albany County, Wyoming (Figure 3). </w:t>
      </w:r>
      <w:r>
        <w:rPr/>
        <w:t>(This date is sometimes given as 4 July — Independence Day — perhaps because that was when Wortman wrote to Holland with information about the new finds.) Wortman</w:t>
      </w:r>
      <w:r>
        <w:rPr/>
        <w:t xml:space="preserve"> and his team (Figure 4) collected </w:t>
      </w:r>
      <w:r>
        <w:rPr/>
        <w:t xml:space="preserve">the skeleton </w:t>
      </w:r>
      <w:r>
        <w:rPr/>
        <w:t xml:space="preserve">across a period of several months (Hatcher 1901:3–4, Nieuwland 2019:44). This specimen was designated CM 84. It consisted of 14 cervical vertebrae C2–15 (although see Taylor 2022:8–11 on uncertainties about the neck material), all 10 dorsal vertebrae D1–10, </w:t>
      </w:r>
      <w:r>
        <w:rPr/>
        <w:t xml:space="preserve">complete </w:t>
      </w:r>
      <w:r>
        <w:rPr/>
        <w:t xml:space="preserve">sacrum </w:t>
      </w:r>
      <w:r>
        <w:rPr/>
        <w:t>S1–S5</w:t>
      </w:r>
      <w:r>
        <w:rPr/>
        <w:t>,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w:t>
      </w:r>
      <w:r>
        <w:rPr/>
        <w:t>neighborhood</w:t>
      </w:r>
      <w:r>
        <w:rPr/>
        <w:t xml:space="preserve">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r>
        <w:rPr/>
        <w:t>although a</w:t>
      </w:r>
      <w:r>
        <w:rPr/>
        <w:t xml:space="preserve"> </w:t>
      </w:r>
      <w:r>
        <w:rPr/>
        <w:t xml:space="preserve">celebratory </w:t>
      </w:r>
      <w:r>
        <w:rPr/>
        <w:t xml:space="preserve">dinner at the prestigious Hotel Adlon was reported widely in the press. </w:t>
      </w:r>
      <w:r>
        <w:rPr/>
        <w:t>T</w:t>
      </w:r>
      <w:r>
        <w:rPr/>
        <w: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 xml:space="preserve">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w:t>
      </w:r>
      <w:r>
        <w:rPr/>
        <w:t>8</w:t>
      </w:r>
      <w:r>
        <w:rPr/>
        <w:t>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Even if the five chevrons of CM 94 accounted for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 xml:space="preserve">Curiously, the skull replacement it is not mentioned in McIntosh’s (1981) account of all the dinosaur specimens at the Carnegie </w:t>
      </w:r>
      <w:r>
        <w:rPr/>
        <w:t>M</w:t>
      </w:r>
      <w:r>
        <w:rPr/>
        <w:t>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 xml:space="preserve">By the turn of the millennium, the original 1907 Dinosaur </w:t>
      </w:r>
      <w:r>
        <w:rPr/>
        <w:t xml:space="preserve">Hall </w:t>
      </w:r>
      <w:r>
        <w:rPr/>
        <w:t>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 xml:space="preserve">Dinosaurs in the </w:t>
      </w:r>
      <w:r>
        <w:rPr>
          <w:i/>
          <w:iCs/>
        </w:rPr>
        <w:t>T</w:t>
      </w:r>
      <w:r>
        <w:rPr>
          <w:i/>
          <w:iCs/>
        </w:rPr>
        <w:t xml:space="preserve">heir </w:t>
      </w:r>
      <w:r>
        <w:rPr>
          <w:i/>
          <w:iCs/>
        </w:rPr>
        <w:t>W</w:t>
      </w:r>
      <w:r>
        <w:rPr>
          <w:i/>
          <w:iCs/>
        </w:rPr>
        <w:t>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replica, Ca13–31 and 33–36 were cast from CM 94, and Ca32 and Ca37–73 were cast from CM 307. It is natural to assume that the corresponding real fossils were used in the Carnegie mount, but 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make up 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likely that the number of CM 94 caudal plaster casts remaining is eight.</w:t>
      </w:r>
    </w:p>
    <w:p>
      <w:pPr>
        <w:pStyle w:val="TextBody"/>
        <w:rPr/>
      </w:pPr>
      <w:r>
        <w:rPr/>
        <w:t xml:space="preserve">The situation is 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relatively recently: the database note located by Henrici continues “Caudals 37–73 were casts in original mount and replaced with caudals from CM 307”. Henrici also found a “specimen removed” tag in the CM 307 drawer in collections indicating that at least some elements of the specimen were removed from the drawer for loan to Phil Fraley on 20 November 2006. (None remain </w:t>
      </w:r>
      <w:r>
        <w:rPr/>
        <w:t>in the drawer</w:t>
      </w:r>
      <w:r>
        <w:rPr/>
        <w:t xml:space="preserve"> today.)</w:t>
      </w:r>
    </w:p>
    <w:p>
      <w:pPr>
        <w:pStyle w:val="TextBody"/>
        <w:rPr/>
      </w:pPr>
      <w: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t>It seems, then, that only the more proximal caudals of CM 307 were included in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t xml:space="preserve">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t>
      </w:r>
      <w:r>
        <w:rPr/>
        <w:t xml:space="preserve">caudals </w:t>
      </w:r>
      <w:r>
        <w:rPr/>
        <w:t>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w:t>
      </w:r>
      <w:r>
        <w:rPr/>
        <w:t xml:space="preserve">been </w:t>
      </w:r>
      <w:r>
        <w:rPr/>
        <w:t xml:space="preserve">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w:t>
      </w:r>
      <w:r>
        <w:rPr/>
        <w:t>T</w:t>
      </w:r>
      <w:r>
        <w:rPr/>
        <w:t>he dragging p</w:t>
      </w:r>
      <w:r>
        <w:rPr/>
        <w:t>l</w:t>
      </w:r>
      <w:r>
        <w:rPr/>
        <w:t xml:space="preserve">aster casts of the original </w:t>
      </w:r>
      <w:r>
        <w:rPr/>
        <w:t>were</w:t>
      </w:r>
      <w:r>
        <w:rPr/>
        <w:t xml:space="preserve"> replaced by lightweight casts in a more dynamic pose that better reflects current understanding of sauropod behaviour, </w:t>
      </w:r>
      <w:r>
        <w:rPr/>
        <w:t>as well as discouraging petty theft</w:t>
      </w:r>
      <w:r>
        <w:rPr/>
        <w:t xml:space="preserve">. At some point, the London cast was assigned its own specimen number, NHMUK PV R8642 (Natural History Museum 2022). As of </w:t>
      </w:r>
      <w:r>
        <w:rPr/>
        <w:t>November</w:t>
      </w:r>
      <w:r>
        <w:rPr/>
        <w:t xml:space="preserve"> 2022 </w:t>
      </w:r>
      <w:r>
        <w:rPr/>
        <w:t xml:space="preserve">(the </w:t>
      </w:r>
      <w:r>
        <w:rPr/>
        <w:t>“Dippy Returns” exhibition</w:t>
      </w:r>
      <w:r>
        <w:rPr/>
        <w:t>)</w:t>
      </w:r>
      <w:r>
        <w:rPr/>
        <w:t xml:space="preserve">, the London mount still has the old three-clawed camarasaurid forefeet in their original splayed posture </w:t>
      </w:r>
      <w:r>
        <w:rPr/>
        <w:t>(Taylor, pers. obs.).</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w:t>
      </w:r>
      <w:r>
        <w:rPr/>
        <w:t xml:space="preserve">its </w:t>
      </w:r>
      <w:r>
        <w:rPr/>
        <w:t>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w:t>
      </w:r>
      <w:r>
        <w:rPr/>
        <w:t xml:space="preserve">the vertebral </w:t>
      </w:r>
      <w:r>
        <w:rPr/>
        <w:t>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(C);</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t>
      </w:r>
      <w:r>
        <w:rPr/>
        <w:t>County</w:t>
      </w:r>
      <w:r>
        <w:rPr/>
        <w:t xml:space="preserve">,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w:t>
      </w:r>
      <w:r>
        <w:rPr/>
        <w:t xml:space="preserve">Museum </w:t>
      </w:r>
      <w:r>
        <w:rPr/>
        <w:t>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w:t>
      </w:r>
      <w:r>
        <w:rPr/>
        <w:t xml:space="preserve">Museum </w:t>
      </w:r>
      <w:r>
        <w:rPr/>
        <w:t>photo</w:t>
      </w:r>
      <w:r>
        <w:rPr/>
        <w:t xml:space="preserve">graph </w:t>
      </w:r>
      <w:r>
        <w:rPr/>
        <w:t xml:space="preserve">#1010.)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w:t>
      </w:r>
      <w:r>
        <w:rPr/>
        <w:t>a</w:t>
      </w:r>
      <w:r>
        <w:rPr/>
        <w:t xml:space="preserve">n </w:t>
      </w:r>
      <w:r>
        <w:rPr/>
        <w:t>the</w:t>
      </w:r>
      <w:r>
        <w:rP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40</w:t>
    </w:r>
    <w:r>
      <w:rPr/>
      <w:fldChar w:fldCharType="end"/>
    </w:r>
    <w:r>
      <w:rPr/>
      <w:t>/</w:t>
    </w:r>
    <w:r>
      <w:rPr/>
      <w:fldChar w:fldCharType="begin"/>
    </w:r>
    <w:r>
      <w:rPr/>
      <w:instrText xml:space="preserve"> NUMPAGES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LibreOffice/7.4.2.3$MacOSX_X86_64 LibreOffice_project/382eef1f22670f7f4118c8c2dd222ec7ad009daf</Application>
  <AppVersion>15.0000</AppVersion>
  <Pages>42</Pages>
  <Words>20674</Words>
  <Characters>107605</Characters>
  <CharactersWithSpaces>127613</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2022-11-29T16:20:22Z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