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CM 11161</w:t>
          <w:tab/>
          <w:t>10</w:t>
        </w:r>
      </w:hyperlink>
    </w:p>
    <w:p>
      <w:pPr>
        <w:pStyle w:val="Contents3"/>
        <w:tabs>
          <w:tab w:val="clear" w:pos="9072"/>
          <w:tab w:val="right" w:pos="9638" w:leader="dot"/>
        </w:tabs>
        <w:rPr/>
      </w:pPr>
      <w:hyperlink w:anchor="__RefHeading___Toc3740_2834848739">
        <w:r>
          <w:rPr>
            <w:rStyle w:val="IndexLink"/>
          </w:rPr>
          <w:t>1999 replacement of manus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1833_55120580">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5233_14216418">
        <w:r>
          <w:rPr>
            <w:rStyle w:val="IndexLink"/>
          </w:rPr>
          <w:t>Tables</w:t>
          <w:tab/>
          <w:t>16</w:t>
        </w:r>
      </w:hyperlink>
    </w:p>
    <w:p>
      <w:pPr>
        <w:pStyle w:val="Contents1"/>
        <w:tabs>
          <w:tab w:val="right" w:pos="9638" w:leader="dot"/>
        </w:tabs>
        <w:rPr/>
      </w:pPr>
      <w:hyperlink w:anchor="__RefHeading___Toc3407_68767826">
        <w:r>
          <w:rPr>
            <w:rStyle w:val="IndexLink"/>
          </w:rPr>
          <w:t>Figure Captions</w:t>
          <w:tab/>
          <w:t>18</w:t>
        </w:r>
      </w:hyperlink>
    </w:p>
    <w:p>
      <w:pPr>
        <w:pStyle w:val="Heading1"/>
        <w:rPr/>
      </w:pPr>
      <w:r>
        <w:rPr/>
      </w:r>
      <w:r>
        <w:rPr/>
        <w:fldChar w:fldCharType="end"/>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XXX Ilja, can you please flesh out the remainder of the timeline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highlight w:val="yellow"/>
        </w:rPr>
      </w:pPr>
      <w:r>
        <w:rPr>
          <w:highlight w:val="yellow"/>
        </w:rPr>
        <w:t>XXX Mike: size of CM 94</w:t>
      </w:r>
    </w:p>
    <w:p>
      <w:pPr>
        <w:pStyle w:val="TextBody"/>
        <w:rPr>
          <w:highlight w:val="yellow"/>
        </w:rPr>
      </w:pPr>
      <w:r>
        <w:rPr>
          <w:highlight w:val="yellow"/>
        </w:rPr>
        <w:t>XXX Mike: size of CM 662</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unspecific origin are the atlas (C1), chevrons, and left ilium, femur and tibia. </w:t>
      </w:r>
      <w:r>
        <w:rPr>
          <w:highlight w:val="yellow"/>
        </w:rPr>
        <w:t>XXX Matt, can we track this information down?</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 xml:space="preserve">Replacement of skull with </w:t>
      </w:r>
      <w:r>
        <w:rPr/>
        <w:t xml:space="preserve">cast of </w:t>
      </w:r>
      <w:r>
        <w:rPr/>
        <w:t>CM 11161</w:t>
      </w:r>
    </w:p>
    <w:p>
      <w:pPr>
        <w:pStyle w:val="TextBody"/>
        <w:rPr/>
      </w:pPr>
      <w:r>
        <w:rPr/>
        <w:t xml:space="preserve">The first known change made to the Carnegie mount was </w:t>
      </w:r>
      <w:r>
        <w:rPr/>
        <w:t xml:space="preserve">the </w:t>
      </w:r>
      <w:r>
        <w:rPr/>
        <w:t>replacement of the original skull sculpture based on CM 662 and USNM 2673. We have be</w:t>
      </w:r>
      <w:r>
        <w:rPr/>
        <w:t>e</w:t>
      </w:r>
      <w:r>
        <w:rPr/>
        <w:t>n unable to locate record</w:t>
      </w:r>
      <w:r>
        <w:rPr/>
        <w:t>s</w:t>
      </w:r>
      <w:r>
        <w:rPr/>
        <w:t xml:space="preserve"> stating which skull was used in the replacement, </w:t>
      </w:r>
      <w:r>
        <w:rPr/>
        <w:t xml:space="preserve">but it </w:t>
      </w:r>
      <w:r>
        <w:rPr/>
        <w:t xml:space="preserve">is still in place today </w:t>
      </w:r>
      <w:r>
        <w:rPr/>
        <w:t xml:space="preserve">and </w:t>
      </w:r>
      <w:r>
        <w:rPr/>
        <w:t>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w:t>
      </w:r>
      <w:r>
        <w:rPr/>
        <w:t xml:space="preserve">In a personal communication from the Carnegie Museum’s former Exhibits Preparator, who began </w:t>
      </w:r>
      <w:r>
        <w:rPr/>
        <w:t xml:space="preserve">working there in 1971, </w:t>
      </w:r>
      <w:r>
        <w:rPr/>
        <w:t>h</w:t>
      </w:r>
      <w:r>
        <w:rPr/>
        <w:t xml:space="preserve">e recalls making a model of the </w:t>
      </w:r>
      <w:r>
        <w:rPr>
          <w:i/>
          <w:iCs/>
        </w:rPr>
        <w:t>Apatosaurus</w:t>
      </w:r>
      <w:r>
        <w:rPr/>
        <w:t xml:space="preserve"> skull, </w:t>
      </w:r>
      <w:r>
        <w:rPr/>
        <w:t xml:space="preserve">but </w:t>
      </w:r>
      <w:r>
        <w:rPr/>
        <w:t xml:space="preserve">that he never made a model or a cast of the </w:t>
      </w:r>
      <w:r>
        <w:rPr>
          <w:i/>
          <w:iCs/>
        </w:rPr>
        <w:t>Diplo</w:t>
      </w:r>
      <w:r>
        <w:rPr>
          <w:i/>
          <w:iCs/>
        </w:rPr>
        <w:t>doc</w:t>
      </w:r>
      <w:r>
        <w:rPr>
          <w:i/>
          <w:iCs/>
        </w:rPr>
        <w:t>us</w:t>
      </w:r>
      <w:r>
        <w:rPr/>
        <w:t xml:space="preserve"> skull. </w:t>
      </w:r>
      <w:r>
        <w:rPr/>
        <w:t xml:space="preserve">This suggests that the replacement of the skull was completed before 1971 – perhaps, then, when Agostini created the </w:t>
      </w:r>
      <w:r>
        <w:rPr>
          <w:i/>
          <w:iCs/>
        </w:rPr>
        <w:t>Diplodocus</w:t>
      </w:r>
      <w:r>
        <w:rPr/>
        <w:t xml:space="preserve"> mold in 1962.</w:t>
      </w:r>
    </w:p>
    <w:p>
      <w:pPr>
        <w:pStyle w:val="TextBody"/>
        <w:rPr/>
      </w:pPr>
      <w:r>
        <w:rPr/>
        <w:t>Curiously</w:t>
      </w:r>
      <w:r>
        <w:rPr/>
        <w:t xml:space="preserve">, </w:t>
      </w:r>
      <w:r>
        <w:rPr/>
        <w:t xml:space="preserve">the skull replacement </w:t>
      </w:r>
      <w:r>
        <w:rPr/>
        <w:t xml:space="preserve">it is not mentioned in McIntosh’s (1981) account of all the dinosaur specimens at the Carnegie museum, and in particular not in the section on the mount on page 20. </w:t>
      </w:r>
      <w:r>
        <w:rPr/>
        <w:t>Given McIntosh’s habitual thoroughness, the omission from his account of the mounted skeleton is anomalous.</w:t>
      </w:r>
    </w:p>
    <w:p>
      <w:pPr>
        <w:pStyle w:val="TextBody"/>
        <w:rPr/>
      </w:pPr>
      <w:r>
        <w:rPr/>
        <w:t xml:space="preserve">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1999 replacement of manus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2" w:name="__RefHeading___Toc6555_802501007"/>
      <w:bookmarkEnd w:id="12"/>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w:t>
      </w:r>
    </w:p>
    <w:p>
      <w:pPr>
        <w:pStyle w:val="TextBody"/>
        <w:rPr/>
      </w:pPr>
      <w:r>
        <w:rPr/>
        <w:t>XXX Expansion announced on Thursday 11 April, 2002 (Siemers 2007).</w:t>
      </w:r>
    </w:p>
    <w:p>
      <w:pPr>
        <w:pStyle w:val="TextBody"/>
        <w:rPr/>
      </w:pPr>
      <w:r>
        <w:rPr/>
        <w:t>XXX Hall closed on Friday 11 March 2005 at a special event (Horne 2005).</w:t>
      </w:r>
    </w:p>
    <w:p>
      <w:pPr>
        <w:pStyle w:val="TextBody"/>
        <w:rPr/>
      </w:pPr>
      <w:r>
        <w:rPr/>
        <w:t>XXX “The expanded dinosaur hall has required an extensive amount of work over the course of more than five years — from the 2002 master plan, through fund-raising, to the hiring of architects in 2004 and the main exhibition space closing in spring 2005 for the construction phase” (Hopey and McNulty 2007).</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3" w:name="__RefHeading___Toc3742_2834848739"/>
      <w:bookmarkEnd w:id="13"/>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removal of the CM 662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4" w:name="__RefHeading___Toc3744_2834848739"/>
      <w:bookmarkEnd w:id="14"/>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XXX </w:t>
      </w:r>
      <w:r>
        <w:rPr>
          <w:highlight w:val="yellow"/>
        </w:rPr>
        <w:t>Matt, who did this work?</w:t>
      </w:r>
    </w:p>
    <w:p>
      <w:pPr>
        <w:pStyle w:val="Heading3"/>
        <w:rPr/>
      </w:pPr>
      <w:bookmarkStart w:id="15" w:name="__RefHeading___Toc3746_2834848739"/>
      <w:bookmarkEnd w:id="15"/>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6" w:name="__DdeLink__1281_802501007"/>
      <w:r>
        <w:rPr/>
        <w:t>CM 3378</w:t>
      </w:r>
      <w:bookmarkEnd w:id="16"/>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7" w:name="__RefHeading___Toc3282_55120580"/>
      <w:bookmarkEnd w:id="17"/>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highlight w:val="yellow"/>
        </w:rPr>
        <w:t>XXX Mike: replacement of skulls etc. in casts</w:t>
      </w:r>
    </w:p>
    <w:p>
      <w:pPr>
        <w:pStyle w:val="Heading1"/>
        <w:numPr>
          <w:ilvl w:val="0"/>
          <w:numId w:val="3"/>
        </w:numPr>
        <w:ind w:left="0" w:right="0" w:hanging="0"/>
        <w:rPr/>
      </w:pPr>
      <w:bookmarkStart w:id="18" w:name="__RefHeading___Toc3401_68767826"/>
      <w:bookmarkEnd w:id="18"/>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9" w:name="__RefHeading___Toc1833_55120580"/>
      <w:bookmarkEnd w:id="1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0" w:name="__RefHeading___Toc3405_68767826"/>
      <w:bookmarkEnd w:id="2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1" w:name="__DdeLink__2481_14216418"/>
      <w:r>
        <w:rPr/>
        <w:t>Anonymous</w:t>
      </w:r>
      <w:bookmarkEnd w:id="2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2" w:name="__DdeLink__5014_2834848739"/>
      <w:r>
        <w:rPr/>
        <w:t xml:space="preserve">Carnegie Institute. 1934. </w:t>
      </w:r>
      <w:r>
        <w:rPr>
          <w:i/>
          <w:iCs/>
        </w:rPr>
        <w:t>Thirty-seventh annual report of the Carnegie Museum, Carnegie Institute, Pittsburgh</w:t>
      </w:r>
      <w:r>
        <w:rPr/>
        <w:t>.</w:t>
      </w:r>
      <w:bookmarkEnd w:id="2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4" w:name="__RefHeading___Toc5233_14216418"/>
      <w:bookmarkEnd w:id="2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5" w:name="__RefHeading___Toc3407_68767826"/>
      <w:bookmarkEnd w:id="2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26258</TotalTime>
  <Application>LibreOffice/6.1.3.2$MacOSX_X86_64 LibreOffice_project/86daf60bf00efa86ad547e59e09d6bb77c699acb</Application>
  <Pages>20</Pages>
  <Words>8884</Words>
  <Characters>46634</Characters>
  <CharactersWithSpaces>55149</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2022-05-24T22:44:08Z</dcterms:modified>
  <cp:revision>537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