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716_752413846">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tabs>
          <w:tab w:val="right" w:pos="9638" w:leader="dot"/>
        </w:tabs>
        <w:rPr/>
      </w:pPr>
      <w:hyperlink w:anchor="__RefHeading___Toc4316_68767826">
        <w:r>
          <w:rPr>
            <w:rStyle w:val="IndexLink"/>
          </w:rPr>
          <w:t>Historical background</w:t>
          <w:tab/>
          <w:t>3</w:t>
        </w:r>
      </w:hyperlink>
    </w:p>
    <w:p>
      <w:pPr>
        <w:pStyle w:val="Contents1"/>
        <w:tabs>
          <w:tab w:val="right" w:pos="9638" w:leader="dot"/>
        </w:tabs>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13</w:t>
        </w:r>
      </w:hyperlink>
    </w:p>
    <w:p>
      <w:pPr>
        <w:pStyle w:val="Contents3"/>
        <w:tabs>
          <w:tab w:val="clear" w:pos="9072"/>
          <w:tab w:val="right" w:pos="9638" w:leader="dot"/>
        </w:tabs>
        <w:rPr/>
      </w:pPr>
      <w:hyperlink w:anchor="__RefHeading___Toc3738_2834848739">
        <w:r>
          <w:rPr>
            <w:rStyle w:val="IndexLink"/>
          </w:rPr>
          <w:t>Replacement of skull with cast of CM 11161</w:t>
          <w:tab/>
          <w:t>13</w:t>
        </w:r>
      </w:hyperlink>
    </w:p>
    <w:p>
      <w:pPr>
        <w:pStyle w:val="Contents3"/>
        <w:tabs>
          <w:tab w:val="clear" w:pos="9072"/>
          <w:tab w:val="right" w:pos="9638" w:leader="dot"/>
        </w:tabs>
        <w:rPr/>
      </w:pPr>
      <w:hyperlink w:anchor="__RefHeading___Toc16707_802501007">
        <w:r>
          <w:rPr>
            <w:rStyle w:val="IndexLink"/>
          </w:rPr>
          <w:t>Re-pose of neck</w:t>
          <w:tab/>
          <w:t>14</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14</w:t>
        </w:r>
      </w:hyperlink>
    </w:p>
    <w:p>
      <w:pPr>
        <w:pStyle w:val="Contents3"/>
        <w:tabs>
          <w:tab w:val="clear" w:pos="9072"/>
          <w:tab w:val="right" w:pos="9638" w:leader="dot"/>
        </w:tabs>
        <w:rPr/>
      </w:pPr>
      <w:hyperlink w:anchor="__RefHeading___Toc6555_802501007">
        <w:r>
          <w:rPr>
            <w:rStyle w:val="IndexLink"/>
          </w:rPr>
          <w:t>2007 refurbishment of the dinosaur exhibition</w:t>
          <w:tab/>
          <w:t>15</w:t>
        </w:r>
      </w:hyperlink>
    </w:p>
    <w:p>
      <w:pPr>
        <w:pStyle w:val="Contents3"/>
        <w:tabs>
          <w:tab w:val="clear" w:pos="9072"/>
          <w:tab w:val="right" w:pos="9638" w:leader="dot"/>
        </w:tabs>
        <w:rPr/>
      </w:pPr>
      <w:hyperlink w:anchor="__RefHeading___Toc3742_2834848739">
        <w:r>
          <w:rPr>
            <w:rStyle w:val="IndexLink"/>
          </w:rPr>
          <w:t>Forefeet WDC-FS001A</w:t>
          <w:tab/>
          <w:t>15</w:t>
        </w:r>
      </w:hyperlink>
    </w:p>
    <w:p>
      <w:pPr>
        <w:pStyle w:val="Contents3"/>
        <w:tabs>
          <w:tab w:val="clear" w:pos="9072"/>
          <w:tab w:val="right" w:pos="9638" w:leader="dot"/>
        </w:tabs>
        <w:rPr/>
      </w:pPr>
      <w:hyperlink w:anchor="__RefHeading___Toc3744_2834848739">
        <w:r>
          <w:rPr>
            <w:rStyle w:val="IndexLink"/>
          </w:rPr>
          <w:t>Forelimbs from BYU material</w:t>
          <w:tab/>
          <w:t>15</w:t>
        </w:r>
      </w:hyperlink>
    </w:p>
    <w:p>
      <w:pPr>
        <w:pStyle w:val="Contents3"/>
        <w:tabs>
          <w:tab w:val="clear" w:pos="9072"/>
          <w:tab w:val="right" w:pos="9638" w:leader="dot"/>
        </w:tabs>
        <w:rPr/>
      </w:pPr>
      <w:hyperlink w:anchor="__RefHeading___Toc3746_2834848739">
        <w:r>
          <w:rPr>
            <w:rStyle w:val="IndexLink"/>
          </w:rPr>
          <w:t>Distal caudal vertebrae</w:t>
          <w:tab/>
          <w:t>16</w:t>
        </w:r>
      </w:hyperlink>
    </w:p>
    <w:p>
      <w:pPr>
        <w:pStyle w:val="Contents2"/>
        <w:tabs>
          <w:tab w:val="clear" w:pos="9355"/>
          <w:tab w:val="right" w:pos="9638" w:leader="dot"/>
        </w:tabs>
        <w:rPr/>
      </w:pPr>
      <w:hyperlink w:anchor="__RefHeading___Toc3282_55120580">
        <w:r>
          <w:rPr>
            <w:rStyle w:val="IndexLink"/>
          </w:rPr>
          <w:t>The casts made from the Carnegie molds</w:t>
          <w:tab/>
          <w:t>16</w:t>
        </w:r>
      </w:hyperlink>
    </w:p>
    <w:p>
      <w:pPr>
        <w:pStyle w:val="Contents1"/>
        <w:tabs>
          <w:tab w:val="right" w:pos="9638" w:leader="dot"/>
        </w:tabs>
        <w:rPr/>
      </w:pPr>
      <w:hyperlink w:anchor="__RefHeading___Toc3401_68767826">
        <w:r>
          <w:rPr>
            <w:rStyle w:val="IndexLink"/>
          </w:rPr>
          <w:t>Discussion</w:t>
          <w:tab/>
          <w:t>18</w:t>
        </w:r>
      </w:hyperlink>
    </w:p>
    <w:p>
      <w:pPr>
        <w:pStyle w:val="Contents1"/>
        <w:tabs>
          <w:tab w:val="right" w:pos="9638" w:leader="dot"/>
        </w:tabs>
        <w:rPr/>
      </w:pPr>
      <w:hyperlink w:anchor="__RefHeading___Toc1833_55120580">
        <w:r>
          <w:rPr>
            <w:rStyle w:val="IndexLink"/>
          </w:rPr>
          <w:t>Acknowledgements</w:t>
          <w:tab/>
          <w:t>20</w:t>
        </w:r>
      </w:hyperlink>
    </w:p>
    <w:p>
      <w:pPr>
        <w:pStyle w:val="Contents1"/>
        <w:tabs>
          <w:tab w:val="right" w:pos="9638" w:leader="dot"/>
        </w:tabs>
        <w:rPr/>
      </w:pPr>
      <w:hyperlink w:anchor="__RefHeading___Toc3405_68767826">
        <w:r>
          <w:rPr>
            <w:rStyle w:val="IndexLink"/>
          </w:rPr>
          <w:t>References</w:t>
          <w:tab/>
          <w:t>20</w:t>
        </w:r>
      </w:hyperlink>
    </w:p>
    <w:p>
      <w:pPr>
        <w:pStyle w:val="Contents1"/>
        <w:tabs>
          <w:tab w:val="right" w:pos="9638" w:leader="dot"/>
        </w:tabs>
        <w:rPr/>
      </w:pPr>
      <w:hyperlink w:anchor="__RefHeading___Toc5233_14216418">
        <w:r>
          <w:rPr>
            <w:rStyle w:val="IndexLink"/>
          </w:rPr>
          <w:t>Tables</w:t>
          <w:tab/>
          <w:t>26</w:t>
        </w:r>
      </w:hyperlink>
    </w:p>
    <w:p>
      <w:pPr>
        <w:pStyle w:val="Contents1"/>
        <w:tabs>
          <w:tab w:val="right" w:pos="9638" w:leader="dot"/>
        </w:tabs>
        <w:rPr/>
      </w:pPr>
      <w:hyperlink w:anchor="__RefHeading___Toc3407_68767826">
        <w:r>
          <w:rPr>
            <w:rStyle w:val="IndexLink"/>
          </w:rPr>
          <w:t>Figure Captions</w:t>
          <w:tab/>
          <w:t>28</w:t>
        </w:r>
      </w:hyperlink>
    </w:p>
    <w:p>
      <w:pPr>
        <w:pStyle w:val="Heading1"/>
        <w:rPr/>
      </w:pPr>
      <w:bookmarkStart w:id="1" w:name="__RefHeading___Toc1716_752413846"/>
      <w:bookmarkEnd w:id="1"/>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a team led by Mr. </w:t>
      </w:r>
      <w:bookmarkStart w:id="7" w:name="__DdeLink__1748_1383514131"/>
      <w:r>
        <w:rPr/>
        <w:t>Arthur S. Coggeshall</w:t>
      </w:r>
      <w:bookmarkEnd w:id="7"/>
      <w:r>
        <w:rPr/>
        <w:t xml:space="preserve">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Lankaster,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w:t>
      </w:r>
      <w:r>
        <w:rPr/>
        <w:t xml:space="preserve">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In early summer of 1904, the cast created for the British Museum was temporarily mounted as a trial at the Main Hall of the Pittsburgh Exposition Society at The Point in downtown Pittsburgh (</w:t>
      </w:r>
      <w:bookmarkStart w:id="8" w:name="__DdeLink__1838_3070709084"/>
      <w:r>
        <w:rPr/>
        <w:t>photograph in Nieuwland 2019:figure 3.1</w:t>
      </w:r>
      <w:bookmarkEnd w:id="8"/>
      <w:r>
        <w:rPr/>
        <w:t>). At this point, it was the only available building in the city big enough to house the skeleton, work on the museum’s Dinosaur Hall not yet having been completed. The work was done by a team of three: Coggeshall himself aided by Agostini and L. S. Coggeshall. The identity of this last team member is uncertain. The identical surname can hardly be coincidence, and the most like candidate is Coggeshall’s brother Louis. However, his wife, born Jennie Louise Smith, sometimes went by the name Jennie L. S. Coggeshall, so it seems possible that the third member of Coggeshall’s team was his wife.</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 xml:space="preserve">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w:t>
      </w:r>
      <w:r>
        <w:rPr/>
        <w:t xml:space="preserve">(1951a) claims he </w:t>
      </w:r>
      <w:r>
        <w:rPr/>
        <w:t>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w:t>
      </w:r>
      <w:r>
        <w:rPr/>
        <w:t>b</w:t>
      </w:r>
      <w:r>
        <w:rPr/>
        <w:t>: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Garcá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w:t>
      </w:r>
      <w:r>
        <w:rPr/>
        <w:t>b</w:t>
      </w:r>
      <w:r>
        <w:rPr/>
        <w:t>:314). On 28 November, the official unveiling took place, albeit again without the monarch that had been the cast's recipient.</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Moreover, by now he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a year and a half later, he passed away.</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(Florian Mildenberger, pers. comm., </w:t>
      </w:r>
      <w:r>
        <w:rPr>
          <w:highlight w:val="yellow"/>
        </w:rPr>
        <w:t>XXX date and permission</w:t>
      </w:r>
      <w:r>
        <w:rPr/>
        <w:t>; an additional source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B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 xml:space="preserve">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mounted skull and anterior neck (figure 1). </w:t>
      </w:r>
      <w:r>
        <w:rPr>
          <w:highlight w:val="yellow"/>
        </w:rPr>
        <w:t>XXX Matt, do we know more about the atlas in the mount?</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 xml:space="preserve">McIntosh’s account of the mounted skeleton omits the source of several elements, and these omissions have not been remedied by any subsequent publication known to us. The elements of unspecified origin are the atlas (C1), chevrons, and left ilium, femur and tibia. </w:t>
      </w:r>
      <w:r>
        <w:rPr>
          <w:highlight w:val="yellow"/>
        </w:rPr>
        <w:t>XXX Matt, can we track down the ilium, femur and tibia?</w:t>
      </w:r>
      <w:r>
        <w:rPr/>
        <w:t xml:space="preserve"> The paratype specimen CM 94 includes a left femur, which may have been used. (</w:t>
      </w:r>
      <w:r>
        <w:rPr>
          <w:highlight w:val="yellow"/>
        </w:rPr>
        <w:t>XXX Matt, was it?</w:t>
      </w:r>
      <w:r>
        <w:rPr/>
        <w:t xml:space="preserve">) Furthermore, while McIntosh noted that the left fibula and pes of the original mount were taken from CM 33985 and that these were not used in the casts, he did not say how the left fibula and pes were furnished in the casts. </w:t>
      </w:r>
      <w:r>
        <w:rPr>
          <w:highlight w:val="yellow"/>
        </w:rPr>
        <w:t>XXX Matt, can we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 This is corroborated by Brinkman’s (2010:240) observation that the London cast “was also missing a long series of chevrons, casts of which had been urgently requested from the American Museum, which was slow to fill the order”.</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 We have not been able to locate any sourced measurement in any published source subsequent to this.</w:t>
      </w:r>
    </w:p>
    <w:p>
      <w:pPr>
        <w:pStyle w:val="Heading2"/>
        <w:rPr/>
      </w:pPr>
      <w:bookmarkStart w:id="14" w:name="__RefHeading___Toc3280_55120580"/>
      <w:bookmarkEnd w:id="14"/>
      <w:r>
        <w:rPr/>
        <w:t>Changes made to the mount at the Carnegie Museum</w:t>
      </w:r>
    </w:p>
    <w:p>
      <w:pPr>
        <w:pStyle w:val="Heading3"/>
        <w:rPr/>
      </w:pPr>
      <w:bookmarkStart w:id="15" w:name="__RefHeading___Toc3738_2834848739"/>
      <w:bookmarkEnd w:id="15"/>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Agostini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Heading3"/>
        <w:rPr/>
      </w:pPr>
      <w:bookmarkStart w:id="16" w:name="__RefHeading___Toc16707_802501007"/>
      <w:bookmarkEnd w:id="16"/>
      <w:r>
        <w:rPr/>
        <w:t>Re-pose of neck</w:t>
      </w:r>
    </w:p>
    <w:p>
      <w:pPr>
        <w:pStyle w:val="TextBody"/>
        <w:rPr/>
      </w:pPr>
      <w:r>
        <w:rPr/>
        <w:t xml:space="preserve">In a photograph of the mounted </w:t>
      </w:r>
      <w:r>
        <w:rPr>
          <w:i/>
          <w:iCs/>
        </w:rPr>
        <w:t>Diplodocus</w:t>
      </w:r>
      <w:r>
        <w:rPr/>
        <w:t xml:space="preserve"> taken some time between 1980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in 1938 to free the space under the neck and so make space for the tail of the </w:t>
      </w:r>
      <w:r>
        <w:rPr>
          <w:i/>
          <w:iCs/>
        </w:rPr>
        <w:t>Allosaurus</w:t>
      </w:r>
      <w:r>
        <w:rPr/>
        <w:t xml:space="preserve"> mount CM 11844 that was then put on display in front of the Dipodocus (visible in Figure G).</w:t>
      </w:r>
    </w:p>
    <w:p>
      <w:pPr>
        <w:pStyle w:val="TextBody"/>
        <w:rPr/>
      </w:pPr>
      <w:r>
        <w:rPr>
          <w:highlight w:val="yellow"/>
        </w:rPr>
        <w:t>XXX Matt, do you know with more precision when and why this neck elevation was done and by whom?</w:t>
      </w:r>
    </w:p>
    <w:p>
      <w:pPr>
        <w:pStyle w:val="Heading3"/>
        <w:rPr/>
      </w:pPr>
      <w:bookmarkStart w:id="17" w:name="__RefHeading___Toc3740_2834848739"/>
      <w:bookmarkEnd w:id="17"/>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8" w:name="__RefHeading___Toc6555_802501007"/>
      <w:bookmarkEnd w:id="18"/>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19" w:name="__RefHeading___Toc3742_2834848739"/>
      <w:bookmarkEnd w:id="19"/>
      <w:r>
        <w:rPr/>
        <w:t xml:space="preserve">Forefeet </w:t>
      </w:r>
      <w:bookmarkStart w:id="20" w:name="__DdeLink__2734_4144573659"/>
      <w:r>
        <w:rPr/>
        <w:t>WDC-FS001A</w:t>
      </w:r>
      <w:bookmarkEnd w:id="20"/>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1" w:name="__RefHeading___Toc3744_2834848739"/>
      <w:bookmarkEnd w:id="21"/>
      <w:r>
        <w:rPr/>
        <w:t>Forelimbs from BYU material</w:t>
      </w:r>
    </w:p>
    <w:p>
      <w:pPr>
        <w:pStyle w:val="TextBody"/>
        <w:rPr/>
      </w:pPr>
      <w:r>
        <w:rPr/>
        <w:t xml:space="preserve">Until the 2007 remount, the Carnegie mount had retained the obviously incorrect left forelimb of the </w:t>
      </w:r>
      <w:r>
        <w:rPr>
          <w:i/>
          <w:iCs/>
        </w:rPr>
        <w:t>Camarasaurus</w:t>
      </w:r>
      <w:r>
        <w:rPr/>
        <w:t xml:space="preserve"> specimen CM 21775 (Figure E). </w:t>
      </w:r>
      <w:r>
        <w:rPr>
          <w:highlight w:val="yellow"/>
        </w:rPr>
        <w:t>XXX Matt, is this true? See Figure G and email thread “Replacement of left humerus”.</w:t>
      </w:r>
      <w:r>
        <w:rPr/>
        <w:t xml:space="preserve"> (This specimen is described and illustrated by Tschopp et al. 2019:33–37 and referred by them to Camarasauridae indet.) The right forelimb, having been based on the diplodocine CM 662, was a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the scaling calculation above may be poorly founded.</w:t>
      </w:r>
    </w:p>
    <w:p>
      <w:pPr>
        <w:pStyle w:val="Heading3"/>
        <w:rPr/>
      </w:pPr>
      <w:bookmarkStart w:id="22" w:name="__RefHeading___Toc3746_2834848739"/>
      <w:bookmarkEnd w:id="22"/>
      <w:r>
        <w:rPr/>
        <w:t>Distal 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3" w:name="__DdeLink__1281_802501007"/>
      <w:r>
        <w:rPr/>
        <w:t>CM 3378</w:t>
      </w:r>
      <w:bookmarkEnd w:id="23"/>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highlight w:val="yellow"/>
        </w:rPr>
        <w:t>XXX Matt, Amy Henrici’s note for Tschopp et al. 2019 says “One caudal added from CM 94. Caudals 37-73 were casts in original mount and replaced with caudals from Cm 307”. This contradicts McIntosh (1981:20) and Curtice’s dissertation. What do we make of this?</w:t>
      </w:r>
    </w:p>
    <w:p>
      <w:pPr>
        <w:pStyle w:val="Heading2"/>
        <w:rPr/>
      </w:pPr>
      <w:bookmarkStart w:id="24" w:name="__RefHeading___Toc3282_55120580"/>
      <w:bookmarkEnd w:id="24"/>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cast in June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5" w:name="__RefHeading___Toc3401_68767826"/>
      <w:bookmarkEnd w:id="25"/>
      <w:r>
        <w:rPr/>
        <w:t>Discussion</w:t>
      </w:r>
    </w:p>
    <w:p>
      <w:pPr>
        <w:pStyle w:val="TextBody"/>
        <w:ind w:left="0" w:right="0" w:hanging="0"/>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Holland’s (1904) letter to Ray Lankester promised that “the skeleton when mounted will be between 78 and 80 feet in length”, referring to the London mount which included casts of distal caudals from CM 307. However, Holland’s (1905:448) account of Lord Avebury’s speech at the dedication of the London mount gives its length as 84 feet (= 25.6 m). Untermann (1959:365) gives the length of the Field House’s concrete cast as 76 feet (= 23.2 m). Sarti (2012:14) gives a length of 27 m (88.6 feet) for the Bologna mount, and Otero and Gasparini (2014:299) give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has Jim Madsen of Dinolab lay out lthe skull and axial skeleton at his lab, and measured it at 75 feet (= 22.9 m). Discounting Hatcher’s initial estimate as based on an incomplete skeleton, we find good agreement between the measurements of Untermann and Letasi, and might write off Averbury’s 84 feet as an exaggeration to amplify the value of Carnegie’s gift.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 letter. At any rate, the total length of the real skeleton as now mounted at the Carnegie Museum, including the ten extra distal caudals added in 2007, is </w:t>
      </w:r>
      <w:r>
        <w:rPr>
          <w:highlight w:val="yellow"/>
        </w:rPr>
        <w:t>XXX Matt, what is the current length of the mount and how was it measured? Photogrammetry, LiDAR scan, string?</w:t>
      </w:r>
    </w:p>
    <w:p>
      <w:pPr>
        <w:pStyle w:val="TextBody"/>
        <w:rPr>
          <w:highlight w:val="yellow"/>
        </w:rPr>
      </w:pPr>
      <w:r>
        <w:rPr>
          <w:highlight w:val="yellow"/>
        </w:rPr>
        <w:t>XXX Matt, please help me judge the paragraph that follows. It makes what I think is a really important point, but I am wary of being over-critical. I would appreciate your input in workshopping the language here.</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6" w:name="__RefHeading___Toc1833_55120580"/>
      <w:bookmarkEnd w:id="26"/>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 of the right forefoot of the Paris case (Figure H.A), Jeremy Huff’s photograph of the forefeet of HMNS 175 (formerly CM 662) in Houston, and Verónica Díez Díaz’s photograph of the right forefoot of the Berlin mount.</w:t>
      </w:r>
    </w:p>
    <w:p>
      <w:pPr>
        <w:pStyle w:val="TextBody"/>
        <w:rPr/>
      </w:pPr>
      <w:r>
        <w:rPr/>
        <w:t>We thank Brian Curtice, David Letasi, Peter May, Anthony Maltese, Florian Mildenberger, Kristian Remes, Vincent Reneleau and Daniela Schwarz for permission to cite personal communications.</w:t>
      </w:r>
    </w:p>
    <w:p>
      <w:pPr>
        <w:pStyle w:val="TextBody"/>
        <w:rPr/>
      </w:pPr>
      <w:r>
        <w:rPr/>
        <w:t>Mike Taylor thanks his wife Fiona for tolerating his obsession with historical sauropod mounts that has consumed many months of evenings.</w:t>
      </w:r>
    </w:p>
    <w:p>
      <w:pPr>
        <w:pStyle w:val="Heading1"/>
        <w:numPr>
          <w:ilvl w:val="0"/>
          <w:numId w:val="3"/>
        </w:numPr>
        <w:ind w:left="0" w:right="0" w:hanging="0"/>
        <w:rPr/>
      </w:pPr>
      <w:bookmarkStart w:id="27" w:name="__RefHeading___Toc3405_68767826"/>
      <w:bookmarkEnd w:id="27"/>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28" w:name="__DdeLink__2481_14216418"/>
      <w:r>
        <w:rPr/>
        <w:t>Anonymous</w:t>
      </w:r>
      <w:bookmarkEnd w:id="28"/>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29" w:name="__DdeLink__5014_2834848739"/>
      <w:r>
        <w:rPr/>
        <w:t xml:space="preserve">Carnegie Institute. 1934. </w:t>
      </w:r>
      <w:r>
        <w:rPr>
          <w:i/>
          <w:iCs/>
        </w:rPr>
        <w:t>Thirty-seventh annual report of the Carnegie Museum, Carnegie Institute, Pittsburgh</w:t>
      </w:r>
      <w:r>
        <w:rPr/>
        <w:t>.</w:t>
      </w:r>
      <w:bookmarkEnd w:id="29"/>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 Letter to E. Ray Lancaster. Reproduced in part in Barrett et al. (2010:24–25).</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b w:val="false"/>
          <w:b w:val="false"/>
          <w:bCs w:val="false"/>
          <w:highlight w:val="yellow"/>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0">
        <w:r>
          <w:rPr>
            <w:rStyle w:val="InternetLink"/>
            <w:b w:val="false"/>
            <w:bCs w:val="false"/>
          </w:rPr>
          <w:t>https://www.nhm.ac.uk/content/dam/nhmwww/visit/Exhibitions/dippy-returns/dippy-returns-large-print-guide.pdf</w:t>
        </w:r>
      </w:hyperlink>
      <w:r>
        <w:rPr>
          <w:b w:val="false"/>
          <w:bCs w:val="false"/>
        </w:rPr>
        <w:t xml:space="preserve">, archived at </w:t>
      </w:r>
      <w:hyperlink r:id="rId11">
        <w:r>
          <w:rPr>
            <w:rStyle w:val="InternetLink"/>
            <w:b w:val="false"/>
            <w:bCs w:val="false"/>
          </w:rPr>
          <w:t>https://web.archive.org/web/20220527100249/https://www.nhm.ac.uk/content/dam/nhmwww/visit/Exhibitions/dippy-returns/dippy-returns-large-print-guide.pdf</w:t>
        </w:r>
      </w:hyperlink>
    </w:p>
    <w:p>
      <w:pPr>
        <w:pStyle w:val="Reference"/>
        <w:rPr/>
      </w:pPr>
      <w:bookmarkStart w:id="30" w:name="__DdeLink__16582_68767826"/>
      <w:r>
        <w:rPr/>
        <w:t>Nieuwland</w:t>
      </w:r>
      <w:bookmarkEnd w:id="30"/>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2">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Old Face" w:hAnsi="Baskerville Old Face" w:cs="Alkes"/>
          <w:kern w:val="0"/>
          <w:highlight w:val="yellow"/>
          <w:lang w:bidi="ar-SA"/>
        </w:rPr>
      </w:pPr>
      <w:r>
        <w:rPr>
          <w:rFonts w:cs="Alkes" w:ascii="Baskerville Old Face" w:hAnsi="Baskerville Old Face"/>
          <w:kern w:val="0"/>
          <w:lang w:bidi="ar-SA"/>
        </w:rPr>
        <w:t xml:space="preserve">Padian, Kevin. 1978. The making of </w:t>
      </w:r>
      <w:r>
        <w:rPr>
          <w:rFonts w:cs="Alkes" w:ascii="Baskerville Old Face" w:hAnsi="Baskerville Old Face"/>
          <w:i/>
          <w:iCs/>
          <w:kern w:val="0"/>
          <w:lang w:bidi="ar-SA"/>
        </w:rPr>
        <w:t>Brontosaurus</w:t>
      </w:r>
      <w:r>
        <w:rPr>
          <w:rFonts w:cs="Alkes" w:ascii="Baskerville Old Face" w:hAnsi="Baskerville Old Face"/>
          <w:kern w:val="0"/>
          <w:lang w:bidi="ar-SA"/>
        </w:rPr>
        <w:t xml:space="preserve">. </w:t>
      </w:r>
      <w:r>
        <w:rPr>
          <w:rFonts w:cs="Alkes" w:ascii="Baskerville Old Face" w:hAnsi="Baskerville Old Face"/>
          <w:i/>
          <w:iCs/>
          <w:kern w:val="0"/>
          <w:lang w:bidi="ar-SA"/>
        </w:rPr>
        <w:t>Discovery</w:t>
      </w:r>
      <w:r>
        <w:rPr>
          <w:rFonts w:cs="Alkes" w:ascii="Baskerville Old Face" w:hAnsi="Baskerville Old Face"/>
          <w:kern w:val="0"/>
          <w:lang w:bidi="ar-SA"/>
        </w:rPr>
        <w:t xml:space="preserve"> </w:t>
      </w:r>
      <w:r>
        <w:rPr>
          <w:rFonts w:cs="Alkes" w:ascii="Baskerville Old Face" w:hAnsi="Baskerville Old Face"/>
          <w:b/>
          <w:bCs/>
          <w:kern w:val="0"/>
          <w:lang w:bidi="ar-SA"/>
        </w:rPr>
        <w:t>13(2)</w:t>
      </w:r>
      <w:r>
        <w:rPr>
          <w:rFonts w:cs="Alkes" w:ascii="Baskerville Old Face" w:hAnsi="Baskerville Old Face"/>
          <w:kern w:val="0"/>
          <w:lang w:bidi="ar-SA"/>
        </w:rPr>
        <w:t>:32–35.</w:t>
      </w:r>
    </w:p>
    <w:p>
      <w:pPr>
        <w:pStyle w:val="Reference"/>
        <w:rPr/>
      </w:pPr>
      <w:r>
        <w:rPr>
          <w:rFonts w:cs="Alkes" w:ascii="Baskerville Old Face" w:hAnsi="Baskerville Old Face"/>
          <w:kern w:val="0"/>
          <w:lang w:bidi="ar-SA"/>
        </w:rPr>
        <w:t xml:space="preserve">Pérez-Garcia, Adán, and Begoña Sánchez Chillón. 2009. Historia de </w:t>
      </w:r>
      <w:r>
        <w:rPr>
          <w:rFonts w:cs="Alkes" w:ascii="Baskerville Old Face" w:hAnsi="Baskerville Old Face"/>
          <w:i/>
          <w:iCs/>
          <w:kern w:val="0"/>
          <w:lang w:bidi="ar-SA"/>
        </w:rPr>
        <w:t>Diplodocus carnegii</w:t>
      </w:r>
      <w:r>
        <w:rPr>
          <w:rFonts w:cs="Alkes" w:ascii="Baskerville Old Face" w:hAnsi="Baskerville Old Face"/>
          <w:kern w:val="0"/>
          <w:lang w:bidi="ar-SA"/>
        </w:rPr>
        <w:t xml:space="preserve"> del MNCN: primer esqueleto de dinosaurio en la Peninsula Iberica. </w:t>
      </w:r>
      <w:r>
        <w:rPr>
          <w:rFonts w:cs="Alkes" w:ascii="Baskerville Old Face" w:hAnsi="Baskerville Old Face"/>
          <w:i/>
          <w:iCs/>
          <w:kern w:val="0"/>
          <w:lang w:bidi="ar-SA"/>
        </w:rPr>
        <w:t>Revista Española de Paleontologiá</w:t>
      </w:r>
      <w:r>
        <w:rPr>
          <w:rFonts w:cs="Alkes" w:ascii="Baskerville Old Face" w:hAnsi="Baskerville Old Face"/>
          <w:kern w:val="0"/>
          <w:lang w:bidi="ar-SA"/>
        </w:rPr>
        <w:t xml:space="preserve"> </w:t>
      </w:r>
      <w:r>
        <w:rPr>
          <w:rFonts w:cs="Alkes" w:ascii="Baskerville Old Face" w:hAnsi="Baskerville Old Face"/>
          <w:b/>
          <w:bCs/>
          <w:kern w:val="0"/>
          <w:lang w:bidi="ar-SA"/>
        </w:rPr>
        <w:t>24</w:t>
      </w:r>
      <w:r>
        <w:rPr>
          <w:rFonts w:cs="Alkes" w:ascii="Baskerville Old Face" w:hAnsi="Baskerville Old Face"/>
          <w:kern w:val="0"/>
          <w:lang w:bidi="ar-SA"/>
        </w:rPr>
        <w:t>:133–48.</w:t>
      </w:r>
    </w:p>
    <w:p>
      <w:pPr>
        <w:pStyle w:val="Reference"/>
        <w:rPr/>
      </w:pPr>
      <w:r>
        <w:rPr>
          <w:rFonts w:ascii="Baskerville Old Face" w:hAnsi="Baskerville Old Face"/>
        </w:rPr>
        <w:t xml:space="preserve">Rea, Tom. 2001. </w:t>
      </w:r>
      <w:r>
        <w:rPr>
          <w:rFonts w:ascii="Baskerville Old Face" w:hAnsi="Baskerville Old Face"/>
          <w:i/>
          <w:iCs/>
        </w:rPr>
        <w:t>Bone Wars. The Excavation and Celebrity of Andrew Carnegie’s Dinosaur</w:t>
      </w:r>
      <w:r>
        <w:rPr>
          <w:rFonts w:ascii="Baskerville Old Face" w:hAnsi="Baskerville Old Face"/>
        </w:rPr>
        <w:t>. University of Pittsburgh Press, Pittsburgh.</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bookmarkStart w:id="31" w:name="__DdeLink__2717_3412805200"/>
      <w:r>
        <w:rPr>
          <w:rFonts w:ascii="Baskerville Old Face" w:hAnsi="Baskerville Old Face"/>
        </w:rPr>
        <w:t>Riedl-Dorn</w:t>
      </w:r>
      <w:bookmarkEnd w:id="31"/>
      <w:r>
        <w:rPr>
          <w:rFonts w:ascii="Baskerville Old Face" w:hAnsi="Baskerville Old Face"/>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2" w:name="__DdeLink__1645_2410814995"/>
      <w:r>
        <w:rPr>
          <w:rFonts w:cs="Alkes" w:ascii="Baskerville Old Face" w:hAnsi="Baskerville Old Face"/>
          <w:kern w:val="0"/>
          <w:lang w:bidi="ar-SA"/>
        </w:rPr>
        <w:t>Schuchert, C. and LeVene, C.M. 1940</w:t>
      </w:r>
      <w:bookmarkEnd w:id="32"/>
      <w:r>
        <w:rPr>
          <w:rFonts w:cs="Alkes" w:ascii="Baskerville Old Face" w:hAnsi="Baskerville Old Face"/>
          <w:kern w:val="0"/>
          <w:lang w:bidi="ar-SA"/>
        </w:rPr>
        <w:t xml:space="preserve">. </w:t>
      </w:r>
      <w:r>
        <w:rPr>
          <w:rFonts w:cs="Alkes" w:ascii="Baskerville Old Face" w:hAnsi="Baskerville Old Face"/>
          <w:i/>
          <w:iCs/>
          <w:kern w:val="0"/>
          <w:lang w:bidi="ar-SA"/>
        </w:rPr>
        <w:t>O. C. Marsh, Pioneer in Paleontology</w:t>
      </w:r>
      <w:r>
        <w:rPr>
          <w:rFonts w:cs="Alkes" w:ascii="Baskerville Old Face" w:hAnsi="Baskerville Old Face"/>
          <w:kern w:val="0"/>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3">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4">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In prep, a. The concrete </w:t>
      </w:r>
      <w:r>
        <w:rPr>
          <w:i/>
          <w:iCs/>
        </w:rPr>
        <w:t>Diplodocus</w:t>
      </w:r>
      <w:r>
        <w:rPr/>
        <w:t xml:space="preserve"> of Vernal. </w:t>
      </w:r>
      <w:r>
        <w:rPr>
          <w:highlight w:val="yellow"/>
        </w:rPr>
        <w:t>XXX Mike, update this reference to a preprint.</w:t>
      </w:r>
    </w:p>
    <w:p>
      <w:pPr>
        <w:pStyle w:val="Reference"/>
        <w:rPr/>
      </w:pPr>
      <w:r>
        <w:rPr/>
        <w:t xml:space="preserve">Taylor, Michael P., Peter May, Lowell Dingus, Eugene S. Gaffney, Mark A. Norell </w:t>
      </w:r>
      <w:r>
        <w:rPr/>
        <w:t>and John S. McIntosh</w:t>
      </w:r>
      <w:r>
        <w:rPr/>
        <w:t xml:space="preserve">.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bookmarkStart w:id="33" w:name="__RefHeading___Toc5233_14216418"/>
      <w:bookmarkEnd w:id="33"/>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76"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4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 mand Fallières</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June 1910 </w:t>
            </w: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 when exactly?</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4"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4"/>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 November 1913</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highlight w:val="yellow"/>
                <w:u w:val="none"/>
              </w:rPr>
            </w:pPr>
            <w:r>
              <w:rPr>
                <w:rFonts w:ascii="Liberation Serif" w:hAnsi="Liberation Serif"/>
                <w:b w:val="false"/>
                <w:bCs w:val="false"/>
                <w:i w:val="false"/>
                <w:iCs w:val="false"/>
                <w:strike w:val="false"/>
                <w:dstrike w:val="false"/>
                <w:outline w:val="false"/>
                <w:shadow w:val="false"/>
                <w:color w:val="000000"/>
                <w:sz w:val="24"/>
                <w:szCs w:val="24"/>
                <w:highlight w:val="yellow"/>
                <w:u w:val="none"/>
              </w:rPr>
              <w:t>XXX Ilja?</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35" w:name="__RefHeading___Toc3407_68767826"/>
      <w:bookmarkEnd w:id="35"/>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1980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6" w:name="__DdeLink__1645_3185452779"/>
      <w:r>
        <w:rPr/>
        <w:t>Verónica Díez Díaz</w:t>
      </w:r>
      <w:bookmarkEnd w:id="36"/>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w:t>
      </w:r>
      <w:r>
        <w:rPr>
          <w:highlight w:val="yellow"/>
        </w:rPr>
        <w:t>XXX describe.</w:t>
      </w:r>
      <w:r>
        <w:rPr/>
        <w:t xml:space="preserve">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much shorter metacarpals, the fully digitigrade posture, the reduction in phalageal count, and the single manual ungual on digit I. Photograph by Matt Lamanna (CM). </w:t>
      </w:r>
    </w:p>
    <w:p>
      <w:pPr>
        <w:pStyle w:val="FigureCaption"/>
        <w:rPr/>
      </w:pPr>
      <w:r>
        <w:rPr>
          <w:b/>
          <w:bCs/>
        </w:rPr>
        <w:t>Figure I.</w:t>
      </w:r>
      <w:r>
        <w:rPr/>
        <w:t xml:space="preserve"> Carnegie Museum preparation laboratory, with key personnel, in 1903 — probably January 1903, based on the calendar on the right wall.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rPr/>
      </w:pPr>
      <w:r>
        <w:rPr/>
        <w:t>Seated, facing right: possibly Albert “Bill” Thomson, though this seems unlikely as he was never part of the Carnegie crew</w:t>
      </w:r>
    </w:p>
    <w:p>
      <w:pPr>
        <w:pStyle w:val="FigureCaption"/>
        <w:numPr>
          <w:ilvl w:val="0"/>
          <w:numId w:val="8"/>
        </w:numPr>
        <w:rPr/>
      </w:pPr>
      <w:r>
        <w:rPr/>
        <w:t>Standing at back: chief preparator Arthur S. Coggeshall</w:t>
      </w:r>
    </w:p>
    <w:p>
      <w:pPr>
        <w:pStyle w:val="FigureCaption"/>
        <w:numPr>
          <w:ilvl w:val="0"/>
          <w:numId w:val="8"/>
        </w:numPr>
        <w:rPr/>
      </w:pPr>
      <w:r>
        <w:rPr/>
        <w:t>Seated, looking to camera: preparator Charles W. Gilmore</w:t>
      </w:r>
    </w:p>
    <w:p>
      <w:pPr>
        <w:pStyle w:val="FigureCaption"/>
        <w:numPr>
          <w:ilvl w:val="0"/>
          <w:numId w:val="8"/>
        </w:numPr>
        <w:rPr/>
      </w:pPr>
      <w:r>
        <w:rPr/>
        <w:t>Seated at far table: field worker Earl Douglass</w:t>
      </w:r>
    </w:p>
    <w:p>
      <w:pPr>
        <w:pStyle w:val="FigureCaption"/>
        <w:numPr>
          <w:ilvl w:val="0"/>
          <w:numId w:val="8"/>
        </w:numPr>
        <w:rPr/>
      </w:pPr>
      <w:r>
        <w:rPr/>
        <w:t>Standing behind far table: possibly preparator Louis Coggeshall, Arthur’s brother</w:t>
      </w:r>
    </w:p>
    <w:p>
      <w:pPr>
        <w:pStyle w:val="FigureCaption"/>
        <w:numPr>
          <w:ilvl w:val="0"/>
          <w:numId w:val="8"/>
        </w:numPr>
        <w:rPr/>
      </w:pPr>
      <w:r>
        <w:rPr/>
        <w:t>Sitting at far table, facing left: possibly lead sculptor Serafino Agostini.</w:t>
      </w:r>
    </w:p>
    <w:p>
      <w:pPr>
        <w:pStyle w:val="FigureCaption"/>
        <w:numPr>
          <w:ilvl w:val="0"/>
          <w:numId w:val="8"/>
        </w:numPr>
        <w:rPr/>
      </w:pPr>
      <w:r>
        <w:rPr/>
        <w:t>Seated: unknown</w:t>
      </w:r>
    </w:p>
    <w:p>
      <w:pPr>
        <w:pStyle w:val="FigureCaption"/>
        <w:numPr>
          <w:ilvl w:val="0"/>
          <w:numId w:val="8"/>
        </w:numP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i w:val="false"/>
      <w:iCs w:val="false"/>
    </w:rPr>
  </w:style>
  <w:style w:type="character" w:styleId="ListLabel38">
    <w:name w:val="ListLabel 38"/>
    <w:qFormat/>
    <w:rPr/>
  </w:style>
  <w:style w:type="character" w:styleId="ListLabel39">
    <w:name w:val="ListLabel 39"/>
    <w:qFormat/>
    <w:rPr>
      <w:b w:val="false"/>
      <w:bCs w:val="false"/>
    </w:rPr>
  </w:style>
  <w:style w:type="character" w:styleId="ListLabel40">
    <w:name w:val="ListLabel 40"/>
    <w:qFormat/>
    <w:rPr>
      <w:rFonts w:cs="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i w:val="false"/>
      <w:iCs w:val="false"/>
    </w:rPr>
  </w:style>
  <w:style w:type="character" w:styleId="ListLabel77">
    <w:name w:val="ListLabel 77"/>
    <w:qFormat/>
    <w:rPr/>
  </w:style>
  <w:style w:type="character" w:styleId="ListLabel78">
    <w:name w:val="ListLabel 78"/>
    <w:qFormat/>
    <w:rPr>
      <w:b w:val="false"/>
      <w:bCs w:val="false"/>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i w:val="false"/>
      <w:iCs w:val="false"/>
    </w:rPr>
  </w:style>
  <w:style w:type="character" w:styleId="ListLabel116">
    <w:name w:val="ListLabel 116"/>
    <w:qFormat/>
    <w:rPr/>
  </w:style>
  <w:style w:type="character" w:styleId="ListLabel117">
    <w:name w:val="ListLabel 117"/>
    <w:qFormat/>
    <w:rPr>
      <w:b w:val="false"/>
      <w:bCs w:val="false"/>
    </w:rPr>
  </w:style>
  <w:style w:type="character" w:styleId="VisitedInternetLink">
    <w:name w:val="Visited Internet Link"/>
    <w:rPr>
      <w:color w:val="800000"/>
      <w:u w:val="single"/>
      <w:lang w:val="zxx" w:eastAsia="zxx" w:bidi="zxx"/>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style>
  <w:style w:type="character" w:styleId="ListLabel157">
    <w:name w:val="ListLabel 157"/>
    <w:qFormat/>
    <w:rPr>
      <w:b w:val="false"/>
      <w:bCs w:val="false"/>
    </w:rPr>
  </w:style>
  <w:style w:type="character" w:styleId="ListLabel158">
    <w:name w:val="ListLabel 158"/>
    <w:qFormat/>
    <w:rPr>
      <w:rFonts w:cs="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i w:val="false"/>
      <w:iCs w:val="false"/>
    </w:rPr>
  </w:style>
  <w:style w:type="character" w:styleId="ListLabel195">
    <w:name w:val="ListLabel 195"/>
    <w:qFormat/>
    <w:rPr/>
  </w:style>
  <w:style w:type="character" w:styleId="ListLabel196">
    <w:name w:val="ListLabel 196"/>
    <w:qFormat/>
    <w:rPr/>
  </w:style>
  <w:style w:type="character" w:styleId="ListLabel197">
    <w:name w:val="ListLabel 197"/>
    <w:qFormat/>
    <w:rPr>
      <w:b w:val="false"/>
      <w:bCs w:val="false"/>
    </w:rPr>
  </w:style>
  <w:style w:type="character" w:styleId="ListLabel198">
    <w:name w:val="ListLabel 198"/>
    <w:qFormat/>
    <w:rPr>
      <w:rFonts w:cs="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i w:val="false"/>
      <w:iCs w:val="false"/>
    </w:rPr>
  </w:style>
  <w:style w:type="character" w:styleId="ListLabel235">
    <w:name w:val="ListLabel 235"/>
    <w:qFormat/>
    <w:rPr/>
  </w:style>
  <w:style w:type="character" w:styleId="ListLabel236">
    <w:name w:val="ListLabel 236"/>
    <w:qFormat/>
    <w:rPr/>
  </w:style>
  <w:style w:type="character" w:styleId="ListLabel237">
    <w:name w:val="ListLabel 237"/>
    <w:qFormat/>
    <w:rPr>
      <w:b w:val="false"/>
      <w:bCs w:val="false"/>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i w:val="false"/>
      <w:iCs w:val="false"/>
    </w:rPr>
  </w:style>
  <w:style w:type="character" w:styleId="ListLabel275">
    <w:name w:val="ListLabel 275"/>
    <w:qFormat/>
    <w:rPr/>
  </w:style>
  <w:style w:type="character" w:styleId="ListLabel276">
    <w:name w:val="ListLabel 276"/>
    <w:qFormat/>
    <w:rPr/>
  </w:style>
  <w:style w:type="character" w:styleId="ListLabel277">
    <w:name w:val="ListLabel 277"/>
    <w:qFormat/>
    <w:rPr>
      <w:b w:val="false"/>
      <w:bCs w:val="false"/>
    </w:rPr>
  </w:style>
  <w:style w:type="character" w:styleId="ListLabel278">
    <w:name w:val="ListLabel 278"/>
    <w:qFormat/>
    <w:rPr>
      <w:rFonts w:cs="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i w:val="false"/>
      <w:iCs w:val="false"/>
    </w:rPr>
  </w:style>
  <w:style w:type="character" w:styleId="ListLabel324">
    <w:name w:val="ListLabel 324"/>
    <w:qFormat/>
    <w:rPr/>
  </w:style>
  <w:style w:type="character" w:styleId="ListLabel325">
    <w:name w:val="ListLabel 325"/>
    <w:qFormat/>
    <w:rPr/>
  </w:style>
  <w:style w:type="character" w:styleId="ListLabel326">
    <w:name w:val="ListLabel 326"/>
    <w:qFormat/>
    <w:rPr>
      <w:b w:val="false"/>
      <w:bCs w:val="false"/>
    </w:rPr>
  </w:style>
  <w:style w:type="character" w:styleId="ListLabel327">
    <w:name w:val="ListLabel 327"/>
    <w:qFormat/>
    <w:rPr>
      <w:rFonts w:cs="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i w:val="false"/>
      <w:iCs w:val="false"/>
    </w:rPr>
  </w:style>
  <w:style w:type="character" w:styleId="ListLabel373">
    <w:name w:val="ListLabel 373"/>
    <w:qFormat/>
    <w:rPr/>
  </w:style>
  <w:style w:type="character" w:styleId="ListLabel374">
    <w:name w:val="ListLabel 374"/>
    <w:qFormat/>
    <w:rPr/>
  </w:style>
  <w:style w:type="character" w:styleId="ListLabel375">
    <w:name w:val="ListLabel 375"/>
    <w:qFormat/>
    <w:rPr>
      <w:b w:val="false"/>
      <w:bCs w:val="false"/>
    </w:rPr>
  </w:style>
  <w:style w:type="character" w:styleId="ListLabel376">
    <w:name w:val="ListLabel 376"/>
    <w:qFormat/>
    <w:rPr>
      <w:rFonts w:cs="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i w:val="false"/>
      <w:iCs w:val="false"/>
    </w:rPr>
  </w:style>
  <w:style w:type="character" w:styleId="ListLabel422">
    <w:name w:val="ListLabel 422"/>
    <w:qFormat/>
    <w:rPr/>
  </w:style>
  <w:style w:type="character" w:styleId="ListLabel423">
    <w:name w:val="ListLabel 423"/>
    <w:qFormat/>
    <w:rPr/>
  </w:style>
  <w:style w:type="character" w:styleId="ListLabel424">
    <w:name w:val="ListLabel 424"/>
    <w:qFormat/>
    <w:rPr>
      <w:b w:val="false"/>
      <w:bCs w:val="false"/>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www.nhm.ac.uk/content/dam/nhmwww/visit/Exhibitions/dippy-returns/dippy-returns-large-print-guide.pdf" TargetMode="External"/><Relationship Id="rId11" Type="http://schemas.openxmlformats.org/officeDocument/2006/relationships/hyperlink" Target="https://web.archive.org/web/20220527100249/https://www.nhm.ac.uk/content/dam/nhmwww/visit/Exhibitions/dippy-returns/dippy-returns-large-print-guide.pdf" TargetMode="External"/><Relationship Id="rId12" Type="http://schemas.openxmlformats.org/officeDocument/2006/relationships/hyperlink" Target="http://hdl.handle.net/2246/6497" TargetMode="External"/><Relationship Id="rId13" Type="http://schemas.openxmlformats.org/officeDocument/2006/relationships/hyperlink" Target="https://peacepalacelibrary.nl/blog/2017/diplodocus-carnegii-peace-diplomacy-dinosaur" TargetMode="External"/><Relationship Id="rId14" Type="http://schemas.openxmlformats.org/officeDocument/2006/relationships/hyperlink" Target="https://www.spectator.co.uk/article/dippygate-natural-history-museum-s-diplodocus-sacrificed-on-the-commercial-altar"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28511</TotalTime>
  <Application>LibreOffice/6.1.3.2$MacOSX_X86_64 LibreOffice_project/86daf60bf00efa86ad547e59e09d6bb77c699acb</Application>
  <Pages>30</Pages>
  <Words>14879</Words>
  <Characters>78190</Characters>
  <CharactersWithSpaces>92576</CharactersWithSpaces>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2022-09-22T21:49:53Z</dcterms:modified>
  <cp:revision>723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