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highlight w:val="yellow"/>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casting, history, Carnegie</w:t>
      </w:r>
    </w:p>
    <w:p>
      <w:pPr>
        <w:pStyle w:val="Abstract"/>
        <w:ind w:left="0" w:right="567" w:hanging="0"/>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0108_2834848739">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1836_55120580">
        <w:r>
          <w:rPr>
            <w:rStyle w:val="IndexLink"/>
          </w:rPr>
          <w:t>Material in the mounted skeleton</w:t>
          <w:tab/>
          <w:t>7</w:t>
        </w:r>
      </w:hyperlink>
    </w:p>
    <w:p>
      <w:pPr>
        <w:pStyle w:val="Contents2"/>
        <w:tabs>
          <w:tab w:val="clear" w:pos="9355"/>
          <w:tab w:val="right" w:pos="9638" w:leader="dot"/>
        </w:tabs>
        <w:rPr/>
      </w:pPr>
      <w:hyperlink w:anchor="__RefHeading___Toc1838_55120580">
        <w:r>
          <w:rPr>
            <w:rStyle w:val="IndexLink"/>
          </w:rPr>
          <w:t>The original mount at the Carnegie Museum</w:t>
          <w:tab/>
          <w:t>7</w:t>
        </w:r>
      </w:hyperlink>
    </w:p>
    <w:p>
      <w:pPr>
        <w:pStyle w:val="Contents2"/>
        <w:tabs>
          <w:tab w:val="clear" w:pos="9355"/>
          <w:tab w:val="right" w:pos="9638" w:leader="dot"/>
        </w:tabs>
        <w:rPr/>
      </w:pPr>
      <w:hyperlink w:anchor="__RefHeading___Toc3280_55120580">
        <w:r>
          <w:rPr>
            <w:rStyle w:val="IndexLink"/>
          </w:rPr>
          <w:t>Changes made to the mount at the Carnegie Museum</w:t>
          <w:tab/>
          <w:t>10</w:t>
        </w:r>
      </w:hyperlink>
    </w:p>
    <w:p>
      <w:pPr>
        <w:pStyle w:val="Contents3"/>
        <w:tabs>
          <w:tab w:val="clear" w:pos="9072"/>
          <w:tab w:val="right" w:pos="9638" w:leader="dot"/>
        </w:tabs>
        <w:rPr/>
      </w:pPr>
      <w:hyperlink w:anchor="__RefHeading___Toc3738_2834848739">
        <w:r>
          <w:rPr>
            <w:rStyle w:val="IndexLink"/>
          </w:rPr>
          <w:t>Replacement of skull with CM 11161</w:t>
          <w:tab/>
          <w:t>10</w:t>
        </w:r>
      </w:hyperlink>
    </w:p>
    <w:p>
      <w:pPr>
        <w:pStyle w:val="Contents3"/>
        <w:tabs>
          <w:tab w:val="clear" w:pos="9072"/>
          <w:tab w:val="right" w:pos="9638" w:leader="dot"/>
        </w:tabs>
        <w:rPr/>
      </w:pPr>
      <w:hyperlink w:anchor="__RefHeading___Toc3740_2834848739">
        <w:r>
          <w:rPr>
            <w:rStyle w:val="IndexLink"/>
          </w:rPr>
          <w:t>1999 replacement of manus with CM 662 sculptures</w:t>
          <w:tab/>
          <w:t>11</w:t>
        </w:r>
      </w:hyperlink>
    </w:p>
    <w:p>
      <w:pPr>
        <w:pStyle w:val="Contents3"/>
        <w:tabs>
          <w:tab w:val="clear" w:pos="9072"/>
          <w:tab w:val="right" w:pos="9638" w:leader="dot"/>
        </w:tabs>
        <w:rPr/>
      </w:pPr>
      <w:hyperlink w:anchor="__RefHeading___Toc6555_802501007">
        <w:r>
          <w:rPr>
            <w:rStyle w:val="IndexLink"/>
          </w:rPr>
          <w:t>2007 refurbishment of the dinosaur exhibition</w:t>
          <w:tab/>
          <w:t>11</w:t>
        </w:r>
      </w:hyperlink>
    </w:p>
    <w:p>
      <w:pPr>
        <w:pStyle w:val="Contents3"/>
        <w:tabs>
          <w:tab w:val="clear" w:pos="9072"/>
          <w:tab w:val="right" w:pos="9638" w:leader="dot"/>
        </w:tabs>
        <w:rPr/>
      </w:pPr>
      <w:hyperlink w:anchor="__RefHeading___Toc3742_2834848739">
        <w:r>
          <w:rPr>
            <w:rStyle w:val="IndexLink"/>
          </w:rPr>
          <w:t>Manus WDC-FS001A</w:t>
          <w:tab/>
          <w:t>11</w:t>
        </w:r>
      </w:hyperlink>
    </w:p>
    <w:p>
      <w:pPr>
        <w:pStyle w:val="Contents3"/>
        <w:tabs>
          <w:tab w:val="clear" w:pos="9072"/>
          <w:tab w:val="right" w:pos="9638" w:leader="dot"/>
        </w:tabs>
        <w:rPr/>
      </w:pPr>
      <w:hyperlink w:anchor="__RefHeading___Toc3744_2834848739">
        <w:r>
          <w:rPr>
            <w:rStyle w:val="IndexLink"/>
          </w:rPr>
          <w:t>Forelimbs from BYU material</w:t>
          <w:tab/>
          <w:t>11</w:t>
        </w:r>
      </w:hyperlink>
    </w:p>
    <w:p>
      <w:pPr>
        <w:pStyle w:val="Contents3"/>
        <w:tabs>
          <w:tab w:val="clear" w:pos="9072"/>
          <w:tab w:val="right" w:pos="9638" w:leader="dot"/>
        </w:tabs>
        <w:rPr/>
      </w:pPr>
      <w:hyperlink w:anchor="__RefHeading___Toc3746_2834848739">
        <w:r>
          <w:rPr>
            <w:rStyle w:val="IndexLink"/>
          </w:rPr>
          <w:t>Distal caudal vertebrae</w:t>
          <w:tab/>
          <w:t>12</w:t>
        </w:r>
      </w:hyperlink>
    </w:p>
    <w:p>
      <w:pPr>
        <w:pStyle w:val="Contents2"/>
        <w:tabs>
          <w:tab w:val="clear" w:pos="9355"/>
          <w:tab w:val="right" w:pos="9638" w:leader="dot"/>
        </w:tabs>
        <w:rPr/>
      </w:pPr>
      <w:hyperlink w:anchor="__RefHeading___Toc3282_55120580">
        <w:r>
          <w:rPr>
            <w:rStyle w:val="IndexLink"/>
          </w:rPr>
          <w:t>The casts made from the Carnegie molds</w:t>
          <w:tab/>
          <w:t>12</w:t>
        </w:r>
      </w:hyperlink>
    </w:p>
    <w:p>
      <w:pPr>
        <w:pStyle w:val="Contents1"/>
        <w:tabs>
          <w:tab w:val="right" w:pos="9638" w:leader="dot"/>
        </w:tabs>
        <w:rPr/>
      </w:pPr>
      <w:hyperlink w:anchor="__RefHeading___Toc3401_68767826">
        <w:r>
          <w:rPr>
            <w:rStyle w:val="IndexLink"/>
          </w:rPr>
          <w:t>Discussion</w:t>
          <w:tab/>
          <w:t>12</w:t>
        </w:r>
      </w:hyperlink>
    </w:p>
    <w:p>
      <w:pPr>
        <w:pStyle w:val="Contents1"/>
        <w:tabs>
          <w:tab w:val="right" w:pos="9638" w:leader="dot"/>
        </w:tabs>
        <w:rPr/>
      </w:pPr>
      <w:hyperlink w:anchor="__RefHeading___Toc1833_55120580">
        <w:r>
          <w:rPr>
            <w:rStyle w:val="IndexLink"/>
          </w:rPr>
          <w:t>Acknowledgements</w:t>
          <w:tab/>
          <w:t>12</w:t>
        </w:r>
      </w:hyperlink>
    </w:p>
    <w:p>
      <w:pPr>
        <w:pStyle w:val="Contents1"/>
        <w:tabs>
          <w:tab w:val="right" w:pos="9638" w:leader="dot"/>
        </w:tabs>
        <w:rPr/>
      </w:pPr>
      <w:hyperlink w:anchor="__RefHeading___Toc3405_68767826">
        <w:r>
          <w:rPr>
            <w:rStyle w:val="IndexLink"/>
          </w:rPr>
          <w:t>References</w:t>
          <w:tab/>
          <w:t>13</w:t>
        </w:r>
      </w:hyperlink>
    </w:p>
    <w:p>
      <w:pPr>
        <w:pStyle w:val="Contents1"/>
        <w:tabs>
          <w:tab w:val="right" w:pos="9638" w:leader="dot"/>
        </w:tabs>
        <w:rPr/>
      </w:pPr>
      <w:hyperlink w:anchor="__RefHeading___Toc5233_14216418">
        <w:r>
          <w:rPr>
            <w:rStyle w:val="IndexLink"/>
          </w:rPr>
          <w:t>Tables</w:t>
          <w:tab/>
          <w:t>16</w:t>
        </w:r>
      </w:hyperlink>
    </w:p>
    <w:p>
      <w:pPr>
        <w:pStyle w:val="Contents1"/>
        <w:tabs>
          <w:tab w:val="right" w:pos="9638" w:leader="dot"/>
        </w:tabs>
        <w:rPr/>
      </w:pPr>
      <w:hyperlink w:anchor="__RefHeading___Toc3407_68767826">
        <w:r>
          <w:rPr>
            <w:rStyle w:val="IndexLink"/>
          </w:rPr>
          <w:t>Figure Captions</w:t>
          <w:tab/>
          <w:t>18</w:t>
        </w:r>
      </w:hyperlink>
    </w:p>
    <w:p>
      <w:pPr>
        <w:pStyle w:val="Heading1"/>
        <w:rPr/>
      </w:pPr>
      <w:r>
        <w:rPr/>
      </w:r>
      <w:r>
        <w:rPr/>
        <w:fldChar w:fldCharType="end"/>
      </w:r>
    </w:p>
    <w:p>
      <w:pPr>
        <w:pStyle w:val="Heading1"/>
        <w:rPr/>
      </w:pPr>
      <w:bookmarkStart w:id="1" w:name="__RefHeading___Toc10108_2834848739"/>
      <w:bookmarkEnd w:id="1"/>
      <w:r>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w:t>
      </w:r>
      <w:r>
        <w:rPr>
          <w:highlight w:val="yellow"/>
        </w:rPr>
        <w:t>XXX Mike, make sure this is consistently the case.</w:t>
      </w:r>
    </w:p>
    <w:p>
      <w:pPr>
        <w:pStyle w:val="TextBody"/>
        <w:rPr/>
      </w:pPr>
      <w:r>
        <w:rPr/>
        <w:t>The diplodocine specimen initially designated CM 662 was moved to the Cleveland Museum of Natural History in 1956, museum director Graham Netting having told head of vertebrate paleontology J. LeRoy Kay to trade large dinosaur specimens due to lack of storage space. It was there given the specimen number CMNH 10670. Some time later, the specimen was sold for $15,000 to the Houston Museum of Natural History, where it was catalogued as HMNS 175 and mounted in 1975. For simplicity we refer to this specimen throughout by its original designation CM 662, as it was under this specimen number that most of its role in this story was played out.</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3" w:name="__RefHeading___Toc5349_68767826"/>
      <w:bookmarkEnd w:id="3"/>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 xml:space="preserve">BYU — Brigham Young University, </w:t>
      </w:r>
      <w:bookmarkStart w:id="4" w:name="__DdeLink__5240_14216418"/>
      <w:r>
        <w:rPr/>
        <w:t>Provo, Utah</w:t>
      </w:r>
      <w:bookmarkEnd w:id="4"/>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Heading1"/>
        <w:numPr>
          <w:ilvl w:val="0"/>
          <w:numId w:val="2"/>
        </w:numPr>
        <w:ind w:left="0" w:right="0" w:hanging="0"/>
        <w:rPr/>
      </w:pPr>
      <w:bookmarkStart w:id="5" w:name="__RefHeading___Toc4316_68767826"/>
      <w:bookmarkEnd w:id="5"/>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To defray the high cost of producing the cast, Holland suggested that the molds could be used to create multiple casts which Carnegie could gift to other heads of state — and idea that appealed greatly to Carnegie.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(Agostini seems to have continued to work for Carnegie Museum for at least another 30 years, as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w:t>
      </w:r>
    </w:p>
    <w:p>
      <w:pPr>
        <w:pStyle w:val="TextBody"/>
        <w:rPr/>
      </w:pPr>
      <w:r>
        <w:rPr/>
        <w:t xml:space="preserve">In late June of 1904, the cast created for the British Museum was temporarily mounted as a trial at the Pittsburgh Exposition Society Hall — </w:t>
      </w:r>
      <w:bookmarkStart w:id="6" w:name="__DdeLink__1838_3070709084"/>
      <w:r>
        <w:rPr/>
        <w:t>see photograph in Nieuwland 2019:figure 3.1</w:t>
      </w:r>
      <w:bookmarkEnd w:id="6"/>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 was unveiled at the BMNH — see photographs in Holland 1905:plates XVII and XVIII.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Coggleshall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Berlin beginning on 14 April 2008, and the work was complete by 13 May. The exhibition was opened to little fanfare, with no formal unveiling event, and the mounted skeleton was positioned off to the side of the museum’s main hall, which remained dominated by whale skeletons (Nieuwland 2019:115–118).</w:t>
      </w:r>
    </w:p>
    <w:p>
      <w:pPr>
        <w:pStyle w:val="TextBody"/>
        <w:rPr/>
      </w:pPr>
      <w:r>
        <w:rPr/>
        <w:t>On 22 May, Holland and Coggleshall arrived in Paris to erect the third cast at the Muséum National d’Histoire Naturelle (MNHN), to find that the French press were already raising public excitement. The work was completed in time for a lavish public ceremony on 15 June, in the great contrast to the muted launch of the Berlin mount. The Paris unveiling was attended by the French president, prime minister and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independently Tornier (1909) argued that its erect-legged posture was incorrect, and it should sprawl like a lizard. Abel (1910) and Holland (1910)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skeleton was mounted in a three-meter-wide corridor (Nieuwland 2019:216–219). The emperor was present for the unveiling on 24 September, 1909, but the ceremony appears to have been an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highlight w:val="yellow"/>
        </w:rPr>
      </w:pPr>
      <w:r>
        <w:rPr>
          <w:highlight w:val="yellow"/>
        </w:rPr>
        <w:t>XXX Ilja, can you please flesh out the remainder of the timeline from here?</w:t>
      </w:r>
    </w:p>
    <w:p>
      <w:pPr>
        <w:pStyle w:val="TextBody"/>
        <w:rPr/>
      </w:pPr>
      <w:r>
        <w:rPr/>
        <w:t>1909–1910: five further casts are made from the molds</w:t>
      </w:r>
    </w:p>
    <w:p>
      <w:pPr>
        <w:pStyle w:val="TextBody"/>
        <w:rPr/>
      </w:pPr>
      <w:r>
        <w:rPr/>
        <w:t>1910: a cast is mounted in St. Petersburgh (now Leningrad), Russia. Discuss posture.</w:t>
      </w:r>
    </w:p>
    <w:p>
      <w:pPr>
        <w:pStyle w:val="TextBody"/>
        <w:rPr/>
      </w:pPr>
      <w:r>
        <w:rPr/>
        <w:t xml:space="preserve">1912: another cast is mounted in La Plata, on the outskirts of Buenos Aires, Argentina. See Otero and Gasparini 2014 at </w:t>
      </w:r>
      <w:hyperlink r:id="rId3">
        <w:r>
          <w:rPr>
            <w:rStyle w:val="InternetLink"/>
          </w:rPr>
          <w:t>https://bioone.org/journals/annals-of-carnegie-museum/volume-82/issue-3/007.082.0301/The-History-of-the-Cast-Skeleton-of-Diplodocus-carnegii-Hatcher/10.2992/007.082.0301.short</w:t>
        </w:r>
      </w:hyperlink>
      <w:r>
        <w:rPr/>
        <w:t xml:space="preserve"> </w:t>
      </w:r>
    </w:p>
    <w:p>
      <w:pPr>
        <w:pStyle w:val="TextBody"/>
        <w:rPr/>
      </w:pPr>
      <w:r>
        <w:rPr/>
        <w:t>1913: another cast is mounted in Madrid, Spain.</w:t>
      </w:r>
    </w:p>
    <w:p>
      <w:pPr>
        <w:pStyle w:val="TextBody"/>
        <w:rPr/>
      </w:pPr>
      <w:r>
        <w:rPr/>
        <w:t>1914: The Great War breaks out, ending Carnegie's arbitration campaign that was the main reason for donating casts, and reducing the pace of creating new casts.</w:t>
      </w:r>
    </w:p>
    <w:p>
      <w:pPr>
        <w:pStyle w:val="TextBody"/>
        <w:rPr/>
      </w:pPr>
      <w:r>
        <w:rPr/>
        <w:t>1917 at the latest: the molds went into storage and are not used again, according to Untermann (1959:364).</w:t>
      </w:r>
    </w:p>
    <w:p>
      <w:pPr>
        <w:pStyle w:val="TextBody"/>
        <w:rPr/>
      </w:pPr>
      <w:r>
        <w:rPr/>
        <w:t>1919: Carnegie dies, leaving no permanent endowment for vertebrate palaeontology at the Carnegie Museum (Brinkman 2010:109), plunging the department into financial difficulty.</w:t>
      </w:r>
    </w:p>
    <w:p>
      <w:pPr>
        <w:pStyle w:val="TextBody"/>
        <w:rPr/>
      </w:pPr>
      <w:r>
        <w:rPr/>
        <w:t>1932: the penultimate cast is mounted in Mexico (with missing/damaged parts produced and added in 1931/2), funded in part by Carnegie’s widow Louise.</w:t>
      </w:r>
    </w:p>
    <w:p>
      <w:pPr>
        <w:pStyle w:val="TextBody"/>
        <w:rPr/>
      </w:pPr>
      <w:r>
        <w:rPr/>
        <w:t xml:space="preserve">1934: the final cast is sent to Munich, but never mounted. </w:t>
      </w:r>
      <w:r>
        <w:rPr>
          <w:color w:val="CE181E"/>
        </w:rPr>
        <w:t xml:space="preserve">“In November and December a replica of the skeleton of </w:t>
      </w:r>
      <w:r>
        <w:rPr>
          <w:i/>
          <w:iCs/>
          <w:color w:val="CE181E"/>
        </w:rPr>
        <w:t>Diplodocus carnegiei</w:t>
      </w:r>
      <w:r>
        <w:rPr>
          <w:color w:val="CE181E"/>
        </w:rPr>
        <w:t xml:space="preserve"> was assembled, repaired, boxed, and shipped to Munich, in completion of an exchange of fossil material received some five years ago” (Carnegie Institute 1934:40).</w:t>
      </w:r>
    </w:p>
    <w:p>
      <w:pPr>
        <w:pStyle w:val="TextBody"/>
        <w:rPr/>
      </w:pPr>
      <w:r>
        <w:rPr/>
        <w:t xml:space="preserve">See Taylor and Sroka in prep. on the Concrete </w:t>
      </w:r>
      <w:r>
        <w:rPr>
          <w:i/>
          <w:iCs/>
        </w:rPr>
        <w:t>Diplodocus</w:t>
      </w:r>
      <w:r>
        <w:rPr/>
        <w:t xml:space="preserve"> of Vernal.</w:t>
      </w:r>
    </w:p>
    <w:p>
      <w:pPr>
        <w:pStyle w:val="TextBody"/>
        <w:rPr/>
      </w:pPr>
      <w:r>
        <w:rPr/>
        <w:t xml:space="preserve">See Taylor et al. In prep. on the AMNH rearing </w:t>
      </w:r>
      <w:r>
        <w:rPr>
          <w:i/>
          <w:iCs/>
        </w:rPr>
        <w:t>Barosaurus</w:t>
      </w:r>
      <w:r>
        <w:rPr/>
        <w:t xml:space="preserve"> mount.</w:t>
      </w:r>
    </w:p>
    <w:p>
      <w:pPr>
        <w:pStyle w:val="TextBody"/>
        <w:rPr/>
      </w:pPr>
      <w:r>
        <w:rPr/>
        <w:t xml:space="preserve">See Table B for a summary of all the Carnegie </w:t>
      </w:r>
      <w:r>
        <w:rPr>
          <w:i/>
          <w:iCs/>
        </w:rPr>
        <w:t>Diplodocus</w:t>
      </w:r>
      <w:r>
        <w:rPr/>
        <w:t xml:space="preserve"> casts.</w:t>
      </w:r>
    </w:p>
    <w:p>
      <w:pPr>
        <w:pStyle w:val="Heading1"/>
        <w:numPr>
          <w:ilvl w:val="0"/>
          <w:numId w:val="1"/>
        </w:numPr>
        <w:ind w:left="0" w:right="0" w:hanging="0"/>
        <w:rPr/>
      </w:pPr>
      <w:bookmarkStart w:id="7" w:name="__RefHeading___Toc1836_55120580"/>
      <w:bookmarkEnd w:id="7"/>
      <w:r>
        <w:rPr/>
        <w:t>Material in the mounted skeleton</w:t>
      </w:r>
    </w:p>
    <w:p>
      <w:pPr>
        <w:pStyle w:val="Heading2"/>
        <w:rPr/>
      </w:pPr>
      <w:bookmarkStart w:id="8" w:name="__RefHeading___Toc1838_55120580"/>
      <w:bookmarkEnd w:id="8"/>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5"/>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 xml:space="preserve">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w:t>
      </w:r>
      <w:r>
        <w:rPr>
          <w:highlight w:val="yellow"/>
        </w:rPr>
        <w:t>XXX Matt, do we know more about the atlas in the mount?</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the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skeletonbefore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 xml:space="preserve">Hatcher (1901:) </w:t>
      </w:r>
      <w:r>
        <w:rPr/>
        <w:t>noted that CM 94 “pertained to a somewhat smaller individual” than CM 84. Frustratingly, he gave few measurements of CM 94, and those he did give (e.g. of the ilium, p. 46) mostly do not have corresponding measurements of CM 84. The exception is in the femora, which Hatcher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w:t>
      </w:r>
      <w:r>
        <w:rPr/>
        <w:t>6</w:t>
      </w:r>
      <w:r>
        <w:rPr/>
        <w:t xml:space="preserve">) </w:t>
      </w:r>
      <w:r>
        <w:rPr/>
        <w:t>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w:t>
      </w:r>
      <w:r>
        <w:rPr>
          <w:highlight w:val="yellow"/>
        </w:rPr>
        <w:t>XXX all, is this really true?</w:t>
      </w:r>
      <w:r>
        <w:rPr/>
        <w:t>). We cannot therefore say with any confidence how large the specimen is compared with CM 84, beyond McIntosh’s (1981:20) mention of it being “the smaller individual”.</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McIntosh’s account of the mounted skeleton omits the source of several elements, and these omissions have not been remedied by any subsequent publication known to us. The elements of unspecifi</w:t>
      </w:r>
      <w:r>
        <w:rPr/>
        <w:t>ed</w:t>
      </w:r>
      <w:r>
        <w:rPr/>
        <w:t xml:space="preserve"> origin are the atlas (C1), chevrons, and left ilium, femur and tibia. </w:t>
      </w:r>
      <w:r>
        <w:rPr>
          <w:highlight w:val="yellow"/>
        </w:rPr>
        <w:t>XXX Matt, can we track this information down?</w:t>
      </w:r>
      <w:r>
        <w:rPr/>
        <w:t xml:space="preserve"> </w:t>
      </w:r>
      <w:r>
        <w:rPr/>
        <w:t>The paratype specimen CM 94 includes a left femur, which may have been used. (</w:t>
      </w:r>
      <w:r>
        <w:rPr>
          <w:highlight w:val="yellow"/>
        </w:rPr>
        <w:t>XXX Matt, was it?</w:t>
      </w:r>
      <w:r>
        <w:rPr/>
        <w:t xml:space="preserve">) </w:t>
      </w:r>
      <w:r>
        <w:rPr/>
        <w:t xml:space="preserve">Furthermore, while McIntosh noted that the left fibula and pes of the original mount were taken from CM 33985 and that these were not used in the casts, he did not say how the left fibula and pes were furnished in the casts. </w:t>
      </w:r>
      <w:r>
        <w:rPr>
          <w:highlight w:val="yellow"/>
        </w:rPr>
        <w:t>XXX Matt, can we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Holland (1906:255–256) continued “Many of the chevrons after the first six are reproductions of those found and described by Professor Osborn in his paper on </w:t>
      </w:r>
      <w:r>
        <w:rPr>
          <w:i/>
          <w:iCs/>
        </w:rPr>
        <w:t>Diplodocus</w:t>
      </w:r>
      <w:r>
        <w:rPr/>
        <w:t>”, i.e. AMNH 223, described by Osborn (1899).</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9" w:name="__RefHeading___Toc3280_55120580"/>
      <w:bookmarkEnd w:id="9"/>
      <w:r>
        <w:rPr/>
        <w:t>Changes made to the mount at the Carnegie Museum</w:t>
      </w:r>
    </w:p>
    <w:p>
      <w:pPr>
        <w:pStyle w:val="Heading3"/>
        <w:rPr/>
      </w:pPr>
      <w:bookmarkStart w:id="10" w:name="__RefHeading___Toc3738_2834848739"/>
      <w:bookmarkEnd w:id="10"/>
      <w:r>
        <w:rPr/>
        <w:t xml:space="preserve">Replacement of skull with </w:t>
      </w:r>
      <w:r>
        <w:rPr/>
        <w:t xml:space="preserve">cast of </w:t>
      </w:r>
      <w:r>
        <w:rPr/>
        <w:t>CM 11161</w:t>
      </w:r>
    </w:p>
    <w:p>
      <w:pPr>
        <w:pStyle w:val="TextBody"/>
        <w:rPr/>
      </w:pPr>
      <w:r>
        <w:rPr/>
        <w:t xml:space="preserve">The first known change made to the Carnegie mount was </w:t>
      </w:r>
      <w:r>
        <w:rPr/>
        <w:t xml:space="preserve">the </w:t>
      </w:r>
      <w:r>
        <w:rPr/>
        <w:t>replacement of the original skull sculpture based on CM 662 and USNM 2673. We have be</w:t>
      </w:r>
      <w:r>
        <w:rPr/>
        <w:t>e</w:t>
      </w:r>
      <w:r>
        <w:rPr/>
        <w:t>n unable to locate record</w:t>
      </w:r>
      <w:r>
        <w:rPr/>
        <w:t>s</w:t>
      </w:r>
      <w:r>
        <w:rPr/>
        <w:t xml:space="preserve"> stating which skull was used in the replacement, </w:t>
      </w:r>
      <w:r>
        <w:rPr/>
        <w:t xml:space="preserve">but it </w:t>
      </w:r>
      <w:r>
        <w:rPr/>
        <w:t xml:space="preserve">is still in place today </w:t>
      </w:r>
      <w:r>
        <w:rPr/>
        <w:t xml:space="preserve">and </w:t>
      </w:r>
      <w:r>
        <w:rPr/>
        <w:t>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w:t>
      </w:r>
      <w:r>
        <w:rPr/>
        <w:t xml:space="preserve">In a personal communication from the Carnegie Museum’s former Exhibits Preparator, who began </w:t>
      </w:r>
      <w:r>
        <w:rPr/>
        <w:t xml:space="preserve">working there in 1971, </w:t>
      </w:r>
      <w:r>
        <w:rPr/>
        <w:t>h</w:t>
      </w:r>
      <w:r>
        <w:rPr/>
        <w:t xml:space="preserve">e recalls making a model of the </w:t>
      </w:r>
      <w:r>
        <w:rPr>
          <w:i/>
          <w:iCs/>
        </w:rPr>
        <w:t>Apatosaurus</w:t>
      </w:r>
      <w:r>
        <w:rPr/>
        <w:t xml:space="preserve"> skull, </w:t>
      </w:r>
      <w:r>
        <w:rPr/>
        <w:t xml:space="preserve">but </w:t>
      </w:r>
      <w:r>
        <w:rPr/>
        <w:t xml:space="preserve">that he never made a model or a cast of the </w:t>
      </w:r>
      <w:r>
        <w:rPr>
          <w:i/>
          <w:iCs/>
        </w:rPr>
        <w:t>Diplo</w:t>
      </w:r>
      <w:r>
        <w:rPr>
          <w:i/>
          <w:iCs/>
        </w:rPr>
        <w:t>doc</w:t>
      </w:r>
      <w:r>
        <w:rPr>
          <w:i/>
          <w:iCs/>
        </w:rPr>
        <w:t>us</w:t>
      </w:r>
      <w:r>
        <w:rPr/>
        <w:t xml:space="preserve"> skull. </w:t>
      </w:r>
      <w:r>
        <w:rPr/>
        <w:t xml:space="preserve">This suggests that the replacement of the skull was completed before 1971 – perhaps, then, when Agostini created the </w:t>
      </w:r>
      <w:r>
        <w:rPr>
          <w:i/>
          <w:iCs/>
        </w:rPr>
        <w:t>Diplodocus</w:t>
      </w:r>
      <w:r>
        <w:rPr/>
        <w:t xml:space="preserve"> mold in 1962.</w:t>
      </w:r>
    </w:p>
    <w:p>
      <w:pPr>
        <w:pStyle w:val="TextBody"/>
        <w:rPr/>
      </w:pPr>
      <w:r>
        <w:rPr/>
        <w:t>Curiously</w:t>
      </w:r>
      <w:r>
        <w:rPr/>
        <w:t xml:space="preserve">, </w:t>
      </w:r>
      <w:r>
        <w:rPr/>
        <w:t xml:space="preserve">the skull replacement </w:t>
      </w:r>
      <w:r>
        <w:rPr/>
        <w:t xml:space="preserve">it is not mentioned in McIntosh’s (1981) account of all the dinosaur specimens at the Carnegie museum, and in particular not in the section on the mount on page 20. </w:t>
      </w:r>
      <w:r>
        <w:rPr/>
        <w:t>Given McIntosh’s habitual thoroughness, the omission from his account of the mounted skeleton is anomalous.</w:t>
      </w:r>
    </w:p>
    <w:p>
      <w:pPr>
        <w:pStyle w:val="TextBody"/>
        <w:rPr/>
      </w:pPr>
      <w:r>
        <w:rPr/>
        <w:t xml:space="preserve">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 </w:t>
      </w:r>
    </w:p>
    <w:p>
      <w:pPr>
        <w:pStyle w:val="Heading3"/>
        <w:rPr/>
      </w:pPr>
      <w:bookmarkStart w:id="11" w:name="__RefHeading___Toc3740_2834848739"/>
      <w:bookmarkEnd w:id="11"/>
      <w:r>
        <w:rPr/>
        <w:t>1999 replacement of manus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although it was already known at the time of mounting that sauropod forefeet had claws on only the first digit (Osborn 1904:181). Only nearly a century later, in the second quarter of 1999, were these error remedied, when Norman Wuerthele and Amy Henrici made casts of the forefeet of CM 662 (Carnegie Institute 1999), which were installed shortly afterwards. Although this individual was originally a Carnegie Museum specimen, by this point it was at the Houston Museum of Natural Science.</w:t>
      </w:r>
    </w:p>
    <w:p>
      <w:pPr>
        <w:pStyle w:val="Heading3"/>
        <w:rPr/>
      </w:pPr>
      <w:bookmarkStart w:id="12" w:name="__RefHeading___Toc6555_802501007"/>
      <w:bookmarkEnd w:id="12"/>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w:t>
      </w:r>
    </w:p>
    <w:p>
      <w:pPr>
        <w:pStyle w:val="TextBody"/>
        <w:rPr/>
      </w:pPr>
      <w:r>
        <w:rPr/>
        <w:t>XXX Expansion announced on Thursday 11 April, 2002 (Siemers 2007).</w:t>
      </w:r>
    </w:p>
    <w:p>
      <w:pPr>
        <w:pStyle w:val="TextBody"/>
        <w:rPr/>
      </w:pPr>
      <w:r>
        <w:rPr/>
        <w:t>XXX Hall closed on Friday 11 March 2005 at a special event (Horne 2005).</w:t>
      </w:r>
    </w:p>
    <w:p>
      <w:pPr>
        <w:pStyle w:val="TextBody"/>
        <w:rPr/>
      </w:pPr>
      <w:r>
        <w:rPr/>
        <w:t>XXX “The expanded dinosaur hall has required an extensive amount of work over the course of more than five years — from the 2002 master plan, through fund-raising, to the hiring of architects in 2004 and the main exhibition space closing in spring 2005 for the construction phase” (Hopey and McNulty 2007).</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and several changes were made to the materials incorporated in the mount, as follows.</w:t>
      </w:r>
    </w:p>
    <w:p>
      <w:pPr>
        <w:pStyle w:val="Heading3"/>
        <w:rPr/>
      </w:pPr>
      <w:bookmarkStart w:id="13" w:name="__RefHeading___Toc3742_2834848739"/>
      <w:bookmarkEnd w:id="13"/>
      <w:r>
        <w:rPr/>
        <w:t>Manus WDC-FS001A</w:t>
      </w:r>
    </w:p>
    <w:p>
      <w:pPr>
        <w:pStyle w:val="TextBody"/>
        <w:rPr/>
      </w:pPr>
      <w:r>
        <w:rPr/>
        <w:t>As noted above, CM 662 has been recognised since 1924 as representing a different species from CM 82, “</w:t>
      </w:r>
      <w:r>
        <w:rPr>
          <w:i/>
          <w:iCs/>
        </w:rPr>
        <w:t>Diplodocus</w:t>
      </w:r>
      <w:r>
        <w:rPr/>
        <w:t xml:space="preserve">” </w:t>
      </w:r>
      <w:r>
        <w:rPr>
          <w:i/>
          <w:iCs/>
        </w:rPr>
        <w:t>hayi</w:t>
      </w:r>
      <w:r>
        <w:rPr/>
        <w:t xml:space="preserve"> (Holland 1924:399). It was perhaps for this reason (</w:t>
      </w:r>
      <w:r>
        <w:rPr>
          <w:highlight w:val="yellow"/>
        </w:rPr>
        <w:t>XXX Matt, was it?</w:t>
      </w:r>
      <w:r>
        <w:rPr/>
        <w:t xml:space="preserve">)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w:t>
      </w:r>
    </w:p>
    <w:p>
      <w:pPr>
        <w:pStyle w:val="TextBody"/>
        <w:rPr/>
      </w:pPr>
      <w:r>
        <w:rPr/>
        <w:t xml:space="preserve">Since the removal of the CM 662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w:t>
      </w:r>
    </w:p>
    <w:p>
      <w:pPr>
        <w:pStyle w:val="Heading3"/>
        <w:rPr/>
      </w:pPr>
      <w:bookmarkStart w:id="14" w:name="__RefHeading___Toc3744_2834848739"/>
      <w:bookmarkEnd w:id="14"/>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email thread</w:t>
      </w:r>
      <w:r>
        <w:rPr/>
        <w:t xml:space="preserve"> (This specimen is described and illustrated by Tschopp et al. 2019:33–37 and referred by them to Camarasauridae indet.) The right forelimb, having been based on the diplodocine CM 622, was a better match for CM 82, but not perfect as discussed above. For this reason, both forelimbs were replaced in the 2007 remount by scaled-up sculptures based on the forelimb bones of a well preserved but smaller specimen of </w:t>
      </w:r>
      <w:r>
        <w:rPr>
          <w:i/>
          <w:iCs/>
        </w:rPr>
        <w:t>Diplodocus</w:t>
      </w:r>
      <w:r>
        <w:rPr/>
        <w:t xml:space="preserve">, BYU 681: specifically, the humerus BYU 681/4742, the radius BYU 681/4726 and the ulna BYU 681/4708 (Tschopp et al. 2019:33). XXX </w:t>
      </w:r>
      <w:r>
        <w:rPr>
          <w:highlight w:val="yellow"/>
        </w:rPr>
        <w:t>Matt, who did this work?</w:t>
      </w:r>
    </w:p>
    <w:p>
      <w:pPr>
        <w:pStyle w:val="Heading3"/>
        <w:rPr/>
      </w:pPr>
      <w:bookmarkStart w:id="15" w:name="__RefHeading___Toc3746_2834848739"/>
      <w:bookmarkEnd w:id="15"/>
      <w:r>
        <w:rPr/>
        <w:t>Distal caudal vertebrae</w:t>
      </w:r>
    </w:p>
    <w:p>
      <w:pPr>
        <w:pStyle w:val="TextBody"/>
        <w:rPr/>
      </w:pPr>
      <w:r>
        <w:rPr/>
        <w:t xml:space="preserve">Also included in the 2007 remount were about ten additional distal “whiplash” caudals, bringing the total number of caudal vertebrae to ~83. The rationale was that the complete tail of the small apatosaurine specimen </w:t>
      </w:r>
      <w:bookmarkStart w:id="16" w:name="__DdeLink__1281_802501007"/>
      <w:r>
        <w:rPr/>
        <w:t>CM 3378</w:t>
      </w:r>
      <w:bookmarkEnd w:id="16"/>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highlight w:val="yellow"/>
        </w:rPr>
      </w:pPr>
      <w:r>
        <w:rPr>
          <w:highlight w:val="yellow"/>
        </w:rPr>
        <w:t>XXX Matt, what is the current length of the mount and how was it measured? Photogrammetry, LiDAR scan, string?</w:t>
      </w:r>
    </w:p>
    <w:p>
      <w:pPr>
        <w:pStyle w:val="Heading2"/>
        <w:rPr/>
      </w:pPr>
      <w:bookmarkStart w:id="17" w:name="__RefHeading___Toc3282_55120580"/>
      <w:bookmarkEnd w:id="17"/>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r>
        <w:rPr/>
        <w:t xml:space="preserve"> </w:t>
      </w:r>
      <w:r>
        <w:rPr>
          <w:highlight w:val="yellow"/>
        </w:rPr>
        <w:t>XXX Mike: perhaps visit the Paris mount and see if they are mirrored?</w:t>
      </w:r>
    </w:p>
    <w:p>
      <w:pPr>
        <w:pStyle w:val="TextBody"/>
        <w:rPr/>
      </w:pPr>
      <w:r>
        <w:rPr>
          <w:highlight w:val="yellow"/>
        </w:rPr>
        <w:t>XXX Mike: replacement of skulls etc. in casts</w:t>
      </w:r>
    </w:p>
    <w:p>
      <w:pPr>
        <w:pStyle w:val="Heading1"/>
        <w:numPr>
          <w:ilvl w:val="0"/>
          <w:numId w:val="3"/>
        </w:numPr>
        <w:ind w:left="0" w:right="0" w:hanging="0"/>
        <w:rPr/>
      </w:pPr>
      <w:bookmarkStart w:id="18" w:name="__RefHeading___Toc3401_68767826"/>
      <w:bookmarkEnd w:id="18"/>
      <w:r>
        <w:rPr/>
        <w:t>Discussion</w:t>
      </w:r>
    </w:p>
    <w:p>
      <w:pPr>
        <w:pStyle w:val="TextBody"/>
        <w:rPr>
          <w:highlight w:val="yellow"/>
        </w:rPr>
      </w:pPr>
      <w:r>
        <w:rPr>
          <w:highlight w:val="yellow"/>
        </w:rPr>
        <w:t>XXX Mike: difficulty of tracking down all this information, importance of records</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and Sroka in prep.);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eight years until the forefeet of the Carnegie mount were replaced; eight more years until the renovationof the Carnegie mount; ten years until the Natural History Museum removed the first ever </w:t>
      </w:r>
      <w:r>
        <w:rPr>
          <w:i/>
          <w:iCs/>
        </w:rPr>
        <w:t>Diplodocus</w:t>
      </w:r>
      <w:r>
        <w:rPr/>
        <w:t xml:space="preserve"> cast from display to make more room for corporate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19" w:name="__RefHeading___Toc1833_55120580"/>
      <w:bookmarkEnd w:id="19"/>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Mathew J. Wedel and Josh Franzos for allowing us to use their photographs of the Carnegie mount (Figure A) and of the cast skull of the Carnegie mount (Figure F). Mike Taylor thanks his wife Fiona for tolerating his obsession with historical sauropod mounts that has consumed many months of evenings.</w:t>
      </w:r>
    </w:p>
    <w:p>
      <w:pPr>
        <w:pStyle w:val="Heading1"/>
        <w:numPr>
          <w:ilvl w:val="0"/>
          <w:numId w:val="3"/>
        </w:numPr>
        <w:ind w:left="0" w:right="0" w:hanging="0"/>
        <w:rPr/>
      </w:pPr>
      <w:bookmarkStart w:id="20" w:name="__RefHeading___Toc3405_68767826"/>
      <w:bookmarkEnd w:id="20"/>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bookmarkStart w:id="21" w:name="__DdeLink__2481_14216418"/>
      <w:r>
        <w:rPr/>
        <w:t>Anonymous</w:t>
      </w:r>
      <w:bookmarkEnd w:id="21"/>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5">
        <w:r>
          <w:rPr>
            <w:rStyle w:val="InternetLink"/>
          </w:rPr>
          <w:t>https://digitallibrary.amnh.org/handle/2246/6331</w:t>
        </w:r>
      </w:hyperlink>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bookmarkStart w:id="22" w:name="__DdeLink__5014_2834848739"/>
      <w:r>
        <w:rPr/>
        <w:t xml:space="preserve">Carnegie Institute. 1934. </w:t>
      </w:r>
      <w:r>
        <w:rPr>
          <w:i/>
          <w:iCs/>
        </w:rPr>
        <w:t>Thirty-seventh annual report of the Carnegie Museum, Carnegie Institute, Pittsburgh</w:t>
      </w:r>
      <w:r>
        <w:rPr/>
        <w:t>.</w:t>
      </w:r>
      <w:bookmarkEnd w:id="22"/>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bookmarkStart w:id="23" w:name="__DdeLink__16582_68767826"/>
      <w:r>
        <w:rPr/>
        <w:t>Nieuwland</w:t>
      </w:r>
      <w:bookmarkEnd w:id="23"/>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7">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Steven D. Sroka. In prep.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and Eugene S. Gaffney. In prep.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Heading1"/>
        <w:rPr/>
      </w:pPr>
      <w:r>
        <w:rPr/>
      </w:r>
      <w:r>
        <w:br w:type="page"/>
      </w:r>
    </w:p>
    <w:p>
      <w:pPr>
        <w:pStyle w:val="Heading1"/>
        <w:rPr/>
      </w:pPr>
      <w:bookmarkStart w:id="24" w:name="__RefHeading___Toc5233_14216418"/>
      <w:bookmarkEnd w:id="24"/>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changed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4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622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USNM 2673 (S) </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50" w:type="dxa"/>
          <w:bottom w:w="55" w:type="dxa"/>
          <w:right w:w="55" w:type="dxa"/>
        </w:tblCellMar>
      </w:tblPr>
      <w:tblGrid>
        <w:gridCol w:w="1990"/>
        <w:gridCol w:w="3900"/>
        <w:gridCol w:w="1937"/>
        <w:gridCol w:w="1810"/>
      </w:tblGrid>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 mand Fallières</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Alfonso XIII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28 November 1913</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never</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Author"/>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25" w:name="__RefHeading___Toc3407_68767826"/>
      <w:bookmarkEnd w:id="25"/>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i w:val="false"/>
      <w:iCs w:val="false"/>
    </w:rPr>
  </w:style>
  <w:style w:type="character" w:styleId="ListLabel60">
    <w:name w:val="ListLabel 60"/>
    <w:qFormat/>
    <w:rPr/>
  </w:style>
  <w:style w:type="character" w:styleId="ListLabel61">
    <w:name w:val="ListLabel 61"/>
    <w:qFormat/>
    <w:rPr>
      <w:rFonts w:cs="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i w:val="false"/>
      <w:iCs w:val="false"/>
    </w:rPr>
  </w:style>
  <w:style w:type="character" w:styleId="ListLabel80">
    <w:name w:val="ListLabel 80"/>
    <w:qFormat/>
    <w:rPr/>
  </w:style>
  <w:style w:type="character" w:styleId="ListLabel81">
    <w:name w:val="ListLabel 81"/>
    <w:qFormat/>
    <w:rPr>
      <w:rFonts w:cs="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i w:val="false"/>
      <w:iCs w:val="false"/>
    </w:rPr>
  </w:style>
  <w:style w:type="character" w:styleId="ListLabel100">
    <w:name w:val="ListLabel 100"/>
    <w:qFormat/>
    <w:rPr/>
  </w:style>
  <w:style w:type="character" w:styleId="ListLabel101">
    <w:name w:val="ListLabel 101"/>
    <w:qFormat/>
    <w:rPr>
      <w:rFonts w:cs="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i w:val="false"/>
      <w:iCs w:val="false"/>
    </w:rPr>
  </w:style>
  <w:style w:type="character" w:styleId="ListLabel120">
    <w:name w:val="ListLabel 120"/>
    <w:qFormat/>
    <w:rPr/>
  </w:style>
  <w:style w:type="character" w:styleId="ListLabel121">
    <w:name w:val="ListLabel 121"/>
    <w:qFormat/>
    <w:rPr>
      <w:rFonts w:cs="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i w:val="false"/>
      <w:iCs w:val="false"/>
    </w:rPr>
  </w:style>
  <w:style w:type="character" w:styleId="ListLabel140">
    <w:name w:val="ListLabel 140"/>
    <w:qFormat/>
    <w:rPr/>
  </w:style>
  <w:style w:type="character" w:styleId="ListLabel141">
    <w:name w:val="ListLabel 141"/>
    <w:qFormat/>
    <w:rPr>
      <w:rFonts w:cs="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i w:val="false"/>
      <w:iCs w:val="false"/>
    </w:rPr>
  </w:style>
  <w:style w:type="character" w:styleId="ListLabel160">
    <w:name w:val="ListLabel 160"/>
    <w:qFormat/>
    <w:rPr/>
  </w:style>
  <w:style w:type="character" w:styleId="ListLabel161">
    <w:name w:val="ListLabel 161"/>
    <w:qFormat/>
    <w:rPr>
      <w:rFonts w:cs="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i w:val="false"/>
      <w:iCs w:val="false"/>
    </w:rPr>
  </w:style>
  <w:style w:type="character" w:styleId="ListLabel180">
    <w:name w:val="ListLabel 180"/>
    <w:qFormat/>
    <w:rPr/>
  </w:style>
  <w:style w:type="character" w:styleId="ListLabel181">
    <w:name w:val="ListLabel 181"/>
    <w:qFormat/>
    <w:rPr>
      <w:rFonts w:cs="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i w:val="false"/>
      <w:iCs w:val="false"/>
    </w:rPr>
  </w:style>
  <w:style w:type="character" w:styleId="ListLabel200">
    <w:name w:val="ListLabel 200"/>
    <w:qFormat/>
    <w:rPr/>
  </w:style>
  <w:style w:type="character" w:styleId="ListLabel201">
    <w:name w:val="ListLabel 201"/>
    <w:qFormat/>
    <w:rPr>
      <w:rFonts w:cs="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i w:val="false"/>
      <w:iCs w:val="false"/>
    </w:rPr>
  </w:style>
  <w:style w:type="character" w:styleId="ListLabel220">
    <w:name w:val="ListLabel 220"/>
    <w:qFormat/>
    <w:rPr/>
  </w:style>
  <w:style w:type="character" w:styleId="ListLabel221">
    <w:name w:val="ListLabel 221"/>
    <w:qFormat/>
    <w:rPr>
      <w:rFonts w:cs="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i w:val="false"/>
      <w:iCs w:val="false"/>
    </w:rPr>
  </w:style>
  <w:style w:type="character" w:styleId="ListLabel240">
    <w:name w:val="ListLabel 240"/>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bioone.org/journals/annals-of-carnegie-museum/volume-82/issue-3/007.082.0301/The-History-of-the-Cast-Skeleton-of-Diplodocus-carnegii-Hatcher/10.2992/007.082.0301.short"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s://digitallibrary.amnh.org/handle/2246/6331" TargetMode="External"/><Relationship Id="rId6" Type="http://schemas.openxmlformats.org/officeDocument/2006/relationships/hyperlink" Target="http://hdl.handle.net/2246/6497" TargetMode="External"/><Relationship Id="rId7" Type="http://schemas.openxmlformats.org/officeDocument/2006/relationships/hyperlink" Target="https://peacepalacelibrary.nl/blog/2017/diplodocus-carnegii-peace-diplomacy-dinosaur"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26322</TotalTime>
  <Application>LibreOffice/6.1.3.2$MacOSX_X86_64 LibreOffice_project/86daf60bf00efa86ad547e59e09d6bb77c699acb</Application>
  <Pages>20</Pages>
  <Words>9120</Words>
  <Characters>47727</Characters>
  <CharactersWithSpaces>56478</CharactersWithSpaces>
  <Paragraphs>317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2022-05-25T01:08:30Z</dcterms:modified>
  <cp:revision>542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