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8</w:t>
        </w:r>
      </w:hyperlink>
    </w:p>
    <w:p>
      <w:pPr>
        <w:pStyle w:val="Contents2"/>
        <w:tabs>
          <w:tab w:val="clear" w:pos="9355"/>
          <w:tab w:val="right" w:pos="9638" w:leader="dot"/>
        </w:tabs>
        <w:rPr/>
      </w:pPr>
      <w:hyperlink w:anchor="__RefHeading___Toc3282_55120580">
        <w:r>
          <w:rPr>
            <w:rStyle w:val="IndexLink"/>
          </w:rPr>
          <w:t>The casts made from the Carnegie molds</w:t>
          <w:tab/>
          <w:t>9</w:t>
        </w:r>
      </w:hyperlink>
    </w:p>
    <w:p>
      <w:pPr>
        <w:pStyle w:val="Contents1"/>
        <w:tabs>
          <w:tab w:val="right" w:pos="9638" w:leader="dot"/>
        </w:tabs>
        <w:rPr/>
      </w:pPr>
      <w:hyperlink w:anchor="__RefHeading___Toc3401_68767826">
        <w:r>
          <w:rPr>
            <w:rStyle w:val="IndexLink"/>
          </w:rPr>
          <w:t>Discussion</w:t>
          <w:tab/>
          <w:t>9</w:t>
        </w:r>
      </w:hyperlink>
    </w:p>
    <w:p>
      <w:pPr>
        <w:pStyle w:val="Contents1"/>
        <w:tabs>
          <w:tab w:val="right" w:pos="9638" w:leader="dot"/>
        </w:tabs>
        <w:rPr/>
      </w:pPr>
      <w:hyperlink w:anchor="__RefHeading___Toc1833_55120580">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3407_68767826">
        <w:r>
          <w:rPr>
            <w:rStyle w:val="IndexLink"/>
          </w:rPr>
          <w:t>Figure Captions</w:t>
          <w:tab/>
          <w:t>12</w:t>
        </w:r>
      </w:hyperlink>
    </w:p>
    <w:p>
      <w:pPr>
        <w:pStyle w:val="Heading1"/>
        <w:numPr>
          <w:ilvl w:val="0"/>
          <w:numId w:val="2"/>
        </w:numPr>
        <w:ind w:left="0" w:right="0" w:hanging="0"/>
        <w:rPr/>
      </w:pPr>
      <w:bookmarkStart w:id="1" w:name="__RefHeading___Toc473_2886139872"/>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 xml:space="preserve">MNHN — Muséum National d’Histoire Naturelle, </w:t>
      </w:r>
      <w:r>
        <w:rPr/>
        <w:t>Paris, France.</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w:t>
      </w:r>
      <w:r>
        <w:rPr/>
        <w:t>al</w:t>
      </w:r>
      <w:r>
        <w:rPr/>
        <w:t>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w:t>
      </w:r>
      <w:r>
        <w:rPr/>
        <w:t>holotype</w:t>
      </w:r>
      <w:r>
        <w:rPr/>
        <w:t xml:space="preserv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 xml:space="preserve">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w:t>
      </w:r>
      <w:r>
        <w:rPr/>
        <w:t>selection of scientists and artists (Nieuwland 2019:139–140). Carnegie himself was strangely unconcerned, and did not attend the festivities.</w:t>
      </w:r>
    </w:p>
    <w:p>
      <w:pPr>
        <w:pStyle w:val="TextBody"/>
        <w:rPr/>
      </w:pPr>
      <w:r>
        <w:rPr/>
        <w:t xml:space="preserve">The </w:t>
      </w:r>
      <w:r>
        <w:rPr/>
        <w:t xml:space="preserve">visibility </w:t>
      </w:r>
      <w:r>
        <w:rPr/>
        <w:t xml:space="preserve">of the Carnegie </w:t>
      </w:r>
      <w:r>
        <w:rPr>
          <w:i/>
          <w:iCs/>
          <w:u w:val="none"/>
        </w:rPr>
        <w:t>Diplodocus</w:t>
      </w:r>
      <w:r>
        <w:rPr/>
        <w:t xml:space="preserve"> in </w:t>
      </w:r>
      <w:r>
        <w:rPr/>
        <w:t>various locations, in its mammal-like upright posture, provoked some controversy</w:t>
      </w:r>
      <w:r>
        <w:rPr/>
        <w:t xml:space="preserve">: Hay (1908, 1910) and </w:t>
      </w:r>
      <w:r>
        <w:rPr/>
        <w:t xml:space="preserve">independently </w:t>
      </w:r>
      <w:r>
        <w:rPr/>
        <w:t xml:space="preserve">Tornier (1909) argued that its erect-legged posture was incorrect, and it should sprawl like a lizard. Holland (1910) emphatically rebutted these suggestions; </w:t>
      </w:r>
      <w:r>
        <w:rPr/>
        <w:t>Matthew (1910) also disagreed — showing rather more respect to Hay than Holland did, but dismissive enough of Tornier to write that “t</w:t>
      </w:r>
      <w:r>
        <w:rPr/>
        <w: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w:t>
      </w:r>
      <w:r>
        <w:rPr/>
        <w:t>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w:t>
      </w:r>
      <w:r>
        <w:rPr/>
        <w:t>264)</w:t>
      </w:r>
      <w:r>
        <w:rPr/>
        <w:t xml:space="preserve"> </w:t>
      </w:r>
      <w:r>
        <w:rPr/>
        <w:t xml:space="preserve">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w:t>
      </w:r>
      <w:r>
        <w:rPr/>
        <w:t xml:space="preserve">(Holland 1906:263–264; </w:t>
      </w:r>
      <w:r>
        <w:rPr/>
        <w:t>see photograph in Holland 1905:plate XVIII).</w:t>
      </w:r>
      <w:r>
        <w:rPr/>
        <w:t xml:space="preserve"> </w:t>
      </w:r>
      <w:r>
        <w:rPr/>
        <w:t xml:space="preserve">They do not seem ever to have been incorporated in the Carnegie mount, and are not present in the current mount </w:t>
      </w:r>
      <w:r>
        <w:rPr/>
        <w:t xml:space="preserve">(Figure C). </w:t>
      </w:r>
      <w:r>
        <w:rPr/>
        <w:t>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 xml:space="preserve">In fact, we have not been able to locate any published  </w:t>
      </w:r>
      <w:r>
        <w:rPr/>
        <w:t xml:space="preserve">detailed </w:t>
      </w:r>
      <w:r>
        <w:rPr/>
        <w:t>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8" w:name="__RefHeading___Toc1840_55120580"/>
      <w:bookmarkEnd w:id="8"/>
      <w:r>
        <w:rPr/>
        <w:t>XXX length as reported by Holland</w:t>
      </w:r>
    </w:p>
    <w:p>
      <w:pPr>
        <w:pStyle w:val="TextBody"/>
        <w:rPr/>
      </w:pPr>
      <w:r>
        <w:rPr/>
        <w:t>XXX Table A here, summarising contributions from different skeletons; cite Figure D. Cite Figure E for CM 21775.</w:t>
      </w:r>
    </w:p>
    <w:p>
      <w:pPr>
        <w:pStyle w:val="Heading2"/>
        <w:rPr/>
      </w:pPr>
      <w:bookmarkStart w:id="9" w:name="__RefHeading___Toc3280_55120580"/>
      <w:bookmarkEnd w:id="9"/>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0" w:name="__RefHeading___Toc3282_55120580"/>
      <w:bookmarkEnd w:id="10"/>
      <w:r>
        <w:rPr/>
        <w:t>The casts made from the Carnegie molds</w:t>
      </w:r>
    </w:p>
    <w:p>
      <w:pPr>
        <w:pStyle w:val="TextBody"/>
        <w:rPr/>
      </w:pPr>
      <w:r>
        <w:rPr/>
        <w:t>XXX</w:t>
      </w:r>
    </w:p>
    <w:p>
      <w:pPr>
        <w:pStyle w:val="Heading1"/>
        <w:numPr>
          <w:ilvl w:val="0"/>
          <w:numId w:val="5"/>
        </w:numPr>
        <w:ind w:left="0" w:right="0" w:hanging="0"/>
        <w:rPr/>
      </w:pPr>
      <w:bookmarkStart w:id="11" w:name="__RefHeading___Toc3401_68767826"/>
      <w:bookmarkEnd w:id="11"/>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2" w:name="__RefHeading___Toc1833_55120580"/>
      <w:bookmarkEnd w:id="12"/>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5"/>
        </w:numPr>
        <w:ind w:left="0" w:right="0" w:hanging="0"/>
        <w:rPr/>
      </w:pPr>
      <w:bookmarkStart w:id="13" w:name="__RefHeading___Toc3405_68767826"/>
      <w:bookmarkEnd w:id="13"/>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14" w:name="__DdeLink__2481_14216418"/>
      <w:r>
        <w:rPr/>
        <w:t>Anonymous</w:t>
      </w:r>
      <w:bookmarkEnd w:id="14"/>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5" w:name="__DdeLink__16582_68767826"/>
      <w:r>
        <w:rPr/>
        <w:t>Nieuwland</w:t>
      </w:r>
      <w:bookmarkEnd w:id="15"/>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Proceedings of Zoological Society of Londo</w:t>
      </w:r>
      <w:r>
        <w:rPr/>
        <w:t xml:space="preserve">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w:t>
      </w:r>
      <w:r>
        <w:rPr/>
        <w:t xml:space="preserve">and </w:t>
      </w:r>
      <w:r>
        <w:rPr/>
        <w:t xml:space="preserve">Octávio Mateus. </w:t>
      </w:r>
      <w:r>
        <w:rPr/>
        <w:t xml:space="preserve">2012. Clavicles, interclavicles, gastralia, and sternal ribs in sauropod dinosaurs: new reports from Diplodocidae and their morphological, functional and evolutionary implications. </w:t>
      </w:r>
      <w:r>
        <w:rPr>
          <w:i/>
          <w:iCs/>
        </w:rPr>
        <w:t>J</w:t>
      </w:r>
      <w:r>
        <w:rPr>
          <w:i/>
          <w:iCs/>
        </w:rPr>
        <w:t>ournal of</w:t>
      </w:r>
      <w:r>
        <w:rPr>
          <w:i/>
          <w:iCs/>
        </w:rPr>
        <w:t xml:space="preserve"> Anat</w:t>
      </w:r>
      <w:r>
        <w:rPr>
          <w:i/>
          <w:iCs/>
        </w:rPr>
        <w: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w:t>
      </w:r>
      <w:r>
        <w:rPr/>
        <w:t>clavicles</w:t>
      </w:r>
      <w:r>
        <w:rPr/>
        <w:t xml:space="preserve">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i w:val="false"/>
      <w:iCs w:val="false"/>
    </w:rPr>
  </w:style>
  <w:style w:type="character" w:styleId="ListLabel102">
    <w:name w:val="ListLabel 102"/>
    <w:qFormat/>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i w:val="false"/>
      <w:iCs w:val="false"/>
    </w:rPr>
  </w:style>
  <w:style w:type="character" w:styleId="ListLabel122">
    <w:name w:val="ListLabel 122"/>
    <w:qFormat/>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i w:val="false"/>
      <w:iCs w:val="false"/>
    </w:rPr>
  </w:style>
  <w:style w:type="character" w:styleId="ListLabel142">
    <w:name w:val="ListLabel 142"/>
    <w:qFormat/>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i w:val="false"/>
      <w:iCs w:val="false"/>
    </w:rPr>
  </w:style>
  <w:style w:type="character" w:styleId="ListLabel162">
    <w:name w:val="ListLabel 162"/>
    <w:qFormat/>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i w:val="false"/>
      <w:iCs w:val="false"/>
    </w:rPr>
  </w:style>
  <w:style w:type="character" w:styleId="ListLabel182">
    <w:name w:val="ListLabel 182"/>
    <w:qFormat/>
    <w:rPr/>
  </w:style>
  <w:style w:type="character" w:styleId="ListLabel183">
    <w:name w:val="ListLabel 183"/>
    <w:qFormat/>
    <w:rPr>
      <w:rFonts w:cs="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i w:val="false"/>
      <w:iCs w:val="false"/>
    </w:rPr>
  </w:style>
  <w:style w:type="character" w:styleId="ListLabel202">
    <w:name w:val="ListLabel 202"/>
    <w:qFormat/>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i w:val="false"/>
      <w:iCs w:val="false"/>
    </w:rPr>
  </w:style>
  <w:style w:type="character" w:styleId="ListLabel222">
    <w:name w:val="ListLabel 22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23255</TotalTime>
  <Application>LibreOffice/6.1.3.2$MacOSX_X86_64 LibreOffice_project/86daf60bf00efa86ad547e59e09d6bb77c699acb</Application>
  <Pages>13</Pages>
  <Words>5952</Words>
  <Characters>31448</Characters>
  <CharactersWithSpaces>37212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2022-05-11T00:39:10Z</dcterms:modified>
  <cp:revision>438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