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 xml:space="preserve">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w:t>
      </w:r>
      <w:r>
        <w:rPr/>
        <w:t>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w:t>
      </w:r>
      <w:r>
        <w:rPr>
          <w:i/>
          <w:iCs/>
        </w:rPr>
        <w:t>Diplodocus</w:t>
      </w:r>
      <w:r>
        <w:rPr/>
        <w:t xml:space="preserve">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t>
      </w:r>
      <w:r>
        <w:rPr/>
        <w:t>W</w:t>
      </w:r>
      <w:r>
        <w:rPr/>
        <w:t xml:space="preserve">hite elements </w:t>
      </w:r>
      <w:r>
        <w:rPr/>
        <w:t xml:space="preserve">were sculpted, but the models on which the sculptures were based </w:t>
      </w:r>
      <w:r>
        <w:rPr/>
        <w:t xml:space="preserve">is unknown: </w:t>
      </w:r>
      <w:r>
        <w:rPr/>
        <w:t>most likely the corresponding CM 84 elements from the other side</w:t>
      </w:r>
      <w:r>
        <w:rPr/>
        <w:t>.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28787</TotalTime>
  <Application>LibreOffice/7.4.1.2$MacOSX_X86_64 LibreOffice_project/3c58a8f3a960df8bc8fd77b461821e42c061c5f0</Application>
  <AppVersion>15.0000</AppVersion>
  <Pages>31</Pages>
  <Words>15996</Words>
  <Characters>84350</Characters>
  <CharactersWithSpaces>99841</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2022-10-23T22:54:06Z</dcterms:modified>
  <cp:revision>759</cp:revision>
  <dc:subject/>
  <dc:title/>
</cp:coreProperties>
</file>

<file path=docProps/custom.xml><?xml version="1.0" encoding="utf-8"?>
<Properties xmlns="http://schemas.openxmlformats.org/officeDocument/2006/custom-properties" xmlns:vt="http://schemas.openxmlformats.org/officeDocument/2006/docPropsVTypes"/>
</file>