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cast of CM 11161</w:t>
          <w:tab/>
          <w:t>10</w:t>
        </w:r>
      </w:hyperlink>
    </w:p>
    <w:p>
      <w:pPr>
        <w:pStyle w:val="Contents3"/>
        <w:tabs>
          <w:tab w:val="clear" w:pos="9072"/>
          <w:tab w:val="right" w:pos="9638" w:leader="dot"/>
        </w:tabs>
        <w:rPr/>
      </w:pPr>
      <w:hyperlink w:anchor="__RefHeading___Toc16707_802501007">
        <w:r>
          <w:rPr>
            <w:rStyle w:val="IndexLink"/>
          </w:rPr>
          <w:t>Re-pose of neck</w:t>
          <w:tab/>
          <w:t>11</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12</w:t>
        </w:r>
      </w:hyperlink>
    </w:p>
    <w:p>
      <w:pPr>
        <w:pStyle w:val="Contents3"/>
        <w:tabs>
          <w:tab w:val="clear" w:pos="9072"/>
          <w:tab w:val="right" w:pos="9638" w:leader="dot"/>
        </w:tabs>
        <w:rPr/>
      </w:pPr>
      <w:hyperlink w:anchor="__RefHeading___Toc3742_2834848739">
        <w:r>
          <w:rPr>
            <w:rStyle w:val="IndexLink"/>
          </w:rPr>
          <w:t>Forefeet WDC-FS001A</w:t>
          <w:tab/>
          <w:t>12</w:t>
        </w:r>
      </w:hyperlink>
    </w:p>
    <w:p>
      <w:pPr>
        <w:pStyle w:val="Contents3"/>
        <w:tabs>
          <w:tab w:val="clear" w:pos="9072"/>
          <w:tab w:val="right" w:pos="9638" w:leader="dot"/>
        </w:tabs>
        <w:rPr/>
      </w:pPr>
      <w:hyperlink w:anchor="__RefHeading___Toc3744_2834848739">
        <w:r>
          <w:rPr>
            <w:rStyle w:val="IndexLink"/>
          </w:rPr>
          <w:t>Forelimbs from BYU material</w:t>
          <w:tab/>
          <w:t>12</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13</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1833_55120580">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5233_14216418">
        <w:r>
          <w:rPr>
            <w:rStyle w:val="IndexLink"/>
          </w:rPr>
          <w:t>Tables</w:t>
          <w:tab/>
          <w:t>18</w:t>
        </w:r>
      </w:hyperlink>
    </w:p>
    <w:p>
      <w:pPr>
        <w:pStyle w:val="Contents1"/>
        <w:tabs>
          <w:tab w:val="right" w:pos="9638" w:leader="dot"/>
        </w:tabs>
        <w:rPr/>
      </w:pPr>
      <w:hyperlink w:anchor="__RefHeading___Toc3407_68767826">
        <w:r>
          <w:rPr>
            <w:rStyle w:val="IndexLink"/>
          </w:rPr>
          <w:t>Figure Captions</w:t>
          <w:tab/>
          <w:t>20</w:t>
        </w:r>
      </w:hyperlink>
    </w:p>
    <w:p>
      <w:pPr>
        <w:pStyle w:val="Heading1"/>
        <w:rPr/>
      </w:pPr>
      <w:bookmarkStart w:id="1" w:name="__RefHeading___Toc10108_2834848739"/>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w:t>
      </w:r>
      <w:r>
        <w:rPr/>
        <w:t xml:space="preserve">This </w:t>
      </w:r>
      <w:r>
        <w:rPr/>
        <w:t xml:space="preserve">idea appealed greatly to Carnegie as it allowed him to instrumentalise </w:t>
      </w:r>
      <w:r>
        <w:rPr>
          <w:i/>
          <w:iCs/>
        </w:rPr>
        <w:t>Diplodocus</w:t>
      </w:r>
      <w:r>
        <w:rPr/>
        <w:t xml:space="preserve"> to gain support from those </w:t>
      </w:r>
      <w:r>
        <w:rPr/>
        <w:t>with potential</w:t>
      </w:r>
      <w:r>
        <w:rPr/>
        <w:t xml:space="preserve"> for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w:t>
      </w:r>
      <w:r>
        <w:rPr/>
        <w:t>too complex,</w:t>
      </w:r>
      <w:r>
        <w:rPr/>
        <w:t xml:space="preserve">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w:t>
      </w:r>
      <w:r>
        <w:rPr/>
        <w:t>at the museum</w:t>
      </w:r>
      <w:r>
        <w:rPr/>
        <w:t>, and the mounted skeleton was positioned off to the side of the main hall, which remained dominated by whale skeletons (Nieuwland 2019:115–118).</w:t>
      </w:r>
    </w:p>
    <w:p>
      <w:pPr>
        <w:pStyle w:val="TextBody"/>
        <w:rPr/>
      </w:pPr>
      <w:r>
        <w:rPr/>
        <w:t xml:space="preserve">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w:t>
      </w:r>
      <w:r>
        <w:rPr/>
        <w:t>and</w:t>
      </w:r>
      <w:r>
        <w:rPr/>
        <w:t xml:space="preserve"> prime minister, </w:t>
      </w:r>
      <w:r>
        <w:rPr/>
        <w:t xml:space="preserve">the Parisian </w:t>
      </w:r>
      <w:r>
        <w:rPr/>
        <w:t>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w:t>
      </w:r>
      <w:r>
        <w:rPr/>
        <w:t xml:space="preserve">independently, so he claimed — </w:t>
      </w:r>
      <w:r>
        <w:rPr/>
        <w:t>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r>
    </w:p>
    <w:p>
      <w:pPr>
        <w:pStyle w:val="TextBody"/>
        <w:rPr/>
      </w:pPr>
      <w:r>
        <w:rPr/>
      </w:r>
    </w:p>
    <w:p>
      <w:pPr>
        <w:pStyle w:val="TextBody"/>
        <w:rPr/>
      </w:pPr>
      <w:r>
        <w:rPr/>
        <w:t>ZZZ BEGIN</w:t>
      </w:r>
    </w:p>
    <w:p>
      <w:pPr>
        <w:pStyle w:val="TextBody"/>
        <w:rPr/>
      </w:pPr>
      <w:r>
        <w:rPr/>
        <w:t xml:space="preserve">The original casts had now all been given away, but requests kept coming in, which led Carnegie and Holland to have another five casts prepared. The first planned donation, to Rio de Janeiro, stranded in the </w:t>
      </w:r>
      <w:commentRangeStart w:id="0"/>
      <w:r>
        <w:rPr/>
        <w:t xml:space="preserve">tumultuous quagmire </w:t>
      </w:r>
      <w:r>
        <w:rPr/>
      </w:r>
      <w:commentRangeEnd w:id="0"/>
      <w:r>
        <w:commentReference w:id="0"/>
      </w:r>
      <w:r>
        <w:rPr/>
        <w:t>of Brazilian politics. However, a Russian cast could be installed in June of 1910, again supervised by Holland (who confided to Carnegie that he was “really getting tired of 'the old Dip’”) and Coggeshall.</w:t>
      </w:r>
    </w:p>
    <w:p>
      <w:pPr>
        <w:pStyle w:val="TextBody"/>
        <w:rPr/>
      </w:pPr>
      <w:r>
        <w:rPr/>
        <w:t>This particular cast would lead a turbulent life, being relocated to Moscow along with the other collections of the Russian Academy of Sciences to Moscow. From 1937 it was displayed in the Neshkuchny Palace, an 18th-century complex next to Gorki Park, with a wartime intermezzo to Almaty in Kazahstan, then into storage following the Palace’s closure as a museum in 1954, and from 1987 onward in Moscow’s new Orlov Museum of Natural History. The cast went through two re-mounts: in the Neskuchny it was put in a posture with an extremely extended gait in the front legs, probably following Abel’s suggestion (Abel 1910). When it was exhibited in the Orlov Museum, it was re-mounted again in more traditional fashion, but also one that was already strikingly old-fashioned at that time</w:t>
      </w:r>
      <w:r>
        <w:rPr/>
        <w:commentReference w:id="1"/>
      </w:r>
      <w:r>
        <w:rPr/>
        <w:t>.</w:t>
      </w:r>
    </w:p>
    <w:p>
      <w:pPr>
        <w:pStyle w:val="TextBody"/>
        <w:rPr/>
      </w:pPr>
      <w:r>
        <w:rPr/>
        <w:t xml:space="preserve">Although Holland had by now grown tired of traveling across the Atlantic each summer to set up yet another Diplodocus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1911 Argentina was looking as though it could well become the most influential state in the southern hemisphere, and even rival the power of some of Europe’s nations. For those reasons, it was therefore an interesting nation for Carnegie to ply with a </w:t>
      </w:r>
      <w:r>
        <w:rPr>
          <w:i/>
          <w:iCs/>
        </w:rPr>
        <w:t>Diplodocus</w:t>
      </w:r>
      <w:r>
        <w:rPr/>
        <w:t xml:space="preserve"> copy. Carnegie briefly even threatened to send the </w:t>
      </w:r>
      <w:r>
        <w:rPr>
          <w:i/>
          <w:iCs/>
        </w:rPr>
        <w:t>original</w:t>
      </w:r>
      <w:r>
        <w:rPr/>
        <w:t xml:space="preserve"> Diplodocus to the museum in La Plata, but was stopped from doing so by Holland (Nieuwland 2019: 238-239). By this time, </w:t>
      </w:r>
      <w:r>
        <w:rPr>
          <w:i/>
          <w:iCs/>
        </w:rPr>
        <w:t>Diplodocus</w:t>
      </w:r>
      <w:r>
        <w:rPr/>
        <w:t xml:space="preserve"> itself had begun to fade in the light of, for instance, the German discoveries of huge sauropods in their East African colony, which in this period began to get noticed in earnest, and had stopped being the yardstick by which dinosaurian hugeness was measured. </w:t>
      </w:r>
    </w:p>
    <w:p>
      <w:pPr>
        <w:pStyle w:val="TextBody"/>
        <w:rPr/>
      </w:pPr>
      <w:r>
        <w:rPr/>
        <w:t>By July of 1912, the Argentinean cast was ready for shipment, and it arrived at the La Plata museum in August; Holland and Coggeshall followed a month later. Constructing the dinosaur itself presented no meaningful challenges. Of course, the reception of a 28-meter object caused some discussion, mainly about the direction of the skeleton and the position of the tail. In the end, it was decided to “point” the dinosaur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Briefly after the preparations for the La Plata cast had begun, in January of 1912, the Spanish ambassador was ordered to request a Diplodocus from Carnegie on behalf of King Alfonso XIII (Pérez Garcá and Sánchez Chillón 2009). In marked contrast to Argentina, public attention in the Spanish </w:t>
      </w:r>
      <w:r>
        <w:rPr>
          <w:i/>
          <w:iCs/>
        </w:rPr>
        <w:t>Diplodocus</w:t>
      </w:r>
      <w:r>
        <w:rPr/>
        <w:t xml:space="preserve"> cast far greater widespread than it had been in any country since France (Nieuwland 2019: 243-246). The Madrid cast was prepared concurrently with the Argentine one, and sent to Spain in September of 1913. Holland and Coggeshall, who arrived in Madrid on November 11, 1913, were treated as guests of honour, and took longer to complete their work than they had in La Plata due to all sorts of social obligations (Coggeshall 1951: 314). On November 28, the official unveiling took place, albeit again without the monarch that had been the cast's reciptient.</w:t>
      </w:r>
    </w:p>
    <w:p>
      <w:pPr>
        <w:pStyle w:val="TextBody"/>
        <w:rPr/>
      </w:pPr>
      <w:r>
        <w:rPr/>
        <w:t>The outbreak of World War One put an end to Carnegie’s arbitration campaign, and affected him heavily as a person: he retreated almost entirely from public life to his New York apartment, where he died in 1919. As a consequence, the Diplodocus donation scheme, a part of the arbitration lobby,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Chicago and most of all, New York. Work at the Carnegie Quarry in Utah, which was far from exhausted, had to be abandoned as well.</w:t>
      </w:r>
    </w:p>
    <w:p>
      <w:pPr>
        <w:pStyle w:val="TextBody"/>
        <w:rPr/>
      </w:pPr>
      <w:r>
        <w:rPr/>
        <w:t xml:space="preserve">XXX </w:t>
      </w:r>
      <w:r>
        <w:rPr/>
        <w:t>1917 at the latest: the molds went into storage and are not used again, according to Untermann (1959:364).</w:t>
      </w:r>
    </w:p>
    <w:p>
      <w:pPr>
        <w:pStyle w:val="TextBody"/>
        <w:rPr/>
      </w:pPr>
      <w:r>
        <w:rPr/>
        <w:t>In 1922 Holland retired from the museum, aged seventy-four, but his involvement with Diplodocus would require one last trip. Seemingly unaware of rising political tensions between the United States and Mexico, he supported a request for a Diplodocus cast from the Mexican ambassador in a letter to Carnegie’s widow Louise in 1927 (Rea 2001: 204-207). She was persuaded to spend part of the money in the Diplodocus restoration fund on a gift to Mexico and have the casts completed. As had been the case with every previous facsimile, it was a Carnegie rather than the museum that made the gift. The 81-year-old Holland arrived in Mexico City on April 6, 1930 together with Coggeshall’s brother Louis, to set up his last Diplodocus; a year and a half later, he passed away.</w:t>
      </w:r>
    </w:p>
    <w:p>
      <w:pPr>
        <w:pStyle w:val="TextBody"/>
        <w:rPr/>
      </w:pPr>
      <w:r>
        <w:rPr/>
        <w:t xml:space="preserve">The two remaining casts had been completed simultaneously, and the remaining Diplodocus was given to the Staatssammlung für Paläontologie und Geologie in Munich in 1934, in exchange for a number of fossils from Germany (Nieuwland 2019: 250-251). Once arrived, however, the cast was not mounted, but instead stored in the basement of the Alte Akademie, which also housed the rest of the paleontological collections. Long assumed lost during bombing in 1944, the cast nonetheless resurfaced in 1977. However, it has remained in storage ever since. </w:t>
      </w:r>
      <w:commentRangeStart w:id="2"/>
      <w:r>
        <w:rPr/>
        <w:t>Calls for it to be remounted as one of the attractions of a new museum at the Nymphenburg castle came to nothing, not in the last place because of the resistance by museum authorities that favored a much lighter and stronger resin cast over the maintenance-intensive plaster one.</w:t>
      </w:r>
      <w:commentRangeEnd w:id="2"/>
      <w:r>
        <w:commentReference w:id="2"/>
      </w:r>
      <w:r>
        <w:rPr/>
      </w:r>
    </w:p>
    <w:p>
      <w:pPr>
        <w:pStyle w:val="TextBody"/>
        <w:rPr/>
      </w:pPr>
      <w:r>
        <w:rPr/>
        <w:t>ZZZ END</w:t>
      </w:r>
    </w:p>
    <w:p>
      <w:pPr>
        <w:pStyle w:val="TextBody"/>
        <w:rPr/>
      </w:pPr>
      <w:r>
        <w:rPr/>
      </w:r>
    </w:p>
    <w:p>
      <w:pPr>
        <w:pStyle w:val="TextBody"/>
        <w:rPr/>
      </w:pPr>
      <w:r>
        <w:rPr/>
      </w:r>
    </w:p>
    <w:p>
      <w:pPr>
        <w:pStyle w:val="TextBody"/>
        <w:rPr/>
      </w:pPr>
      <w:r>
        <w:rPr/>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on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1" w:name="__RefHeading___Toc16707_802501007"/>
      <w:bookmarkEnd w:id="11"/>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 </w:t>
      </w:r>
      <w:r>
        <w:rPr>
          <w:highlight w:val="yellow"/>
        </w:rPr>
        <w:t>XXX Matt, do you know when this neck elevation was done and by whom?</w:t>
      </w:r>
    </w:p>
    <w:p>
      <w:pPr>
        <w:pStyle w:val="Heading3"/>
        <w:rPr/>
      </w:pPr>
      <w:bookmarkStart w:id="12" w:name="__RefHeading___Toc3740_2834848739"/>
      <w:bookmarkEnd w:id="12"/>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3" w:name="__RefHeading___Toc6555_802501007"/>
      <w:bookmarkEnd w:id="13"/>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4" w:name="__RefHeading___Toc3742_2834848739"/>
      <w:bookmarkEnd w:id="14"/>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5" w:name="__RefHeading___Toc3744_2834848739"/>
      <w:bookmarkEnd w:id="15"/>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email thread and Figure G.</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who did this work?</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Heading3"/>
        <w:rPr/>
      </w:pPr>
      <w:bookmarkStart w:id="16" w:name="__RefHeading___Toc3746_2834848739"/>
      <w:bookmarkEnd w:id="16"/>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7" w:name="__DdeLink__1281_802501007"/>
      <w:r>
        <w:rPr/>
        <w:t>CM 3378</w:t>
      </w:r>
      <w:bookmarkEnd w:id="17"/>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8" w:name="__RefHeading___Toc3282_55120580"/>
      <w:bookmarkEnd w:id="18"/>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19" w:name="__RefHeading___Toc3401_68767826"/>
      <w:bookmarkEnd w:id="19"/>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0" w:name="__RefHeading___Toc1833_55120580"/>
      <w:bookmarkEnd w:id="2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1" w:name="__RefHeading___Toc3405_68767826"/>
      <w:bookmarkEnd w:id="21"/>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2" w:name="__DdeLink__2481_14216418"/>
      <w:r>
        <w:rPr/>
        <w:t>Anonymous</w:t>
      </w:r>
      <w:bookmarkEnd w:id="2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3" w:name="__DdeLink__5014_2834848739"/>
      <w:r>
        <w:rPr/>
        <w:t xml:space="preserve">Carnegie Institute. 1934. </w:t>
      </w:r>
      <w:r>
        <w:rPr>
          <w:i/>
          <w:iCs/>
        </w:rPr>
        <w:t>Thirty-seventh annual report of the Carnegie Museum, Carnegie Institute, Pittsburgh</w:t>
      </w:r>
      <w:r>
        <w:rPr/>
        <w:t>.</w:t>
      </w:r>
      <w:bookmarkEnd w:id="2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w:t>
      </w:r>
      <w:r>
        <w:rPr/>
        <w:t>h</w:t>
      </w:r>
      <w:r>
        <w:rPr/>
        <w:t xml:space="preserve">istory of the </w:t>
      </w:r>
      <w:r>
        <w:rPr/>
        <w:t>c</w:t>
      </w:r>
      <w:r>
        <w:rPr/>
        <w:t xml:space="preserve">ast </w:t>
      </w:r>
      <w:r>
        <w:rPr/>
        <w:t>s</w:t>
      </w:r>
      <w:r>
        <w:rPr/>
        <w:t xml:space="preserve">keleton of </w:t>
      </w:r>
      <w:r>
        <w:rPr>
          <w:i/>
          <w:iCs/>
        </w:rPr>
        <w:t>Diplodocus carnegii</w:t>
      </w:r>
      <w:r>
        <w:rPr/>
        <w:t xml:space="preserve"> Hatcher, 1901, at the Museo De La Plata, Argentina. </w:t>
      </w:r>
      <w:r>
        <w:rPr>
          <w:i/>
          <w:iCs/>
        </w:rPr>
        <w:t>Annals of Carnegie Museum</w:t>
      </w:r>
      <w:r>
        <w:rPr/>
        <w:t xml:space="preserve"> </w:t>
      </w:r>
      <w:r>
        <w:rPr>
          <w:b/>
          <w:bCs/>
        </w:rPr>
        <w:t>82</w:t>
      </w:r>
      <w:r>
        <w:rPr>
          <w:b/>
          <w:bCs/>
        </w:rPr>
        <w:t>(3)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5" w:name="__RefHeading___Toc5233_14216418"/>
      <w:bookmarkEnd w:id="25"/>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6" w:name="__RefHeading___Toc3407_68767826"/>
      <w:bookmarkEnd w:id="2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taken some time between 1980 and 1999. The photograph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lja Nieuwland" w:date="2022-05-26T12:48:00Z" w:initials="IN">
    <w:p>
      <w:r>
        <w:rPr>
          <w:rFonts w:ascii="Liberation Serif" w:hAnsi="Liberation Serif" w:eastAsia="Tahoma" w:cs="Tahoma"/>
          <w:kern w:val="0"/>
          <w:lang w:val="en-US" w:eastAsia="en-US" w:bidi="en-US"/>
        </w:rPr>
        <w:t>A bit of a contradiction in terms, I know, but strangely accurate if you look into it.</w:t>
      </w:r>
    </w:p>
  </w:comment>
  <w:comment w:id="1" w:author="Ilja Nieuwland" w:date="2022-05-26T12:50:00Z" w:initials="IN">
    <w:p>
      <w:r>
        <w:rPr>
          <w:rFonts w:ascii="Liberation Serif" w:hAnsi="Liberation Serif" w:eastAsia="Tahoma" w:cs="Tahoma"/>
          <w:kern w:val="0"/>
          <w:lang w:val="en-US" w:eastAsia="en-US" w:bidi="en-US"/>
        </w:rPr>
        <w:t>Mike, you're more qualified to say something here than I am. It's a very weird pose for 1990, though.</w:t>
      </w:r>
    </w:p>
  </w:comment>
  <w:comment w:id="2" w:author="Ilja Nieuwland" w:date="2022-05-26T13:43:00Z" w:initials="IN">
    <w:p>
      <w:r>
        <w:rPr>
          <w:rFonts w:ascii="Liberation Serif" w:hAnsi="Liberation Serif" w:eastAsia="Tahoma" w:cs="Tahoma"/>
          <w:kern w:val="0"/>
          <w:lang w:val="en-US" w:eastAsia="en-US" w:bidi="en-US"/>
        </w:rPr>
        <w:t>Might need to leave this out. I learnt this through an interview with an employee of the museum, but they'll never assent to have their name tied to a pers. comm. Do as you see fit.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character" w:styleId="ListLabel261">
    <w:name w:val="ListLabel 261"/>
    <w:qFormat/>
    <w:rPr>
      <w:rFonts w:cs="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i w:val="false"/>
      <w:iCs w:val="false"/>
    </w:rPr>
  </w:style>
  <w:style w:type="character" w:styleId="ListLabel280">
    <w:name w:val="ListLabel 280"/>
    <w:qFormat/>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i w:val="false"/>
      <w:iCs w:val="false"/>
    </w:rPr>
  </w:style>
  <w:style w:type="character" w:styleId="ListLabel300">
    <w:name w:val="ListLabel 30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26438</TotalTime>
  <Application>LibreOffice/6.1.3.2$MacOSX_X86_64 LibreOffice_project/86daf60bf00efa86ad547e59e09d6bb77c699acb</Application>
  <Pages>23</Pages>
  <Words>10923</Words>
  <Characters>56965</Characters>
  <CharactersWithSpaces>67494</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2022-05-26T23:02:12Z</dcterms:modified>
  <cp:revision>570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