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15</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Distal 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20</w:t>
            </w:r>
          </w:hyperlink>
        </w:p>
        <w:p>
          <w:pPr>
            <w:pStyle w:val="Contents1"/>
            <w:rPr/>
          </w:pPr>
          <w:hyperlink w:anchor="__RefHeading___Toc1833_55120580">
            <w:r>
              <w:rPr>
                <w:rStyle w:val="IndexLink"/>
              </w:rPr>
              <w:t>Acknowledgements</w:t>
              <w:tab/>
              <w:t>21</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BMNH — British Museum of Natural History, London, England. (Now the Natural History Museum, using the abbreviation NHMUK.)</w:t>
      </w:r>
    </w:p>
    <w:p>
      <w:pPr>
        <w:pStyle w:val="TextBody"/>
        <w:numPr>
          <w:ilvl w:val="0"/>
          <w:numId w:val="5"/>
        </w:numPr>
        <w:ind w:left="720" w:right="0" w:hanging="360"/>
        <w:rPr/>
      </w:pPr>
      <w:r>
        <w:rPr/>
        <w:t>BSP — Bayerische Staatssammlung für Paläontologie und Geologie, Munich, Germany.</w:t>
      </w:r>
    </w:p>
    <w:p>
      <w:pPr>
        <w:pStyle w:val="TextBody"/>
        <w:numPr>
          <w:ilvl w:val="0"/>
          <w:numId w:val="5"/>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CMNH — Cleveland Museum of Natural History, Cleveland, Ohio,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5"/>
        </w:numPr>
        <w:ind w:left="720" w:right="0" w:hanging="360"/>
        <w:rPr/>
      </w:pPr>
      <w:r>
        <w:rPr/>
        <w:t>MNHN — Muséum National d’Histoire Naturelle, Paris, France.</w:t>
      </w:r>
    </w:p>
    <w:p>
      <w:pPr>
        <w:pStyle w:val="TextBody"/>
        <w:numPr>
          <w:ilvl w:val="0"/>
          <w:numId w:val="5"/>
        </w:numPr>
        <w:ind w:left="720" w:right="0" w:hanging="360"/>
        <w:rPr/>
      </w:pPr>
      <w:r>
        <w:rPr/>
        <w:t>TAMU — Texas A&amp;M University, College Park, Texas, USA.</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WDC — Wyoming Dinosaur Centre, Thermopolis, Wyoming,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w:t>
      </w:r>
      <w:r>
        <w:rPr/>
        <w:t>e</w:t>
      </w:r>
      <w:r>
        <w:rPr/>
        <w:t>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 xml:space="preserve">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w:t>
      </w:r>
      <w:r>
        <w:rPr/>
        <w:t>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w:t>
      </w:r>
      <w:r>
        <w:rPr/>
        <w:t>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w:t>
      </w:r>
      <w:r>
        <w:rPr/>
        <w:t xml:space="preserve">y </w:t>
      </w:r>
      <w:r>
        <w:rPr/>
        <w:t xml:space="preserve">the time of his death, Carnegie </w:t>
      </w:r>
      <w:r>
        <w:rPr/>
        <w:t>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2"/>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7"/>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highlight w:val="yellow"/>
        </w:rPr>
      </w:pPr>
      <w:r>
        <w:rPr/>
        <w:t>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8"/>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8"/>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8"/>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8"/>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8"/>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8"/>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8"/>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8"/>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8"/>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4"/>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w:t>
      </w:r>
      <w:r>
        <w:rPr/>
        <w:t>a</w:t>
      </w:r>
      <w:r>
        <w:rPr/>
        <w:t xml:space="preserve">) letter to Ray Lankester promised that “the skeleton when mounted will be between 78 and 80 feet in length”, referring to the London mount which included casts of distal caudals from CM 307. </w:t>
      </w:r>
      <w:r>
        <w:rPr/>
        <w:t>In a letter to Carnegie (styles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 xml:space="preserve">However, </w:t>
      </w:r>
      <w:r>
        <w:rPr/>
        <w:t xml:space="preserve">by the time of </w:t>
      </w:r>
      <w:r>
        <w:rPr/>
        <w:t xml:space="preserve">Holland’s (1905:448) account of Lord Avebury’s speech at the dedication of the London mount, </w:t>
      </w:r>
      <w:r>
        <w:rPr/>
        <w:t xml:space="preserve">the reported </w:t>
      </w:r>
      <w:r>
        <w:rPr/>
        <w:t xml:space="preserve">length </w:t>
      </w:r>
      <w:r>
        <w:rPr/>
        <w:t xml:space="preserve">had increased to </w:t>
      </w:r>
      <w:r>
        <w:rPr/>
        <w:t xml:space="preserve">84 feet (= 25.6 m). </w:t>
      </w:r>
      <w:r>
        <w:rPr/>
        <w:t>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w:t>
      </w:r>
      <w:r>
        <w:rPr/>
        <w:t>a</w:t>
      </w:r>
      <w:r>
        <w:rPr/>
        <w:t>ve the length of the Field House’s concrete cast as 76 feet (= 23.2 m). Sarti (2012:14) g</w:t>
      </w:r>
      <w:r>
        <w:rPr/>
        <w:t>a</w:t>
      </w:r>
      <w:r>
        <w:rPr/>
        <w:t>ve a length of 27 m (</w:t>
      </w:r>
      <w:r>
        <w:rPr/>
        <w:t xml:space="preserve">= </w:t>
      </w:r>
      <w:r>
        <w:rPr/>
        <w:t>88.6 feet) for the Bologna mount, and Otero and Gasparini (2014:299) g</w:t>
      </w:r>
      <w:r>
        <w:rPr/>
        <w:t>a</w:t>
      </w:r>
      <w:r>
        <w:rPr/>
        <w:t>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w:t>
      </w:r>
      <w:r>
        <w:rPr/>
        <w:t>d</w:t>
      </w:r>
      <w:r>
        <w:rPr/>
        <w:t xml:space="preserve"> Jim Madsen of Dinolab lay out the skull and axial skeleton at his lab, and measured it at 75 feet (= 22.9 m).</w:t>
      </w:r>
    </w:p>
    <w:p>
      <w:pPr>
        <w:pStyle w:val="TextBody"/>
        <w:rPr/>
      </w:pPr>
      <w:r>
        <w:rPr/>
        <w:t xml:space="preserve">Discounting Hatcher’s initial estimate as based on an incomplete skeleton, we find good agreement between the measurements of Untermann and Letasi. </w:t>
      </w:r>
      <w:r>
        <w:rPr/>
        <w:t xml:space="preserve">We </w:t>
      </w:r>
      <w:r>
        <w:rPr/>
        <w:t xml:space="preserve">might write off Avebury’s 84 feet as an exaggeration to amplify the value of Carnegie’s gift, </w:t>
      </w:r>
      <w:r>
        <w:rPr/>
        <w:t>and the two 27-meter estimates as unsourced</w:t>
      </w:r>
      <w:r>
        <w:rPr/>
        <w: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w:t>
      </w:r>
      <w:r>
        <w:rPr/>
        <w:t>a</w:t>
      </w:r>
      <w:r>
        <w:rPr/>
        <w:t>) letter.</w:t>
      </w:r>
    </w:p>
    <w:p>
      <w:pPr>
        <w:pStyle w:val="TextBody"/>
        <w:rPr/>
      </w:pPr>
      <w:r>
        <w:rPr/>
        <w:t>T</w:t>
      </w:r>
      <w:r>
        <w:rPr/>
        <w:t xml:space="preserve">he total length of the real skeleton as now mounted at the Carnegie Museum is </w:t>
      </w:r>
      <w:r>
        <w:rPr/>
        <w:t>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 xml:space="preserve">XXX Matt, what is the current length of the mount and how was it measured? Photogrammetry, LiDAR scan, string? </w:t>
      </w:r>
      <w:r>
        <w:rPr>
          <w:highlight w:val="yellow"/>
        </w:rPr>
        <w:t>(NB.,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2"/>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4"/>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w:t>
      </w:r>
      <w:r>
        <w:rPr/>
        <w:t>a</w:t>
      </w:r>
      <w:r>
        <w:rPr/>
        <w:t>. Letter to E. Ray Lan</w:t>
      </w:r>
      <w:r>
        <w:rPr/>
        <w:t>ke</w:t>
      </w:r>
      <w:r>
        <w:rPr/>
        <w:t xml:space="preserve">ster, </w:t>
      </w:r>
      <w:r>
        <w:rPr/>
        <w:t>10 June 1904</w:t>
      </w:r>
      <w:r>
        <w:rPr/>
        <w:t>.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4" w:name="__DdeLink__2717_3412805200"/>
      <w:r>
        <w:rPr>
          <w:rFonts w:ascii="Baskerville Old Face" w:hAnsi="Baskerville Old Face"/>
        </w:rPr>
        <w:t>Riedl-Dorn</w:t>
      </w:r>
      <w:bookmarkEnd w:id="34"/>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rFonts w:cs="Alkes" w:ascii="Baskerville Old Face" w:hAnsi="Baskerville Old Face"/>
          <w:kern w:val="0"/>
          <w:lang w:bidi="ar-SA"/>
        </w:rPr>
        <w:t>Schuchert, C. and LeVene, C.M. 1940</w:t>
      </w:r>
      <w:bookmarkEnd w:id="35"/>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8"/>
        <w:gridCol w:w="1530"/>
        <w:gridCol w:w="3289"/>
      </w:tblGrid>
      <w:tr>
        <w:trPr/>
        <w:tc>
          <w:tcPr>
            <w:tcW w:w="3351" w:type="dxa"/>
            <w:tcBorders/>
          </w:tcPr>
          <w:p>
            <w:pPr>
              <w:pStyle w:val="TableContents"/>
              <w:rPr>
                <w:b/>
                <w:b/>
                <w:bCs/>
              </w:rPr>
            </w:pPr>
            <w:r>
              <w:rPr>
                <w:b/>
                <w:bCs/>
              </w:rPr>
              <w:t>Reference</w:t>
            </w:r>
          </w:p>
        </w:tc>
        <w:tc>
          <w:tcPr>
            <w:tcW w:w="1468" w:type="dxa"/>
            <w:tcBorders/>
          </w:tcPr>
          <w:p>
            <w:pPr>
              <w:pStyle w:val="TableContents"/>
              <w:rPr>
                <w:b/>
                <w:b/>
                <w:bCs/>
              </w:rPr>
            </w:pPr>
            <w:r>
              <w:rPr>
                <w:b/>
                <w:bCs/>
              </w:rPr>
              <w:t>Length</w:t>
              <w:br/>
              <w:t>(</w:t>
            </w:r>
            <w:r>
              <w:rPr>
                <w:b/>
                <w:bCs/>
              </w:rPr>
              <w:t>feet</w:t>
            </w:r>
            <w:r>
              <w:rPr>
                <w:b/>
                <w:bCs/>
              </w:rPr>
              <w:t>)</w:t>
            </w:r>
          </w:p>
        </w:tc>
        <w:tc>
          <w:tcPr>
            <w:tcW w:w="1530" w:type="dxa"/>
            <w:tcBorders/>
          </w:tcPr>
          <w:p>
            <w:pPr>
              <w:pStyle w:val="TableContents"/>
              <w:rPr>
                <w:b/>
                <w:b/>
                <w:bCs/>
              </w:rPr>
            </w:pPr>
            <w:r>
              <w:rPr>
                <w:b/>
                <w:bCs/>
              </w:rPr>
              <w:t>Length</w:t>
              <w:br/>
              <w:t>(</w:t>
            </w:r>
            <w:r>
              <w:rPr>
                <w:b/>
                <w:bCs/>
              </w:rPr>
              <w:t>m</w:t>
            </w:r>
            <w:r>
              <w:rPr>
                <w:b/>
                <w:bCs/>
              </w:rPr>
              <w:t>)</w:t>
            </w:r>
          </w:p>
        </w:tc>
        <w:tc>
          <w:tcPr>
            <w:tcW w:w="3289" w:type="dxa"/>
            <w:tcBorders/>
          </w:tcPr>
          <w:p>
            <w:pPr>
              <w:pStyle w:val="TableContents"/>
              <w:rPr>
                <w:b/>
                <w:b/>
                <w:bCs/>
              </w:rPr>
            </w:pPr>
            <w:r>
              <w:rPr>
                <w:b/>
                <w:bCs/>
              </w:rPr>
              <w:t>Notes</w:t>
            </w:r>
          </w:p>
        </w:tc>
      </w:tr>
      <w:tr>
        <w:trPr/>
        <w:tc>
          <w:tcPr>
            <w:tcW w:w="3351" w:type="dxa"/>
            <w:tcBorders/>
          </w:tcPr>
          <w:p>
            <w:pPr>
              <w:pStyle w:val="TableContents"/>
              <w:rPr/>
            </w:pPr>
            <w:r>
              <w:rPr/>
              <w:t>Hatcher (1901:39)</w:t>
            </w:r>
          </w:p>
        </w:tc>
        <w:tc>
          <w:tcPr>
            <w:tcW w:w="1468" w:type="dxa"/>
            <w:tcBorders/>
          </w:tcPr>
          <w:p>
            <w:pPr>
              <w:pStyle w:val="TableContents"/>
              <w:rPr/>
            </w:pPr>
            <w:r>
              <w:rPr/>
              <w:t>68 feet</w:t>
            </w:r>
          </w:p>
        </w:tc>
        <w:tc>
          <w:tcPr>
            <w:tcW w:w="1530" w:type="dxa"/>
            <w:tcBorders/>
          </w:tcPr>
          <w:p>
            <w:pPr>
              <w:pStyle w:val="TableContents"/>
              <w:rPr/>
            </w:pPr>
            <w:r>
              <w:rPr/>
              <w:t>20.7 m</w:t>
            </w:r>
          </w:p>
        </w:tc>
        <w:tc>
          <w:tcPr>
            <w:tcW w:w="3289" w:type="dxa"/>
            <w:tcBorders/>
          </w:tcPr>
          <w:p>
            <w:pPr>
              <w:pStyle w:val="TableContents"/>
              <w:rPr/>
            </w:pPr>
            <w:r>
              <w:rPr/>
              <w:t>Along the column from the tip of the snout to the end of caudal 37</w:t>
            </w:r>
          </w:p>
        </w:tc>
      </w:tr>
      <w:tr>
        <w:trPr/>
        <w:tc>
          <w:tcPr>
            <w:tcW w:w="3351" w:type="dxa"/>
            <w:tcBorders/>
          </w:tcPr>
          <w:p>
            <w:pPr>
              <w:pStyle w:val="TableContents"/>
              <w:rPr/>
            </w:pPr>
            <w:r>
              <w:rPr/>
              <w:t>Holland (1904a)</w:t>
            </w:r>
          </w:p>
        </w:tc>
        <w:tc>
          <w:tcPr>
            <w:tcW w:w="1468" w:type="dxa"/>
            <w:tcBorders/>
          </w:tcPr>
          <w:p>
            <w:pPr>
              <w:pStyle w:val="TableContents"/>
              <w:rPr/>
            </w:pPr>
            <w:r>
              <w:rPr/>
              <w:t>78–80 feet</w:t>
            </w:r>
          </w:p>
        </w:tc>
        <w:tc>
          <w:tcPr>
            <w:tcW w:w="1530" w:type="dxa"/>
            <w:tcBorders/>
          </w:tcPr>
          <w:p>
            <w:pPr>
              <w:pStyle w:val="TableContents"/>
              <w:rPr/>
            </w:pPr>
            <w:r>
              <w:rPr/>
            </w:r>
          </w:p>
        </w:tc>
        <w:tc>
          <w:tcPr>
            <w:tcW w:w="3289" w:type="dxa"/>
            <w:tcBorders/>
          </w:tcPr>
          <w:p>
            <w:pPr>
              <w:pStyle w:val="TableContents"/>
              <w:rPr/>
            </w:pPr>
            <w:r>
              <w:rPr/>
            </w:r>
          </w:p>
        </w:tc>
      </w:tr>
      <w:tr>
        <w:trPr/>
        <w:tc>
          <w:tcPr>
            <w:tcW w:w="3351" w:type="dxa"/>
            <w:tcBorders/>
          </w:tcPr>
          <w:p>
            <w:pPr>
              <w:pStyle w:val="TableContents"/>
              <w:rPr/>
            </w:pPr>
            <w:r>
              <w:rPr/>
              <w:t>Holland (1904b)</w:t>
            </w:r>
          </w:p>
        </w:tc>
        <w:tc>
          <w:tcPr>
            <w:tcW w:w="1468" w:type="dxa"/>
            <w:tcBorders/>
          </w:tcPr>
          <w:p>
            <w:pPr>
              <w:pStyle w:val="TableContents"/>
              <w:rPr/>
            </w:pPr>
            <w:r>
              <w:rPr/>
              <w:t>84–85 feet</w:t>
            </w:r>
          </w:p>
        </w:tc>
        <w:tc>
          <w:tcPr>
            <w:tcW w:w="1530" w:type="dxa"/>
            <w:tcBorders/>
          </w:tcPr>
          <w:p>
            <w:pPr>
              <w:pStyle w:val="TableContents"/>
              <w:rPr/>
            </w:pPr>
            <w:r>
              <w:rPr/>
            </w:r>
          </w:p>
        </w:tc>
        <w:tc>
          <w:tcPr>
            <w:tcW w:w="3289" w:type="dxa"/>
            <w:tcBorders/>
          </w:tcPr>
          <w:p>
            <w:pPr>
              <w:pStyle w:val="TableContents"/>
              <w:rPr/>
            </w:pPr>
            <w:r>
              <w:rPr/>
              <w:t>F</w:t>
            </w:r>
            <w:r>
              <w:rPr/>
              <w:t>rom the tip of the nose to the tip of the tail, when the vertebral column is laid down horizontally</w:t>
            </w:r>
          </w:p>
        </w:tc>
      </w:tr>
      <w:tr>
        <w:trPr/>
        <w:tc>
          <w:tcPr>
            <w:tcW w:w="3351" w:type="dxa"/>
            <w:tcBorders/>
          </w:tcPr>
          <w:p>
            <w:pPr>
              <w:pStyle w:val="TableContents"/>
              <w:rPr/>
            </w:pPr>
            <w:r>
              <w:rPr/>
              <w:t>Holland (1904b)</w:t>
            </w:r>
          </w:p>
        </w:tc>
        <w:tc>
          <w:tcPr>
            <w:tcW w:w="1468" w:type="dxa"/>
            <w:tcBorders/>
          </w:tcPr>
          <w:p>
            <w:pPr>
              <w:pStyle w:val="TableContents"/>
              <w:rPr/>
            </w:pPr>
            <w:r>
              <w:rPr/>
              <w:t>78–80 feet</w:t>
            </w:r>
          </w:p>
        </w:tc>
        <w:tc>
          <w:tcPr>
            <w:tcW w:w="1530" w:type="dxa"/>
            <w:tcBorders/>
          </w:tcPr>
          <w:p>
            <w:pPr>
              <w:pStyle w:val="TableContents"/>
              <w:rPr/>
            </w:pPr>
            <w:r>
              <w:rPr/>
            </w:r>
          </w:p>
        </w:tc>
        <w:tc>
          <w:tcPr>
            <w:tcW w:w="3289" w:type="dxa"/>
            <w:tcBorders/>
          </w:tcPr>
          <w:p>
            <w:pPr>
              <w:pStyle w:val="TableContents"/>
              <w:rPr/>
            </w:pPr>
            <w:r>
              <w:rPr/>
              <w:t>When mounted [...] with the necessary graceful curvature</w:t>
            </w:r>
          </w:p>
        </w:tc>
      </w:tr>
      <w:tr>
        <w:trPr/>
        <w:tc>
          <w:tcPr>
            <w:tcW w:w="3351" w:type="dxa"/>
            <w:tcBorders/>
          </w:tcPr>
          <w:p>
            <w:pPr>
              <w:pStyle w:val="TableContents"/>
              <w:rPr/>
            </w:pPr>
            <w:r>
              <w:rPr/>
              <w:t>Holland (1905:448)</w:t>
            </w:r>
          </w:p>
        </w:tc>
        <w:tc>
          <w:tcPr>
            <w:tcW w:w="1468" w:type="dxa"/>
            <w:tcBorders/>
          </w:tcPr>
          <w:p>
            <w:pPr>
              <w:pStyle w:val="TableContents"/>
              <w:rPr/>
            </w:pPr>
            <w:r>
              <w:rPr/>
              <w:t>84 feet</w:t>
            </w:r>
          </w:p>
        </w:tc>
        <w:tc>
          <w:tcPr>
            <w:tcW w:w="1530" w:type="dxa"/>
            <w:tcBorders/>
          </w:tcPr>
          <w:p>
            <w:pPr>
              <w:pStyle w:val="TableContents"/>
              <w:rPr/>
            </w:pPr>
            <w:r>
              <w:rPr/>
              <w:t>25.6 m</w:t>
            </w:r>
          </w:p>
        </w:tc>
        <w:tc>
          <w:tcPr>
            <w:tcW w:w="3289" w:type="dxa"/>
            <w:tcBorders/>
          </w:tcPr>
          <w:p>
            <w:pPr>
              <w:pStyle w:val="TableContents"/>
              <w:rPr/>
            </w:pPr>
            <w:r>
              <w:rPr/>
            </w:r>
          </w:p>
        </w:tc>
      </w:tr>
      <w:tr>
        <w:trPr/>
        <w:tc>
          <w:tcPr>
            <w:tcW w:w="3351" w:type="dxa"/>
            <w:tcBorders/>
          </w:tcPr>
          <w:p>
            <w:pPr>
              <w:pStyle w:val="TableContents"/>
              <w:rPr/>
            </w:pPr>
            <w:r>
              <w:rPr/>
              <w:t>Holland (1907)</w:t>
            </w:r>
          </w:p>
        </w:tc>
        <w:tc>
          <w:tcPr>
            <w:tcW w:w="1468" w:type="dxa"/>
            <w:tcBorders/>
          </w:tcPr>
          <w:p>
            <w:pPr>
              <w:pStyle w:val="TableContents"/>
              <w:rPr/>
            </w:pPr>
            <w:r>
              <w:rPr/>
              <w:t>78.5 feet</w:t>
            </w:r>
          </w:p>
        </w:tc>
        <w:tc>
          <w:tcPr>
            <w:tcW w:w="1530" w:type="dxa"/>
            <w:tcBorders/>
          </w:tcPr>
          <w:p>
            <w:pPr>
              <w:pStyle w:val="TableContents"/>
              <w:rPr/>
            </w:pPr>
            <w:r>
              <w:rPr/>
              <w:t xml:space="preserve">23.94 </w:t>
            </w:r>
            <w:r>
              <w:rPr/>
              <w:t>m *</w:t>
            </w:r>
          </w:p>
        </w:tc>
        <w:tc>
          <w:tcPr>
            <w:tcW w:w="3289" w:type="dxa"/>
            <w:tcBorders/>
          </w:tcPr>
          <w:p>
            <w:pPr>
              <w:pStyle w:val="TableContents"/>
              <w:rPr/>
            </w:pPr>
            <w:r>
              <w:rPr/>
            </w:r>
          </w:p>
        </w:tc>
      </w:tr>
      <w:tr>
        <w:trPr/>
        <w:tc>
          <w:tcPr>
            <w:tcW w:w="3351" w:type="dxa"/>
            <w:tcBorders/>
          </w:tcPr>
          <w:p>
            <w:pPr>
              <w:pStyle w:val="TableContents"/>
              <w:rPr/>
            </w:pPr>
            <w:r>
              <w:rPr/>
              <w:t>Untermann (1959:365)</w:t>
            </w:r>
          </w:p>
        </w:tc>
        <w:tc>
          <w:tcPr>
            <w:tcW w:w="1468" w:type="dxa"/>
            <w:tcBorders/>
          </w:tcPr>
          <w:p>
            <w:pPr>
              <w:pStyle w:val="TableContents"/>
              <w:rPr/>
            </w:pPr>
            <w:r>
              <w:rPr/>
              <w:t>76 feet</w:t>
            </w:r>
          </w:p>
        </w:tc>
        <w:tc>
          <w:tcPr>
            <w:tcW w:w="1530" w:type="dxa"/>
            <w:tcBorders/>
          </w:tcPr>
          <w:p>
            <w:pPr>
              <w:pStyle w:val="TableContents"/>
              <w:rPr/>
            </w:pPr>
            <w:r>
              <w:rPr/>
              <w:t>23.2 m</w:t>
            </w:r>
          </w:p>
        </w:tc>
        <w:tc>
          <w:tcPr>
            <w:tcW w:w="3289" w:type="dxa"/>
            <w:tcBorders/>
          </w:tcPr>
          <w:p>
            <w:pPr>
              <w:pStyle w:val="TableContents"/>
              <w:rPr/>
            </w:pPr>
            <w:r>
              <w:rPr/>
              <w:t>Vernal mount</w:t>
            </w:r>
          </w:p>
        </w:tc>
      </w:tr>
      <w:tr>
        <w:trPr/>
        <w:tc>
          <w:tcPr>
            <w:tcW w:w="3351" w:type="dxa"/>
            <w:tcBorders/>
          </w:tcPr>
          <w:p>
            <w:pPr>
              <w:pStyle w:val="TableContents"/>
              <w:rPr/>
            </w:pPr>
            <w:r>
              <w:rPr/>
              <w:t>Sarti (2012:14)</w:t>
            </w:r>
          </w:p>
        </w:tc>
        <w:tc>
          <w:tcPr>
            <w:tcW w:w="1468" w:type="dxa"/>
            <w:tcBorders/>
          </w:tcPr>
          <w:p>
            <w:pPr>
              <w:pStyle w:val="TableContents"/>
              <w:rPr/>
            </w:pPr>
            <w:r>
              <w:rPr/>
              <w:t>88.6 feet</w:t>
            </w:r>
          </w:p>
        </w:tc>
        <w:tc>
          <w:tcPr>
            <w:tcW w:w="1530" w:type="dxa"/>
            <w:tcBorders/>
          </w:tcPr>
          <w:p>
            <w:pPr>
              <w:pStyle w:val="TableContents"/>
              <w:rPr/>
            </w:pPr>
            <w:r>
              <w:rPr/>
              <w:t xml:space="preserve">27 m </w:t>
            </w:r>
            <w:r>
              <w:rPr/>
              <w:t>*</w:t>
            </w:r>
          </w:p>
        </w:tc>
        <w:tc>
          <w:tcPr>
            <w:tcW w:w="3289" w:type="dxa"/>
            <w:tcBorders/>
          </w:tcPr>
          <w:p>
            <w:pPr>
              <w:pStyle w:val="TableContents"/>
              <w:rPr/>
            </w:pPr>
            <w:r>
              <w:rPr/>
              <w:t>Bologna mount</w:t>
            </w:r>
          </w:p>
        </w:tc>
      </w:tr>
      <w:tr>
        <w:trPr/>
        <w:tc>
          <w:tcPr>
            <w:tcW w:w="3351" w:type="dxa"/>
            <w:tcBorders/>
          </w:tcPr>
          <w:p>
            <w:pPr>
              <w:pStyle w:val="TableContents"/>
              <w:rPr/>
            </w:pPr>
            <w:r>
              <w:rPr/>
              <w:t>Otero and Gasparini (2014:299)</w:t>
            </w:r>
          </w:p>
        </w:tc>
        <w:tc>
          <w:tcPr>
            <w:tcW w:w="1468" w:type="dxa"/>
            <w:tcBorders/>
          </w:tcPr>
          <w:p>
            <w:pPr>
              <w:pStyle w:val="TableContents"/>
              <w:rPr/>
            </w:pPr>
            <w:r>
              <w:rPr/>
              <w:t>88.6 feet</w:t>
            </w:r>
          </w:p>
        </w:tc>
        <w:tc>
          <w:tcPr>
            <w:tcW w:w="1530" w:type="dxa"/>
            <w:tcBorders/>
          </w:tcPr>
          <w:p>
            <w:pPr>
              <w:pStyle w:val="TableContents"/>
              <w:rPr/>
            </w:pPr>
            <w:r>
              <w:rPr/>
              <w:t xml:space="preserve">27 m </w:t>
            </w:r>
            <w:r>
              <w:rPr/>
              <w:t>*</w:t>
            </w:r>
          </w:p>
        </w:tc>
        <w:tc>
          <w:tcPr>
            <w:tcW w:w="3289" w:type="dxa"/>
            <w:tcBorders/>
          </w:tcPr>
          <w:p>
            <w:pPr>
              <w:pStyle w:val="TableContents"/>
              <w:rPr/>
            </w:pPr>
            <w:r>
              <w:rPr/>
              <w:t>La Plata mount</w:t>
            </w:r>
          </w:p>
        </w:tc>
      </w:tr>
      <w:tr>
        <w:trPr/>
        <w:tc>
          <w:tcPr>
            <w:tcW w:w="3351" w:type="dxa"/>
            <w:tcBorders/>
          </w:tcPr>
          <w:p>
            <w:pPr>
              <w:pStyle w:val="TableContents"/>
              <w:rPr/>
            </w:pPr>
            <w:r>
              <w:rPr/>
              <w:t>David Letasi (pers. comm., 2022)</w:t>
            </w:r>
          </w:p>
        </w:tc>
        <w:tc>
          <w:tcPr>
            <w:tcW w:w="1468" w:type="dxa"/>
            <w:tcBorders/>
          </w:tcPr>
          <w:p>
            <w:pPr>
              <w:pStyle w:val="TableContents"/>
              <w:rPr/>
            </w:pPr>
            <w:r>
              <w:rPr/>
              <w:t>75 feet</w:t>
            </w:r>
          </w:p>
        </w:tc>
        <w:tc>
          <w:tcPr>
            <w:tcW w:w="1530" w:type="dxa"/>
            <w:tcBorders/>
          </w:tcPr>
          <w:p>
            <w:pPr>
              <w:pStyle w:val="TableContents"/>
              <w:rPr/>
            </w:pPr>
            <w:r>
              <w:rPr/>
              <w:t>22.9 m</w:t>
            </w:r>
          </w:p>
        </w:tc>
        <w:tc>
          <w:tcPr>
            <w:tcW w:w="3289" w:type="dxa"/>
            <w:tcBorders/>
          </w:tcPr>
          <w:p>
            <w:pPr>
              <w:pStyle w:val="TableContents"/>
              <w:rPr/>
            </w:pPr>
            <w:r>
              <w:rPr/>
              <w:t>Elements used in Lehi mount, laid out in sequence</w:t>
            </w:r>
          </w:p>
        </w:tc>
      </w:tr>
      <w:tr>
        <w:trPr/>
        <w:tc>
          <w:tcPr>
            <w:tcW w:w="3351" w:type="dxa"/>
            <w:tcBorders/>
          </w:tcPr>
          <w:p>
            <w:pPr>
              <w:pStyle w:val="TableContents"/>
              <w:rPr/>
            </w:pPr>
            <w:r>
              <w:rPr/>
              <w:t>Current Carnegie mount</w:t>
            </w:r>
          </w:p>
        </w:tc>
        <w:tc>
          <w:tcPr>
            <w:tcW w:w="1468" w:type="dxa"/>
            <w:tcBorders/>
            <w:shd w:fill="FFFF00" w:val="clear"/>
          </w:tcPr>
          <w:p>
            <w:pPr>
              <w:pStyle w:val="TableContents"/>
              <w:rPr/>
            </w:pPr>
            <w:r>
              <w:rPr/>
              <w:t xml:space="preserve">XXX </w:t>
            </w:r>
            <w:r>
              <w:rPr/>
              <w:t>to be determined</w:t>
            </w:r>
          </w:p>
        </w:tc>
        <w:tc>
          <w:tcPr>
            <w:tcW w:w="1530" w:type="dxa"/>
            <w:tcBorders/>
          </w:tcPr>
          <w:p>
            <w:pPr>
              <w:pStyle w:val="TableContents"/>
              <w:rPr/>
            </w:pPr>
            <w:r>
              <w:rPr/>
            </w:r>
          </w:p>
        </w:tc>
        <w:tc>
          <w:tcPr>
            <w:tcW w:w="3289" w:type="dxa"/>
            <w:tcBorders/>
          </w:tcPr>
          <w:p>
            <w:pPr>
              <w:pStyle w:val="TableContents"/>
              <w:rPr/>
            </w:pPr>
            <w:r>
              <w:rPr/>
              <w:t>See text</w:t>
            </w:r>
          </w:p>
        </w:tc>
      </w:tr>
    </w:tbl>
    <w:p>
      <w:pPr>
        <w:pStyle w:val="Heading1"/>
        <w:numPr>
          <w:ilvl w:val="0"/>
          <w:numId w:val="4"/>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9"/>
        </w:numPr>
        <w:ind w:left="720" w:right="0" w:hanging="360"/>
        <w:rPr/>
      </w:pPr>
      <w:r>
        <w:rPr/>
        <w:t>Seated, facing right: possibly Albert “Bill” Thomson, though this seems unlikely as he was never part of the Carnegie crew</w:t>
      </w:r>
    </w:p>
    <w:p>
      <w:pPr>
        <w:pStyle w:val="FigureCaption"/>
        <w:numPr>
          <w:ilvl w:val="0"/>
          <w:numId w:val="9"/>
        </w:numPr>
        <w:ind w:left="720" w:right="0" w:hanging="360"/>
        <w:rPr/>
      </w:pPr>
      <w:r>
        <w:rPr/>
        <w:t>Standing at back: chief preparator Arthur S. Coggeshall</w:t>
      </w:r>
    </w:p>
    <w:p>
      <w:pPr>
        <w:pStyle w:val="FigureCaption"/>
        <w:numPr>
          <w:ilvl w:val="0"/>
          <w:numId w:val="9"/>
        </w:numPr>
        <w:ind w:left="720" w:right="0" w:hanging="360"/>
        <w:rPr/>
      </w:pPr>
      <w:r>
        <w:rPr/>
        <w:t>Seated, looking to camera: preparator Charles W. Gilmore</w:t>
      </w:r>
    </w:p>
    <w:p>
      <w:pPr>
        <w:pStyle w:val="FigureCaption"/>
        <w:numPr>
          <w:ilvl w:val="0"/>
          <w:numId w:val="9"/>
        </w:numPr>
        <w:ind w:left="720" w:right="0" w:hanging="360"/>
        <w:rPr/>
      </w:pPr>
      <w:r>
        <w:rPr/>
        <w:t>Seated at far table: field worker Earl Douglass</w:t>
      </w:r>
    </w:p>
    <w:p>
      <w:pPr>
        <w:pStyle w:val="FigureCaption"/>
        <w:numPr>
          <w:ilvl w:val="0"/>
          <w:numId w:val="9"/>
        </w:numPr>
        <w:ind w:left="720" w:right="0" w:hanging="360"/>
        <w:rPr/>
      </w:pPr>
      <w:r>
        <w:rPr/>
        <w:t>Standing behind far table: possibly preparator Louis Coggeshall, Arthur’s brother</w:t>
      </w:r>
    </w:p>
    <w:p>
      <w:pPr>
        <w:pStyle w:val="FigureCaption"/>
        <w:numPr>
          <w:ilvl w:val="0"/>
          <w:numId w:val="9"/>
        </w:numPr>
        <w:ind w:left="720" w:right="0" w:hanging="360"/>
        <w:rPr/>
      </w:pPr>
      <w:r>
        <w:rPr/>
        <w:t>Sitting at far table, facing left: possibly lead sculptor Serafino Agostini.</w:t>
      </w:r>
    </w:p>
    <w:p>
      <w:pPr>
        <w:pStyle w:val="FigureCaption"/>
        <w:numPr>
          <w:ilvl w:val="0"/>
          <w:numId w:val="9"/>
        </w:numPr>
        <w:ind w:left="720" w:right="0" w:hanging="360"/>
        <w:rPr/>
      </w:pPr>
      <w:r>
        <w:rPr/>
        <w:t>Seated: unknown</w:t>
      </w:r>
    </w:p>
    <w:p>
      <w:pPr>
        <w:pStyle w:val="FigureCaption"/>
        <w:numPr>
          <w:ilvl w:val="0"/>
          <w:numId w:val="9"/>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ind w:left="720" w:right="0" w:hanging="360"/>
        <w:rPr>
          <w:highlight w:val="none"/>
          <w:shd w:fill="FFFF00" w:val="clear"/>
        </w:rPr>
      </w:pPr>
      <w:r>
        <w:rPr>
          <w:shd w:fill="FFFF00" w:val="clear"/>
        </w:rPr>
        <w:t>XXX From photo library metadata: W. H. Utterback, O. A. Peterson, Louis Coggeshall, Charles W. Gilmore, Earl Douglass, Arthur S. Coggeshall, Asher W. VanKirk, Sydney Prentice, John B. Hatcher</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29020</TotalTime>
  <Application>LibreOffice/7.4.1.2$MacOSX_X86_64 LibreOffice_project/3c58a8f3a960df8bc8fd77b461821e42c061c5f0</Application>
  <AppVersion>15.0000</AppVersion>
  <Pages>34</Pages>
  <Words>16630</Words>
  <Characters>87332</Characters>
  <CharactersWithSpaces>103397</CharactersWithSpaces>
  <Paragraphs>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2022-10-30T22:52:58Z</dcterms:modified>
  <cp:revision>783</cp:revision>
  <dc:subject/>
  <dc:title/>
</cp:coreProperties>
</file>

<file path=docProps/custom.xml><?xml version="1.0" encoding="utf-8"?>
<Properties xmlns="http://schemas.openxmlformats.org/officeDocument/2006/custom-properties" xmlns:vt="http://schemas.openxmlformats.org/officeDocument/2006/docPropsVTypes"/>
</file>