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1</w:t>
      </w:r>
      <w:r>
        <w:rPr/>
        <w:t>).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w:t>
      </w:r>
      <w:r>
        <w:rPr/>
        <w:t>2</w:t>
      </w:r>
      <w:r>
        <w:rPr/>
        <w:t xml:space="preserve">A) was inspired by this article, and instructed the Pittsburgh museum that he founded and funded to obtain a giant dinosaur skeleton for exhibit. William J. Holland (Figure </w:t>
      </w:r>
      <w:r>
        <w:rPr/>
        <w:t>2</w:t>
      </w:r>
      <w:r>
        <w:rPr/>
        <w:t>B), director of the Carnegie Museum, used Carnegie’s money to hire experienced field palaeontologists away from other museums and sent them out to hunt sauropods.</w:t>
      </w:r>
    </w:p>
    <w:p>
      <w:pPr>
        <w:pStyle w:val="TextBody"/>
        <w:rPr/>
      </w:pPr>
      <w:r>
        <w:rPr/>
        <w:t xml:space="preserve">On 4 July 1899 — Independence Day — Dr. Jacob L. Wortman, working for the Carnegie Museum, found the first bones of a largely complete sauropod specimen at Sheep Creek in Albany County, Wyoming (Figure </w:t>
      </w:r>
      <w:r>
        <w:rPr/>
        <w:t>3</w:t>
      </w:r>
      <w:r>
        <w:rPr/>
        <w:t xml:space="preserve">). He and his team (Figure </w:t>
      </w:r>
      <w:r>
        <w:rPr/>
        <w:t>4</w:t>
      </w:r>
      <w:r>
        <w:rPr/>
        <w:t>)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w:t>
      </w:r>
      <w:r>
        <w:rPr/>
        <w:t>2</w:t>
      </w:r>
      <w:r>
        <w:rPr/>
        <w:t xml:space="preserve">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w:t>
      </w:r>
      <w:r>
        <w:rPr/>
        <w:t>2</w:t>
      </w:r>
      <w:r>
        <w:rPr/>
        <w:t xml:space="preserve">D) and his team (Figure </w:t>
      </w:r>
      <w:r>
        <w:rPr/>
        <w:t>5</w:t>
      </w:r>
      <w:r>
        <w:rPr/>
        <w:t>).</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w:t>
      </w:r>
      <w:r>
        <w:rPr/>
        <w:t>2</w:t>
      </w:r>
      <w:r>
        <w:rPr/>
        <w:t xml:space="preserve">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w:t>
      </w:r>
      <w:r>
        <w:rPr/>
        <w:t>6</w:t>
      </w:r>
      <w:r>
        <w:rPr/>
        <w:t>).</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w:t>
      </w:r>
      <w:r>
        <w:rPr/>
        <w:t>2</w:t>
      </w:r>
      <w:r>
        <w:rPr/>
        <w:t xml:space="preserve">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w:t>
      </w:r>
      <w:r>
        <w:rPr/>
        <w:t>7</w:t>
      </w:r>
      <w:r>
        <w:rPr/>
        <w:t xml:space="preserve">;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w:t>
      </w:r>
      <w:r>
        <w:rPr/>
        <w:t>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0" w:name="__DdeLink__25488_802501007"/>
      <w:r>
        <w:rPr>
          <w:b w:val="false"/>
          <w:bCs w:val="false"/>
        </w:rPr>
        <w:t>Untermann</w:t>
      </w:r>
      <w:bookmarkEnd w:id="10"/>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w:t>
      </w:r>
      <w:r>
        <w:rPr/>
        <w:t>8</w:t>
      </w:r>
      <w:r>
        <w:rPr/>
        <w:t>).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xml:space="preserve">,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w:t>
      </w:r>
      <w:r>
        <w:rPr/>
        <w:t>9</w:t>
      </w:r>
      <w:r>
        <w:rPr/>
        <w:t>).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w:t>
      </w:r>
      <w:r>
        <w:rPr/>
        <w:t>1</w:t>
      </w:r>
      <w:r>
        <w:rPr/>
        <w:t xml:space="preserve">,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 xml:space="preserve">Table 2 summarises the contributions from different specimens to the Carnegie mount (and subsequent modifications, and the casts). Figure </w:t>
      </w:r>
      <w:r>
        <w:rPr/>
        <w:t>10</w:t>
      </w:r>
      <w:r>
        <w:rPr/>
        <w:t xml:space="preserve"> shows graphically the contributions of the different specimens. Figure </w:t>
      </w:r>
      <w:r>
        <w:rPr/>
        <w:t>11</w:t>
      </w:r>
      <w:r>
        <w:rPr/>
        <w:t xml:space="preserve">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 xml:space="preserve">Regarding whether the present skull is a cast or a sculpture: it preserves bone texture, including damage, very accurately (Figure </w:t>
      </w:r>
      <w:r>
        <w:rPr/>
        <w:t>12</w:t>
      </w:r>
      <w:r>
        <w:rPr/>
        <w:t>).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w:t>
      </w:r>
      <w:r>
        <w:rPr/>
        <w:t>13</w:t>
      </w:r>
      <w:r>
        <w:rPr/>
        <w:t xml:space="preserve">), the neck is shown in a somewhat raised posture and is suspended from the ceiling. This is in contrast to older photos in which it is </w:t>
      </w:r>
      <w:r>
        <w:rPr/>
        <w:t xml:space="preserve">more </w:t>
      </w:r>
      <w:r>
        <w:rPr/>
        <w:t xml:space="preserve">horizontal and supported from beneath by a pole </w:t>
      </w:r>
      <w:r>
        <w:rPr/>
        <w:t xml:space="preserve">(Figure </w:t>
      </w:r>
      <w:r>
        <w:rPr/>
        <w:t>11</w:t>
      </w:r>
      <w:r>
        <w:rPr/>
        <w:t>)</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w:t>
      </w:r>
      <w:r>
        <w:rPr/>
        <w:t>13</w:t>
      </w:r>
      <w:r>
        <w:rPr/>
        <w:t xml:space="preserve">).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w:t>
      </w:r>
      <w:r>
        <w:rPr/>
        <w:t>11</w:t>
      </w:r>
      <w:r>
        <w:rPr/>
        <w:t xml:space="preserve">A–B, Figure </w:t>
      </w:r>
      <w:r>
        <w:rPr/>
        <w:t>14</w:t>
      </w:r>
      <w:r>
        <w:rPr/>
        <w:t xml:space="preserve">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w:t>
      </w:r>
      <w:r>
        <w:rPr/>
        <w:t>14</w:t>
      </w:r>
      <w:r>
        <w:rPr/>
        <w:t>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w:t>
      </w:r>
      <w:r>
        <w:rPr/>
        <w:t>15</w:t>
      </w:r>
      <w:r>
        <w:rPr/>
        <w:t xml:space="preserve">), and several changes were made to the materials incorporated in the mount, </w:t>
      </w:r>
      <w:r>
        <w:rPr/>
        <w:t>detailed in the following sections</w:t>
      </w:r>
      <w:r>
        <w:rPr/>
        <w:t>.</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w:t>
      </w:r>
      <w:r>
        <w:rPr/>
        <w:t>14</w:t>
      </w:r>
      <w:r>
        <w:rPr/>
        <w:t>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The initial version of the Carnegie mount included the obviously incorrect left forelimb of the camarasaurid specimen CM 21775 (Figure </w:t>
      </w:r>
      <w:r>
        <w:rPr/>
        <w:t>11</w:t>
      </w:r>
      <w:r>
        <w:rPr/>
        <w:t xml:space="preserve">B, E). This remained in place through the 1930s (Figure </w:t>
      </w:r>
      <w:r>
        <w:rPr/>
        <w:t>11</w:t>
      </w:r>
      <w:r>
        <w:rPr/>
        <w:t xml:space="preserve">A) and is generally said to have been retained until the 2007 remount (e.g. Tschopp et al. 2019:33). This is </w:t>
      </w:r>
      <w:r>
        <w:rPr/>
        <w:t>most likely</w:t>
      </w:r>
      <w:r>
        <w:rPr/>
        <w:t xml:space="preserve"> correct, but it is notable that in a photograph taken some time between 1985 and 1999 (Figure </w:t>
      </w:r>
      <w:r>
        <w:rPr/>
        <w:t>13</w:t>
      </w:r>
      <w:r>
        <w:rPr/>
        <w:t>)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 xml:space="preserve">The Sauriermuseum Aathal in Switzerland has several diplodocid specimens. The owner, Kirby Siber, </w:t>
      </w:r>
      <w:r>
        <w:rPr/>
        <w:t xml:space="preserve">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w:t>
      </w:r>
      <w:r>
        <w:rPr/>
        <w:t>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w:t>
      </w:r>
      <w:r>
        <w:rPr/>
        <w:t xml:space="preserve">at least </w:t>
      </w:r>
      <w:r>
        <w:rPr/>
        <w:t xml:space="preserve">seven of the CM 94 caudals in the mount were plaster casts (but did not say which ones), reducing the number of real CM 94 caudals in the mount to </w:t>
      </w:r>
      <w:r>
        <w:rPr/>
        <w:t xml:space="preserve">at most </w:t>
      </w:r>
      <w:r>
        <w:rPr/>
        <w:t xml:space="preserve">16. (McIntosh (2005b) speculated that Coggeshall </w:t>
      </w:r>
      <w:r>
        <w:rPr/>
        <w:t xml:space="preserve">used </w:t>
      </w:r>
      <w:r>
        <w:rPr/>
        <w:t xml:space="preserve">used some of the better preserved caudals of CM 94 and </w:t>
      </w:r>
      <w:r>
        <w:rPr/>
        <w:t xml:space="preserve">made </w:t>
      </w:r>
      <w:r>
        <w:rPr/>
        <w:t>cast</w:t>
      </w:r>
      <w:r>
        <w:rPr/>
        <w:t>s of</w:t>
      </w:r>
      <w:r>
        <w:rPr/>
        <w:t xml:space="preserve"> those that were not in such good condition.) </w:t>
      </w:r>
      <w:r>
        <w:rPr/>
        <w:t xml:space="preserve">If there were </w:t>
      </w:r>
      <w:r>
        <w:rPr/>
        <w:t xml:space="preserve">16 real caudals in the mount plus the 23 in the collection, </w:t>
      </w:r>
      <w:r>
        <w:rPr/>
        <w:t>that would</w:t>
      </w:r>
      <w:r>
        <w:rPr/>
        <w:t xml:space="preserve">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shd w:fill="auto" w:val="clear"/>
        </w:rPr>
        <w:t xml:space="preserve">It seems likely, then, that </w:t>
      </w:r>
      <w:r>
        <w:rPr>
          <w:shd w:fill="auto" w:val="clear"/>
        </w:rPr>
        <w:t xml:space="preserve">at least seven </w:t>
      </w:r>
      <w:r>
        <w:rPr>
          <w:shd w:fill="auto" w:val="clear"/>
        </w:rPr>
        <w:t>of the</w:t>
      </w:r>
      <w:r>
        <w:rPr>
          <w:shd w:fill="auto" w:val="clear"/>
        </w:rPr>
        <w:t xml:space="preserve"> caudals in the ranges 13–31 and 33–36 are probably plaster casts, but it is difficult to determine which ones. </w:t>
      </w:r>
      <w:r>
        <w:rPr>
          <w:shd w:fill="auto" w:val="clear"/>
        </w:rPr>
        <w:t>McIntosh’s (2005b) state</w:t>
      </w:r>
      <w:r>
        <w:rPr>
          <w:shd w:fill="auto" w:val="clear"/>
        </w:rPr>
        <w:t>d</w:t>
      </w:r>
      <w:r>
        <w:rPr>
          <w:shd w:fill="auto" w:val="clear"/>
        </w:rPr>
        <w:t xml:space="preserve"> that the two fused pairs 20–21 and 24–25 are “certainly real”. </w:t>
      </w:r>
      <w:r>
        <w:rPr>
          <w:shd w:fill="auto" w:val="clear"/>
        </w:rPr>
        <w:t>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w:t>
      </w:r>
      <w:r>
        <w:rPr>
          <w:shd w:fill="auto" w:val="clear"/>
        </w:rPr>
        <w:t>At any rate, it is is likely that the number of CM 94 caudal plaster casts remaining is eight.</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shd w:fill="auto" w:val="clear"/>
        </w:rPr>
        <w:t>CM 3378</w:t>
      </w:r>
      <w:bookmarkEnd w:id="23"/>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w:t>
      </w:r>
      <w:r>
        <w:rPr/>
        <w:t>16</w:t>
      </w:r>
      <w:r>
        <w:rPr/>
        <w:t xml:space="preserve">). Since about 40% of the tail length is made up of CM 307 vertebrae (Taylor pers. obs.), increasing that portion by 25% would increase the total tail length by about 10%. The present tail is about 15 m long (see caption to Figure </w:t>
      </w:r>
      <w:r>
        <w:rPr/>
        <w:t>17</w:t>
      </w:r>
      <w:r>
        <w:rPr/>
        <w:t>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 xml:space="preserve">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w:t>
      </w:r>
      <w:r>
        <w:rPr/>
        <w:t>14</w:t>
      </w:r>
      <w:r>
        <w:rPr/>
        <w:t>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 xml:space="preserve">The Russian mount has undergone the most adventures of them all. </w:t>
      </w:r>
      <w:r>
        <w:rPr/>
        <w:t>H</w:t>
      </w:r>
      <w:r>
        <w:rPr/>
        <w:t xml:space="preserve">aving been mounted at the The Imperial Museum at St. Petersburg in early July 1910, it was </w:t>
      </w:r>
      <w:r>
        <w:rPr/>
        <w:t xml:space="preserve">first </w:t>
      </w:r>
      <w:r>
        <w:rPr/>
        <w:t xml:space="preserve">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w:t>
      </w:r>
      <w:r>
        <w:rPr/>
        <w:t>Here it was given a bizarre posture with parasagittal hindlimbs but strongly everted elbows (Taylor 2014), possibly following Abel’s suggestion (Abel 1910). It was next</w:t>
      </w:r>
      <w:r>
        <w:rPr/>
        <w:t xml:space="preserve"> moved to storage in Almaty, Kazakhstan from 1942 to 1944, </w:t>
      </w:r>
      <w:r>
        <w:rPr/>
        <w:t>possibly to avoid war damage. After this, it was</w:t>
      </w:r>
      <w:r>
        <w:rPr/>
        <w:t xml:space="preserve"> returned to the Neshkuchny Palace, </w:t>
      </w:r>
      <w:r>
        <w:rPr/>
        <w:t xml:space="preserve">but then </w:t>
      </w:r>
      <w:r>
        <w:rPr/>
        <w:t xml:space="preserve">placed in storage following the Palace’s closure as a museum in 1954. Since 1987 it has been displayed in Moscow’s new Orlov Museum of Natural History, </w:t>
      </w:r>
      <w:r>
        <w:rPr/>
        <w:t xml:space="preserve">having been </w:t>
      </w:r>
      <w:r>
        <w:rPr/>
        <w:t xml:space="preserve">remounted in more traditional fashion with erect limbs, but with a dragging tail that was </w:t>
      </w:r>
      <w:r>
        <w:rPr/>
        <w:t xml:space="preserve">already </w:t>
      </w:r>
      <w:r>
        <w:rPr/>
        <w:t xml:space="preserve">strikingly old-fashioned by that time. </w:t>
      </w:r>
      <w:r>
        <w:rPr/>
        <w:t>F</w:t>
      </w:r>
      <w:r>
        <w:rPr/>
        <w:t xml:space="preserve">inally, </w:t>
      </w:r>
      <w:r>
        <w:rPr/>
        <w:t xml:space="preserve">it was </w:t>
      </w:r>
      <w:r>
        <w:rPr/>
        <w:t>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w:t>
      </w:r>
      <w:r>
        <w:rPr>
          <w:shd w:fill="auto" w:val="clear"/>
        </w:rPr>
        <w:t>17</w:t>
      </w:r>
      <w:r>
        <w:rPr>
          <w:shd w:fill="auto" w:val="clear"/>
        </w:rPr>
        <w:t xml:space="preserve">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w:t>
      </w:r>
      <w:r>
        <w:rPr>
          <w:shd w:fill="auto" w:val="clear"/>
        </w:rPr>
        <w:t>17</w:t>
      </w:r>
      <w:r>
        <w:rPr>
          <w:shd w:fill="auto" w:val="clear"/>
        </w:rPr>
        <w:t xml:space="preserve">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w:t>
      </w:r>
      <w:r>
        <w:rPr/>
        <w:t>10</w:t>
      </w:r>
      <w:r>
        <w:rPr/>
        <w:t xml:space="preserve">) We are grateful to all those who kindly allowed us to use their photographs: Mathew J. Wedel’s photograph of the Carnegie mount (Figure </w:t>
      </w:r>
      <w:r>
        <w:rPr/>
        <w:t>1</w:t>
      </w:r>
      <w:r>
        <w:rPr/>
        <w:t xml:space="preserve">), Vincent Reneleau’s photographs of the atlas (Figure </w:t>
      </w:r>
      <w:r>
        <w:rPr/>
        <w:t>9</w:t>
      </w:r>
      <w:r>
        <w:rPr/>
        <w:t xml:space="preserve">C) </w:t>
      </w:r>
      <w:r>
        <w:rPr/>
        <w:t xml:space="preserve">and </w:t>
      </w:r>
      <w:r>
        <w:rPr/>
        <w:t xml:space="preserve">right forefoot (Figure </w:t>
      </w:r>
      <w:r>
        <w:rPr/>
        <w:t>14</w:t>
      </w:r>
      <w:r>
        <w:rPr/>
        <w:t xml:space="preserve">A) of the Paris cast, Josh Franzos’ photograph of the cast skull of the Carnegie mount (Figure </w:t>
      </w:r>
      <w:r>
        <w:rPr/>
        <w:t>12</w:t>
      </w:r>
      <w:r>
        <w:rPr/>
        <w:t xml:space="preserve">), Verónica Díez Díaz’s photograph of the right forefoot of the Berlin mount (Figure </w:t>
      </w:r>
      <w:r>
        <w:rPr/>
        <w:t>14</w:t>
      </w:r>
      <w:r>
        <w:rPr/>
        <w:t xml:space="preserve">B), Jeremy Huff’s photograph of the forefeet of HMNS 175 (formerly CM 662) in Houston (Figure </w:t>
      </w:r>
      <w:r>
        <w:rPr/>
        <w:t>14</w:t>
      </w:r>
      <w:r>
        <w:rPr/>
        <w:t xml:space="preserve">C), </w:t>
      </w:r>
      <w:r>
        <w:rPr/>
        <w:t xml:space="preserve">and </w:t>
      </w:r>
      <w:r>
        <w:rPr/>
        <w:t xml:space="preserve">Phil Fraley’s photograph of the 2007 </w:t>
      </w:r>
      <w:r>
        <w:rPr>
          <w:i/>
          <w:iCs/>
        </w:rPr>
        <w:t>Diplodocus</w:t>
      </w:r>
      <w:r>
        <w:rPr/>
        <w:t xml:space="preserve"> remount in progress (Figure </w:t>
      </w:r>
      <w:r>
        <w:rPr/>
        <w:t>15</w:t>
      </w:r>
      <w:r>
        <w:rPr/>
        <w:t>).</w:t>
      </w:r>
    </w:p>
    <w:p>
      <w:pPr>
        <w:pStyle w:val="TextBody"/>
        <w:rPr/>
      </w:pPr>
      <w:r>
        <w:rPr/>
        <w:t xml:space="preserve">We also appreciate Phil Fraley’s </w:t>
      </w:r>
      <w:r>
        <w:rPr/>
        <w:t>provision of</w:t>
      </w:r>
      <w:r>
        <w:rPr/>
        <w:t xml:space="preserve"> photographs of caudals from the original mount.</w:t>
      </w:r>
    </w:p>
    <w:p>
      <w:pPr>
        <w:pStyle w:val="TextBody"/>
        <w:rPr/>
      </w:pPr>
      <w:r>
        <w:rPr/>
        <w:t xml:space="preserve">We thank Ken Carpenter, David Letasi, Peter May, Anthony Maltese, Amanda McGee, Kristian Remes, Vincent Reneleau, Daniela Schwarz, </w:t>
      </w:r>
      <w:r>
        <w:rPr/>
        <w:t>Kirby Siber</w:t>
      </w:r>
      <w:r>
        <w:rPr/>
        <w:t xml:space="preserve"> and Matt Wedel for permission to cite personal communications.</w:t>
      </w:r>
    </w:p>
    <w:p>
      <w:pPr>
        <w:pStyle w:val="TextBody"/>
        <w:rPr/>
      </w:pPr>
      <w:r>
        <w:rPr/>
        <w:t xml:space="preserve">We are especially grateful </w:t>
      </w:r>
      <w:r>
        <w:rPr/>
        <w:t xml:space="preserve">to </w:t>
      </w:r>
      <w:r>
        <w:rPr/>
        <w:t xml:space="preserve">Vincent Reneleau for measuring the Paris cast; to Peter Falkingham for creating the photogrammetric model of the Carnegie mount and using it to measure its total length, and for providing the screenshot for Figure </w:t>
      </w:r>
      <w:r>
        <w:rPr/>
        <w:t>17</w:t>
      </w:r>
      <w:r>
        <w:rPr/>
        <w:t xml:space="preserve">A; and to Dakota Campbell of Eye-Bot Aerial Solutions for creating a LIDAR-based model and calculating a second length estimate, and providing the screenshot for Figure </w:t>
      </w:r>
      <w:r>
        <w:rPr/>
        <w:t>17</w:t>
      </w:r>
      <w:r>
        <w:rPr/>
        <w:t>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8">
        <w:r>
          <w:rPr>
            <w:rStyle w:val="InternetLink"/>
            <w:b w:val="false"/>
            <w:bCs w:val="false"/>
          </w:rPr>
          <w:t>https://svpow.com/2009/04/23/mydd/</w:t>
        </w:r>
      </w:hyperlink>
      <w:r>
        <w:rPr>
          <w:b w:val="false"/>
          <w:bCs w:val="false"/>
        </w:rPr>
        <w:t xml:space="preserve">, archived at </w:t>
      </w:r>
      <w:hyperlink r:id="rId19">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20">
        <w:r>
          <w:rPr>
            <w:rStyle w:val="InternetLink"/>
            <w:b w:val="false"/>
            <w:bCs w:val="false"/>
          </w:rPr>
          <w:t>https://svpow.com/2019/11/04/dystylosaurus-reminds-you-to-beware-of-taking-measurements-from-casts/</w:t>
        </w:r>
      </w:hyperlink>
      <w:r>
        <w:rPr>
          <w:b w:val="false"/>
          <w:bCs w:val="false"/>
        </w:rPr>
        <w:t xml:space="preserve">, archived at </w:t>
      </w:r>
      <w:hyperlink r:id="rId21">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 xml:space="preserve">Figure </w:t>
      </w:r>
      <w:r>
        <w:rPr>
          <w:b/>
          <w:bCs/>
        </w:rPr>
        <w:t>1</w:t>
      </w:r>
      <w:r>
        <w:rPr>
          <w:b/>
          <w:bCs/>
        </w:rPr>
        <w:t>.</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 xml:space="preserve">Figure </w:t>
      </w:r>
      <w:r>
        <w:rPr>
          <w:b/>
          <w:bCs/>
        </w:rPr>
        <w:t>2</w:t>
      </w:r>
      <w:r>
        <w:rPr>
          <w:b/>
          <w:bCs/>
        </w:rPr>
        <w:t>.</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b w:val="false"/>
          <w:b w:val="false"/>
          <w:bCs w:val="false"/>
        </w:rPr>
      </w:pPr>
      <w:r>
        <w:rPr>
          <w:b/>
          <w:bCs/>
        </w:rPr>
        <w:t xml:space="preserve">Figure </w:t>
      </w:r>
      <w:r>
        <w:rPr>
          <w:b/>
          <w:bCs/>
        </w:rPr>
        <w:t>3</w:t>
      </w:r>
      <w:r>
        <w:rPr>
          <w:b/>
          <w:bCs/>
        </w:rPr>
        <w:t>.</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spacing w:before="0" w:after="142"/>
        <w:rPr/>
      </w:pPr>
      <w:r>
        <w:rPr>
          <w:b/>
          <w:bCs/>
        </w:rPr>
        <w:t xml:space="preserve">Figure </w:t>
      </w:r>
      <w:r>
        <w:rPr>
          <w:b/>
          <w:bCs/>
        </w:rPr>
        <w:t>4</w:t>
      </w:r>
      <w:r>
        <w:rPr>
          <w:b/>
          <w:bCs/>
        </w:rPr>
        <w:t>.</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rPr/>
      </w:pPr>
      <w:r>
        <w:rPr>
          <w:b/>
          <w:bCs/>
        </w:rPr>
        <w:t xml:space="preserve">Figure </w:t>
      </w:r>
      <w:r>
        <w:rPr>
          <w:b/>
          <w:bCs/>
        </w:rPr>
        <w:t>5</w:t>
      </w:r>
      <w:r>
        <w:rPr>
          <w:b/>
          <w:bCs/>
        </w:rPr>
        <w:t>.</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 xml:space="preserve">Figure </w:t>
      </w:r>
      <w:r>
        <w:rPr>
          <w:b/>
          <w:bCs/>
        </w:rPr>
        <w:t>6</w:t>
      </w:r>
      <w:r>
        <w:rPr>
          <w:b/>
          <w:bCs/>
        </w:rPr>
        <w:t>.</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b w:val="false"/>
          <w:b w:val="false"/>
          <w:bCs w:val="false"/>
        </w:rPr>
      </w:pPr>
      <w:r>
        <w:rPr>
          <w:b/>
          <w:bCs/>
        </w:rPr>
        <w:t xml:space="preserve">Figure </w:t>
      </w:r>
      <w:r>
        <w:rPr>
          <w:b/>
          <w:bCs/>
        </w:rPr>
        <w:t>7</w:t>
      </w:r>
      <w:r>
        <w:rPr>
          <w:b/>
          <w:bCs/>
        </w:rPr>
        <w:t>.</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pPr>
      <w:r>
        <w:rPr>
          <w:b/>
          <w:bCs/>
        </w:rPr>
        <w:t xml:space="preserve">Figure </w:t>
      </w:r>
      <w:r>
        <w:rPr>
          <w:b/>
          <w:bCs/>
        </w:rPr>
        <w:t>8</w:t>
      </w:r>
      <w:r>
        <w:rPr>
          <w:b/>
          <w:bCs/>
        </w:rPr>
        <w:t>.</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9.</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pPr>
      <w:r>
        <w:rPr>
          <w:b/>
          <w:bCs/>
        </w:rPr>
        <w:t xml:space="preserve">Figure </w:t>
      </w:r>
      <w:r>
        <w:rPr>
          <w:b/>
          <w:bCs/>
        </w:rPr>
        <w:t>10</w:t>
      </w:r>
      <w:r>
        <w:rPr>
          <w:b/>
          <w:bCs/>
        </w:rPr>
        <w:t>.</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 xml:space="preserve">Figure </w:t>
      </w:r>
      <w:r>
        <w:rPr>
          <w:b/>
          <w:bCs/>
        </w:rPr>
        <w:t>11</w:t>
      </w:r>
      <w:r>
        <w:rPr>
          <w:b/>
          <w:bCs/>
        </w:rPr>
        <w:t>.</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 xml:space="preserve">Figure </w:t>
      </w:r>
      <w:r>
        <w:rPr>
          <w:b/>
          <w:bCs/>
        </w:rPr>
        <w:t>12</w:t>
      </w:r>
      <w:r>
        <w:rPr>
          <w:b/>
          <w:bCs/>
        </w:rPr>
        <w:t>.</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 xml:space="preserve">Figure </w:t>
      </w:r>
      <w:r>
        <w:rPr>
          <w:b/>
          <w:bCs/>
        </w:rPr>
        <w:t>13</w:t>
      </w:r>
      <w:r>
        <w:rPr>
          <w:b/>
          <w:bCs/>
        </w:rPr>
        <w:t>.</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 xml:space="preserve">Figure </w:t>
      </w:r>
      <w:r>
        <w:rPr>
          <w:b/>
          <w:bCs/>
        </w:rPr>
        <w:t>14</w:t>
      </w:r>
      <w:r>
        <w:rPr>
          <w:b/>
          <w:bCs/>
        </w:rPr>
        <w:t>.</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spacing w:before="0" w:after="142"/>
        <w:rPr/>
      </w:pPr>
      <w:r>
        <w:rPr>
          <w:b/>
          <w:bCs/>
        </w:rPr>
        <w:t xml:space="preserve">Figure </w:t>
      </w:r>
      <w:r>
        <w:rPr>
          <w:b/>
          <w:bCs/>
        </w:rPr>
        <w:t>15</w:t>
      </w:r>
      <w:r>
        <w:rPr>
          <w:b/>
          <w:bCs/>
        </w:rPr>
        <w:t>.</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 xml:space="preserve">Figure </w:t>
      </w:r>
      <w:r>
        <w:rPr>
          <w:b/>
          <w:bCs/>
        </w:rPr>
        <w:t>16</w:t>
      </w:r>
      <w:r>
        <w:rPr>
          <w:b/>
          <w:bCs/>
        </w:rPr>
        <w:t>.</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rPr>
          <w:b w:val="false"/>
          <w:b w:val="false"/>
          <w:bCs w:val="false"/>
        </w:rPr>
      </w:pPr>
      <w:r>
        <w:rPr>
          <w:b/>
          <w:bCs/>
        </w:rPr>
        <w:t xml:space="preserve">Figure </w:t>
      </w:r>
      <w:r>
        <w:rPr>
          <w:b/>
          <w:bCs/>
        </w:rPr>
        <w:t>17</w:t>
      </w:r>
      <w:r>
        <w:rPr>
          <w:b/>
          <w:bCs/>
        </w:rPr>
        <w:t>.</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39</w:t>
    </w:r>
    <w:r>
      <w:rPr/>
      <w:fldChar w:fldCharType="end"/>
    </w:r>
    <w:r>
      <w:rPr/>
      <w:t>/</w:t>
    </w:r>
    <w:r>
      <w:rPr/>
      <w:fldChar w:fldCharType="begin"/>
    </w:r>
    <w:r>
      <w:rPr/>
      <w:instrText xml:space="preserve"> NUMPAGES </w:instrText>
    </w:r>
    <w:r>
      <w:rPr/>
      <w:fldChar w:fldCharType="separate"/>
    </w:r>
    <w:r>
      <w:rPr/>
      <w:t>41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mallCap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31269</TotalTime>
  <Application>LibreOffice/7.4.2.3$MacOSX_X86_64 LibreOffice_project/382eef1f22670f7f4118c8c2dd222ec7ad009daf</Application>
  <AppVersion>15.0000</AppVersion>
  <Pages>41</Pages>
  <Words>20594</Words>
  <Characters>107182</Characters>
  <CharactersWithSpaces>127112</CharactersWithSpaces>
  <Paragraphs>525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2022-11-21T00:14:19Z</dcterms:modified>
  <cp:revision>979</cp:revision>
  <dc:subject/>
  <dc:title/>
</cp:coreProperties>
</file>

<file path=docProps/custom.xml><?xml version="1.0" encoding="utf-8"?>
<Properties xmlns="http://schemas.openxmlformats.org/officeDocument/2006/custom-properties" xmlns:vt="http://schemas.openxmlformats.org/officeDocument/2006/docPropsVTypes"/>
</file>