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be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w:t>
      </w:r>
      <w:r>
        <w:rPr/>
        <w:t>ía</w:t>
      </w:r>
      <w:r>
        <w:rPr/>
        <w:t xml:space="preserve">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w:t>
      </w:r>
      <w:r>
        <w:rPr/>
        <w:t>The cast was complete by</w:t>
      </w:r>
      <w:r>
        <w:rPr/>
        <w:t xml:space="preserve"> 28 November, </w:t>
      </w:r>
      <w:r>
        <w:rPr/>
        <w:t xml:space="preserve">and donated in absentia to </w:t>
      </w:r>
      <w:r>
        <w:rPr/>
        <w:t xml:space="preserve">the monarch </w:t>
      </w:r>
      <w:r>
        <w:rPr/>
        <w:t xml:space="preserve">who was nominally </w:t>
      </w:r>
      <w:r>
        <w:rPr/>
        <w:t xml:space="preserve">the cast’s recipient. </w:t>
      </w:r>
      <w:r>
        <w:rPr/>
        <w:t xml:space="preserve">On </w:t>
      </w:r>
      <w:r>
        <w:rPr/>
        <w:t xml:space="preserve">2 December </w:t>
      </w:r>
      <w:r>
        <w:rPr/>
        <w:t>2012</w:t>
      </w:r>
      <w:r>
        <w:rPr/>
        <w:t xml:space="preserve">, Queen María Cristina and her daughter, the </w:t>
      </w:r>
      <w:r>
        <w:rPr>
          <w:i/>
          <w:iCs/>
        </w:rPr>
        <w:t>infanta</w:t>
      </w:r>
      <w:r>
        <w:rPr/>
        <w:t xml:space="preserve"> Beatriz, opened the new museum hall containing the </w:t>
      </w:r>
      <w:r>
        <w:rPr>
          <w:i/>
          <w:iCs/>
        </w:rPr>
        <w:t>Diplodocus</w:t>
      </w:r>
      <w:r>
        <w:rPr/>
        <w:t xml:space="preserve">, which </w:t>
      </w:r>
      <w:r>
        <w:rPr/>
        <w:t xml:space="preserve">was perhaps the closest thing to </w:t>
      </w:r>
      <w:r>
        <w:rPr/>
        <w:t>an official unveiling ( Pérez Garc</w:t>
      </w:r>
      <w:r>
        <w:rPr/>
        <w:t>ía</w:t>
      </w:r>
      <w:r>
        <w:rPr/>
        <w:t xml:space="preserve"> and Sánchez Chillón 20</w:t>
      </w:r>
      <w:r>
        <w:rPr/>
        <w:t>09</w:t>
      </w:r>
      <w:r>
        <w:rPr/>
        <w:t xml:space="preserve">:140).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xml:space="preserve">. </w:t>
      </w:r>
      <w:r>
        <w:rPr/>
        <w:t>He was compelled to return home, frustrated, before the mount was completed (Rea 2001:209), and the task was finished by Louis Coggleshall, but there was no formal unveiling ceremony in Holland’s absence. A</w:t>
      </w:r>
      <w:r>
        <w:rPr/>
        <w:t xml:space="preserve"> year and a half later, </w:t>
      </w:r>
      <w:r>
        <w:rPr/>
        <w:t>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and Daniela Schwarz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b w:val="false"/>
          <w:b w:val="false"/>
          <w:bCs w:val="false"/>
          <w:highlight w:val="yellow"/>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Pérez Garc</w:t>
      </w:r>
      <w:r>
        <w:rPr>
          <w:rFonts w:cs="Alkes" w:ascii="Baskerville Old Face" w:hAnsi="Baskerville Old Face"/>
          <w:kern w:val="0"/>
          <w:lang w:bidi="ar-SA"/>
        </w:rPr>
        <w:t>ía</w:t>
      </w:r>
      <w:r>
        <w:rPr>
          <w:rFonts w:cs="Alkes" w:ascii="Baskerville Old Face" w:hAnsi="Baskerville Old Face"/>
          <w:kern w:val="0"/>
          <w:lang w:bidi="ar-SA"/>
        </w:rPr>
        <w:t xml:space="preserve">,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December </w:t>
            </w:r>
            <w:r>
              <w:rPr>
                <w:rFonts w:ascii="Liberation Serif" w:hAnsi="Liberation Serif"/>
                <w:b w:val="false"/>
                <w:bCs w:val="false"/>
                <w:i w:val="false"/>
                <w:iCs w:val="false"/>
                <w:strike w:val="false"/>
                <w:dstrike w:val="false"/>
                <w:outline w:val="false"/>
                <w:shadow w:val="false"/>
                <w:color w:val="000000"/>
                <w:sz w:val="24"/>
                <w:szCs w:val="24"/>
                <w:u w:val="none"/>
              </w:rPr>
              <w:t>1913</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The provenance of white elements is unknown.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Seated, facing right: possibly Albert “Bill” Thomson, though this seems unlikely as he was never part of the Carnegie crew</w:t>
      </w:r>
    </w:p>
    <w:p>
      <w:pPr>
        <w:pStyle w:val="FigureCaption"/>
        <w:numPr>
          <w:ilvl w:val="0"/>
          <w:numId w:val="8"/>
        </w:numPr>
        <w:rPr/>
      </w:pPr>
      <w:r>
        <w:rPr/>
        <w:t>Standing at back: chief preparator Arthur S. Coggeshall</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possibly preparator Louis Coggeshall, Arthur’s brother</w:t>
      </w:r>
    </w:p>
    <w:p>
      <w:pPr>
        <w:pStyle w:val="FigureCaption"/>
        <w:numPr>
          <w:ilvl w:val="0"/>
          <w:numId w:val="8"/>
        </w:numPr>
        <w:rPr/>
      </w:pPr>
      <w:r>
        <w:rPr/>
        <w:t>Sitting at far table, facing left: possibly lead sculptor Serafino Agostini.</w:t>
      </w:r>
    </w:p>
    <w:p>
      <w:pPr>
        <w:pStyle w:val="FigureCaption"/>
        <w:numPr>
          <w:ilvl w:val="0"/>
          <w:numId w:val="8"/>
        </w:numPr>
        <w:rPr/>
      </w:pPr>
      <w:r>
        <w:rPr/>
        <w:t>Seated: unknown</w:t>
      </w:r>
    </w:p>
    <w:p>
      <w:pPr>
        <w:pStyle w:val="FigureCaption"/>
        <w:numPr>
          <w:ilvl w:val="0"/>
          <w:numId w:val="8"/>
        </w:numP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i w:val="false"/>
      <w:iCs w:val="false"/>
    </w:rPr>
  </w:style>
  <w:style w:type="character" w:styleId="ListLabel275">
    <w:name w:val="ListLabel 275"/>
    <w:qFormat/>
    <w:rPr/>
  </w:style>
  <w:style w:type="character" w:styleId="ListLabel276">
    <w:name w:val="ListLabel 276"/>
    <w:qFormat/>
    <w:rPr/>
  </w:style>
  <w:style w:type="character" w:styleId="ListLabel277">
    <w:name w:val="ListLabel 277"/>
    <w:qFormat/>
    <w:rPr>
      <w:b w:val="false"/>
      <w:bCs w:val="false"/>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i w:val="false"/>
      <w:iCs w:val="false"/>
    </w:rPr>
  </w:style>
  <w:style w:type="character" w:styleId="ListLabel324">
    <w:name w:val="ListLabel 324"/>
    <w:qFormat/>
    <w:rPr/>
  </w:style>
  <w:style w:type="character" w:styleId="ListLabel325">
    <w:name w:val="ListLabel 325"/>
    <w:qFormat/>
    <w:rPr/>
  </w:style>
  <w:style w:type="character" w:styleId="ListLabel326">
    <w:name w:val="ListLabel 326"/>
    <w:qFormat/>
    <w:rPr>
      <w:b w:val="false"/>
      <w:bCs w:val="false"/>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style>
  <w:style w:type="character" w:styleId="ListLabel375">
    <w:name w:val="ListLabel 375"/>
    <w:qFormat/>
    <w:rPr>
      <w:b w:val="false"/>
      <w:bCs w:val="false"/>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i w:val="false"/>
      <w:iCs w:val="false"/>
    </w:rPr>
  </w:style>
  <w:style w:type="character" w:styleId="ListLabel422">
    <w:name w:val="ListLabel 422"/>
    <w:qFormat/>
    <w:rPr/>
  </w:style>
  <w:style w:type="character" w:styleId="ListLabel423">
    <w:name w:val="ListLabel 423"/>
    <w:qFormat/>
    <w:rPr/>
  </w:style>
  <w:style w:type="character" w:styleId="ListLabel424">
    <w:name w:val="ListLabel 424"/>
    <w:qFormat/>
    <w:rPr>
      <w:b w:val="false"/>
      <w:bCs w:val="false"/>
    </w:rPr>
  </w:style>
  <w:style w:type="character" w:styleId="ListLabel425">
    <w:name w:val="ListLabel 425"/>
    <w:qFormat/>
    <w:rPr>
      <w:rFonts w:cs="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i w:val="false"/>
      <w:iCs w:val="false"/>
    </w:rPr>
  </w:style>
  <w:style w:type="character" w:styleId="ListLabel471">
    <w:name w:val="ListLabel 471"/>
    <w:qFormat/>
    <w:rPr/>
  </w:style>
  <w:style w:type="character" w:styleId="ListLabel472">
    <w:name w:val="ListLabel 472"/>
    <w:qFormat/>
    <w:rPr/>
  </w:style>
  <w:style w:type="character" w:styleId="ListLabel473">
    <w:name w:val="ListLabel 473"/>
    <w:qFormat/>
    <w:rPr>
      <w:b w:val="false"/>
      <w:bCs w:val="false"/>
    </w:rPr>
  </w:style>
  <w:style w:type="character" w:styleId="ListLabel474">
    <w:name w:val="ListLabel 474"/>
    <w:qFormat/>
    <w:rPr>
      <w:rFonts w:cs="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i w:val="false"/>
      <w:iCs w:val="false"/>
    </w:rPr>
  </w:style>
  <w:style w:type="character" w:styleId="ListLabel520">
    <w:name w:val="ListLabel 520"/>
    <w:qFormat/>
    <w:rPr/>
  </w:style>
  <w:style w:type="character" w:styleId="ListLabel521">
    <w:name w:val="ListLabel 521"/>
    <w:qFormat/>
    <w:rPr/>
  </w:style>
  <w:style w:type="character" w:styleId="ListLabel522">
    <w:name w:val="ListLabel 522"/>
    <w:qFormat/>
    <w:rPr>
      <w:b w:val="false"/>
      <w:bCs w:val="false"/>
    </w:rPr>
  </w:style>
  <w:style w:type="character" w:styleId="ListLabel523">
    <w:name w:val="ListLabel 523"/>
    <w:qFormat/>
    <w:rPr>
      <w:rFonts w:cs="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i w:val="false"/>
      <w:iCs w:val="false"/>
    </w:rPr>
  </w:style>
  <w:style w:type="character" w:styleId="ListLabel569">
    <w:name w:val="ListLabel 569"/>
    <w:qFormat/>
    <w:rPr/>
  </w:style>
  <w:style w:type="character" w:styleId="ListLabel570">
    <w:name w:val="ListLabel 570"/>
    <w:qFormat/>
    <w:rPr/>
  </w:style>
  <w:style w:type="character" w:styleId="ListLabel571">
    <w:name w:val="ListLabel 571"/>
    <w:qFormat/>
    <w:rPr>
      <w:b w:val="false"/>
      <w:bCs w:val="false"/>
    </w:rPr>
  </w:style>
  <w:style w:type="character" w:styleId="ListLabel572">
    <w:name w:val="ListLabel 572"/>
    <w:qFormat/>
    <w:rPr>
      <w:rFonts w:cs="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i w:val="false"/>
      <w:iCs w:val="false"/>
    </w:rPr>
  </w:style>
  <w:style w:type="character" w:styleId="ListLabel618">
    <w:name w:val="ListLabel 618"/>
    <w:qFormat/>
    <w:rPr/>
  </w:style>
  <w:style w:type="character" w:styleId="ListLabel619">
    <w:name w:val="ListLabel 619"/>
    <w:qFormat/>
    <w:rPr/>
  </w:style>
  <w:style w:type="character" w:styleId="ListLabel620">
    <w:name w:val="ListLabel 620"/>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28665</TotalTime>
  <Application>LibreOffice/6.1.3.2$MacOSX_X86_64 LibreOffice_project/86daf60bf00efa86ad547e59e09d6bb77c699acb</Application>
  <Pages>31</Pages>
  <Words>15387</Words>
  <Characters>80838</Characters>
  <CharactersWithSpaces>95729</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2022-09-23T21:01:53Z</dcterms:modified>
  <cp:revision>739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