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466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2466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to make sure this is consistently the case.</w:t>
      </w:r>
    </w:p>
    <w:p>
      <w:pPr>
        <w:pStyle w:val="TextBody"/>
        <w:rPr/>
      </w:pPr>
      <w:bookmarkStart w:id="3" w:name="__DdeLink__23596_802501007"/>
      <w:r>
        <w:rPr/>
        <w:t xml:space="preserve">The diplodocine specimen initially designated CM 662 was moved to the Cleveland Museum of Natural History in </w:t>
      </w:r>
      <w:r>
        <w:rPr/>
        <w:t xml:space="preserve">November </w:t>
      </w:r>
      <w:r>
        <w:rPr/>
        <w:t xml:space="preserve">1956, museum director Graham Netting having told head of vertebrate paleontology J. LeRoy Kay to trade large dinosaur specimens due to lack of storage space. It was there given the specimen number CMNH 10670. </w:t>
      </w:r>
      <w:r>
        <w:rPr/>
        <w:t>In 1963, however</w:t>
      </w:r>
      <w:r>
        <w:rPr/>
        <w:t xml:space="preserve">, the specimen was sold for $15,000 to the Houston Museum of Natural History, where it was catalogued as HMNS 175 and mounted in 1975, </w:t>
      </w:r>
      <w:r>
        <w:rPr/>
        <w:t>then</w:t>
      </w:r>
      <w:r>
        <w:rPr/>
        <w:t xml:space="preserve"> restored and remounted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MB.R.xxxx.</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7" w:name="__RefHeading___Toc3742_2834848739"/>
      <w:bookmarkEnd w:id="17"/>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8" w:name="__RefHeading___Toc3744_2834848739"/>
      <w:bookmarkEnd w:id="18"/>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19" w:name="__RefHeading___Toc3746_2834848739"/>
      <w:bookmarkEnd w:id="19"/>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0" w:name="__DdeLink__1281_802501007"/>
      <w:r>
        <w:rPr/>
        <w:t>CM 3378</w:t>
      </w:r>
      <w:bookmarkEnd w:id="20"/>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Amy Henrici’s note for Tschopp et al. 2019 says “One caudal added from CM 94. Caudals 37-73 were casts in original mount and replaced with caudals from Cm 307”. This contradicts McIntosh (1981:20) and Curtice’s dissertation. Matt,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1" w:name="__RefHeading___Toc3282_55120580"/>
      <w:bookmarkEnd w:id="21"/>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22" w:name="__RefHeading___Toc3401_68767826"/>
      <w:bookmarkEnd w:id="22"/>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3" w:name="__RefHeading___Toc1833_55120580"/>
      <w:bookmarkEnd w:id="23"/>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4" w:name="__RefHeading___Toc3405_68767826"/>
      <w:bookmarkEnd w:id="24"/>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5" w:name="__DdeLink__2481_14216418"/>
      <w:r>
        <w:rPr/>
        <w:t>Anonymous</w:t>
      </w:r>
      <w:bookmarkEnd w:id="25"/>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6" w:name="__DdeLink__5014_2834848739"/>
      <w:r>
        <w:rPr/>
        <w:t xml:space="preserve">Carnegie Institute. 1934. </w:t>
      </w:r>
      <w:r>
        <w:rPr>
          <w:i/>
          <w:iCs/>
        </w:rPr>
        <w:t>Thirty-seventh annual report of the Carnegie Museum, Carnegie Institute, Pittsburgh</w:t>
      </w:r>
      <w:r>
        <w:rPr/>
        <w:t>.</w:t>
      </w:r>
      <w:bookmarkEnd w:id="26"/>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8" w:name="__RefHeading___Toc5233_14216418"/>
      <w:bookmarkEnd w:id="28"/>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Layout w:type="fixed"/>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9"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29"/>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0" w:name="__RefHeading___Toc3407_68767826"/>
      <w:bookmarkEnd w:id="30"/>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27063</TotalTime>
  <Application>LibreOffice/7.3.3.2$Linux_X86_64 LibreOffice_project/30$Build-2</Application>
  <AppVersion>15.0000</AppVersion>
  <Pages>24</Pages>
  <Words>11630</Words>
  <Characters>60856</Characters>
  <CharactersWithSpaces>72067</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2022-05-31T17:34:07Z</dcterms:modified>
  <cp:revision>618</cp:revision>
  <dc:subject/>
  <dc:title/>
</cp:coreProperties>
</file>

<file path=docProps/custom.xml><?xml version="1.0" encoding="utf-8"?>
<Properties xmlns="http://schemas.openxmlformats.org/officeDocument/2006/custom-properties" xmlns:vt="http://schemas.openxmlformats.org/officeDocument/2006/docPropsVTypes"/>
</file>