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9" w:name="__DdeLink__25488_802501007"/>
      <w:r>
        <w:rPr>
          <w:b w:val="false"/>
          <w:bCs w:val="false"/>
        </w:rPr>
        <w:t>Untermann</w:t>
      </w:r>
      <w:bookmarkEnd w:id="9"/>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0" w:name="__RefHeading___Toc1836_55120580"/>
      <w:bookmarkEnd w:id="10"/>
      <w:r>
        <w:rPr/>
        <w:t>Material in the mounted skeleton</w:t>
      </w:r>
    </w:p>
    <w:p>
      <w:pPr>
        <w:pStyle w:val="Heading2"/>
        <w:rPr/>
      </w:pPr>
      <w:bookmarkStart w:id="11" w:name="__RefHeading___Toc1838_55120580"/>
      <w:bookmarkEnd w:id="11"/>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2" w:name="__RefHeading___Toc3280_55120580"/>
      <w:bookmarkEnd w:id="12"/>
      <w:r>
        <w:rPr/>
        <w:t>Changes made to the mount at the Carnegie Museum</w:t>
      </w:r>
    </w:p>
    <w:p>
      <w:pPr>
        <w:pStyle w:val="Heading3"/>
        <w:rPr/>
      </w:pPr>
      <w:bookmarkStart w:id="13" w:name="__RefHeading___Toc3738_2834848739"/>
      <w:bookmarkEnd w:id="13"/>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4" w:name="__RefHeading___Toc16707_802501007"/>
      <w:bookmarkEnd w:id="14"/>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5" w:name="__RefHeading___Toc3740_2834848739"/>
      <w:bookmarkEnd w:id="15"/>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6" w:name="__RefHeading___Toc6555_802501007"/>
      <w:bookmarkEnd w:id="16"/>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7" w:name="__RefHeading___Toc3742_2834848739"/>
      <w:bookmarkEnd w:id="17"/>
      <w:r>
        <w:rPr/>
        <w:t xml:space="preserve">Forefeet </w:t>
      </w:r>
      <w:bookmarkStart w:id="18" w:name="__DdeLink__2734_4144573659"/>
      <w:r>
        <w:rPr/>
        <w:t>WDC-FS001A</w:t>
      </w:r>
      <w:bookmarkEnd w:id="18"/>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19" w:name="__RefHeading___Toc3744_2834848739"/>
      <w:bookmarkEnd w:id="19"/>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0" w:name="__RefHeading___Toc3746_2834848739"/>
      <w:bookmarkEnd w:id="20"/>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1" w:name="__DdeLink__1281_802501007"/>
      <w:r>
        <w:rPr/>
        <w:t>CM 3378</w:t>
      </w:r>
      <w:bookmarkEnd w:id="21"/>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2" w:name="__RefHeading___Toc3282_55120580"/>
      <w:bookmarkEnd w:id="22"/>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p>
    <w:p>
      <w:pPr>
        <w:pStyle w:val="TextBody"/>
        <w:numPr>
          <w:ilvl w:val="0"/>
          <w:numId w:val="7"/>
        </w:numPr>
        <w:rPr/>
      </w:pPr>
      <w:r>
        <w:rPr/>
        <w:t xml:space="preserve">The </w:t>
      </w:r>
      <w:r>
        <w:rPr/>
        <w:t xml:space="preserve">Berlin </w:t>
      </w:r>
      <w:r>
        <w:rPr/>
        <w:t xml:space="preserve">cast was </w:t>
      </w:r>
      <w:r>
        <w:rPr/>
        <w:t>complete</w:t>
      </w:r>
      <w:r>
        <w:rPr/>
        <w:t xml:space="preserve">ly </w:t>
      </w:r>
      <w:r>
        <w:rPr/>
        <w:t>remount</w:t>
      </w:r>
      <w:r>
        <w:rPr/>
        <w:t xml:space="preserve">ed in </w:t>
      </w:r>
      <w:r>
        <w:rPr/>
        <w:t xml:space="preserve">2006 </w:t>
      </w:r>
      <w:r>
        <w:rPr/>
        <w:t xml:space="preserve">by Research Casting International, under the supervision of a team led by Kristian Remes, as part of a renovation of the Museum für Naturkunde’s central hall. </w:t>
      </w:r>
      <w:r>
        <w:rPr>
          <w:highlight w:val="yellow"/>
        </w:rPr>
        <w:t>XXX information from Daniela.</w:t>
      </w:r>
    </w:p>
    <w:p>
      <w:pPr>
        <w:pStyle w:val="TextBody"/>
        <w:numPr>
          <w:ilvl w:val="0"/>
          <w:numId w:val="7"/>
        </w:numPr>
        <w:rPr/>
      </w:pPr>
      <w:r>
        <w:rPr/>
        <w:t>The</w:t>
      </w:r>
      <w:r>
        <w:rPr/>
        <w:t xml:space="preserve"> Paris </w:t>
      </w:r>
      <w:r>
        <w:rPr/>
        <w:t>mount remains in its original locations, and is e</w:t>
      </w:r>
      <w:r>
        <w:rPr/>
        <w:t xml:space="preserve">ntirely </w:t>
      </w:r>
      <w:r>
        <w:rPr/>
        <w:t xml:space="preserve">unchanged since its creation in </w:t>
      </w:r>
      <w:r>
        <w:rPr/>
        <w:t xml:space="preserve">1908, </w:t>
      </w:r>
      <w:r>
        <w:rPr/>
        <w:t xml:space="preserve">with the exception that </w:t>
      </w:r>
      <w:r>
        <w:rPr/>
        <w:t xml:space="preserve">possibly a few tail vertebrae </w:t>
      </w:r>
      <w:r>
        <w:rPr/>
        <w:t xml:space="preserve">had to be </w:t>
      </w:r>
      <w:r>
        <w:rPr/>
        <w:t xml:space="preserve">replaced in the mid 20th </w:t>
      </w:r>
      <w:r>
        <w:rPr/>
        <w:t>C</w:t>
      </w:r>
      <w:r>
        <w:rPr/>
        <w:t xml:space="preserve">entury after a mishap. </w:t>
      </w:r>
      <w:r>
        <w:rPr/>
        <w:t>This makes the Paris mount an important and perhaps unique historical artifact in its own right, and it is to be hoped that the MNHN resists the temptation to modernize it.</w:t>
      </w:r>
    </w:p>
    <w:p>
      <w:pPr>
        <w:pStyle w:val="TextBody"/>
        <w:numPr>
          <w:ilvl w:val="0"/>
          <w:numId w:val="7"/>
        </w:numPr>
        <w:rPr/>
      </w:pPr>
      <w:r>
        <w:rPr/>
        <w:t xml:space="preserve">The </w:t>
      </w:r>
      <w:r>
        <w:rPr/>
        <w:t xml:space="preserve">Vienna </w:t>
      </w:r>
      <w:r>
        <w:rPr/>
        <w:t>mount has been</w:t>
      </w:r>
      <w:r>
        <w:rPr/>
        <w:t xml:space="preserve"> </w:t>
      </w:r>
      <w:r>
        <w:rPr/>
        <w:t>m</w:t>
      </w:r>
      <w:r>
        <w:rPr/>
        <w:t xml:space="preserve">oved twice </w:t>
      </w:r>
      <w:r>
        <w:rPr/>
        <w:t>and undergone a</w:t>
      </w:r>
      <w:r>
        <w:rPr/>
        <w:t xml:space="preserve"> partial remount (</w:t>
      </w:r>
      <w:r>
        <w:rPr/>
        <w:t xml:space="preserve">with changes to the </w:t>
      </w:r>
      <w:r>
        <w:rPr/>
        <w:t xml:space="preserve">tail and slight changes to the neck), probably before 1998 judging by photos in Riedl-Dorn </w:t>
      </w:r>
      <w:r>
        <w:rPr/>
        <w:t>(1998)</w:t>
      </w:r>
    </w:p>
    <w:p>
      <w:pPr>
        <w:pStyle w:val="TextBody"/>
        <w:numPr>
          <w:ilvl w:val="0"/>
          <w:numId w:val="7"/>
        </w:numPr>
        <w:rPr/>
      </w:pPr>
      <w:r>
        <w:rPr/>
        <w:t xml:space="preserve">The </w:t>
      </w:r>
      <w:r>
        <w:rPr/>
        <w:t xml:space="preserve">Bologna </w:t>
      </w:r>
      <w:r>
        <w:rPr/>
        <w:t>mount is i</w:t>
      </w:r>
      <w:r>
        <w:rPr/>
        <w:t xml:space="preserve">n original location (although </w:t>
      </w:r>
      <w:r>
        <w:rPr/>
        <w:t xml:space="preserve">it eas </w:t>
      </w:r>
      <w:r>
        <w:rPr/>
        <w:t xml:space="preserve">possibly relocated to another hall in the museum and then moved back at some point). </w:t>
      </w:r>
      <w:r>
        <w:rPr/>
        <w:t>S</w:t>
      </w:r>
      <w:r>
        <w:rPr/>
        <w:t xml:space="preserve">ome changes </w:t>
      </w:r>
      <w:r>
        <w:rPr/>
        <w:t xml:space="preserve">have been made to the pose, </w:t>
      </w:r>
      <w:r>
        <w:rPr/>
        <w:t>with the neck and tail placed in a leftward curve, probably to offer visitors a better view.</w:t>
      </w:r>
    </w:p>
    <w:p>
      <w:pPr>
        <w:pStyle w:val="TextBody"/>
        <w:numPr>
          <w:ilvl w:val="0"/>
          <w:numId w:val="7"/>
        </w:numPr>
        <w:rPr>
          <w:highlight w:val="yellow"/>
        </w:rPr>
      </w:pPr>
      <w:r>
        <w:rPr>
          <w:highlight w:val="yellow"/>
        </w:rPr>
        <w:t>XXX finish this section</w:t>
      </w:r>
    </w:p>
    <w:p>
      <w:pPr>
        <w:pStyle w:val="TextBody"/>
        <w:numPr>
          <w:ilvl w:val="0"/>
          <w:numId w:val="7"/>
        </w:numPr>
        <w:rPr>
          <w:highlight w:val="yellow"/>
        </w:rPr>
      </w:pPr>
      <w:r>
        <w:rPr>
          <w:highlight w:val="yellow"/>
        </w:rPr>
        <w:t>- St. Petersburg: moved to Moscow around 1934, and remounted 1937 in an Abel-esque fashion with widely spread front limbs, in storage 1941-1944, and again 1954-1990, remounted 1989-1990 for the present exhibit in the Orlov Museum.</w:t>
      </w:r>
    </w:p>
    <w:p>
      <w:pPr>
        <w:pStyle w:val="TextBody"/>
        <w:numPr>
          <w:ilvl w:val="0"/>
          <w:numId w:val="7"/>
        </w:numPr>
        <w:rPr>
          <w:highlight w:val="yellow"/>
        </w:rPr>
      </w:pPr>
      <w:r>
        <w:rPr>
          <w:highlight w:val="yellow"/>
        </w:rPr>
        <w:t>- La Plata: Moved within the museum, changes in neck and (lifted) tail similar to Vienna.</w:t>
      </w:r>
    </w:p>
    <w:p>
      <w:pPr>
        <w:pStyle w:val="TextBody"/>
        <w:numPr>
          <w:ilvl w:val="0"/>
          <w:numId w:val="7"/>
        </w:numPr>
        <w:rPr>
          <w:highlight w:val="yellow"/>
        </w:rPr>
      </w:pPr>
      <w:r>
        <w:rPr>
          <w:highlight w:val="yellow"/>
        </w:rPr>
        <w:t>- Madrid: Moved within the museum, original mount (as far as I could see).</w:t>
      </w:r>
    </w:p>
    <w:p>
      <w:pPr>
        <w:pStyle w:val="TextBody"/>
        <w:rPr/>
      </w:pPr>
      <w:r>
        <w:rPr/>
      </w:r>
    </w:p>
    <w:p>
      <w:pPr>
        <w:pStyle w:val="TextBody"/>
        <w:rPr/>
      </w:pPr>
      <w:r>
        <w:rPr/>
        <w:t xml:space="preserve">for example, the skull of the Madrid cast was replaced by “a new Carnegie replica” when the exhibit was moved to a new hall in 1935 (Nieuwland 2019:247) and the posture of the La Plata cast was updated when it was moved from Hall V to Hall II in 2012 (Nieuwland 2019:247). </w:t>
      </w:r>
      <w:r>
        <w:rPr>
          <w:highlight w:val="yellow"/>
        </w:rPr>
        <w:t>XXX Ilja, do we know of other changes?</w:t>
      </w:r>
    </w:p>
    <w:p>
      <w:pPr>
        <w:pStyle w:val="Heading1"/>
        <w:numPr>
          <w:ilvl w:val="0"/>
          <w:numId w:val="3"/>
        </w:numPr>
        <w:ind w:left="0" w:right="0" w:hanging="0"/>
        <w:rPr/>
      </w:pPr>
      <w:bookmarkStart w:id="23" w:name="__RefHeading___Toc3401_68767826"/>
      <w:bookmarkEnd w:id="23"/>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4" w:name="__RefHeading___Toc1833_55120580"/>
      <w:bookmarkEnd w:id="24"/>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5" w:name="__RefHeading___Toc3405_68767826"/>
      <w:bookmarkEnd w:id="25"/>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6" w:name="__DdeLink__2481_14216418"/>
      <w:r>
        <w:rPr/>
        <w:t>Anonymous</w:t>
      </w:r>
      <w:bookmarkEnd w:id="26"/>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w:t>
      </w:r>
      <w:r>
        <w:rPr/>
        <w:t>M.</w:t>
      </w:r>
      <w:r>
        <w:rPr/>
        <w:t xml:space="preserve">, Polly Parry </w:t>
      </w:r>
      <w:r>
        <w:rPr/>
        <w:t>and</w:t>
      </w:r>
      <w:r>
        <w:rPr/>
        <w:t xml:space="preserve"> Sandra </w:t>
      </w:r>
      <w:r>
        <w:rPr/>
        <w:t xml:space="preserve">D. </w:t>
      </w:r>
      <w:r>
        <w:rPr/>
        <w:t xml:space="preserve">Chapman. </w:t>
      </w:r>
      <w:r>
        <w:rPr/>
        <w:t xml:space="preserve">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7" w:name="__DdeLink__5014_2834848739"/>
      <w:r>
        <w:rPr/>
        <w:t xml:space="preserve">Carnegie Institute. 1934. </w:t>
      </w:r>
      <w:r>
        <w:rPr>
          <w:i/>
          <w:iCs/>
        </w:rPr>
        <w:t>Thirty-seventh annual report of the Carnegie Museum, Carnegie Institute, Pittsburgh</w:t>
      </w:r>
      <w:r>
        <w:rPr/>
        <w:t>.</w:t>
      </w:r>
      <w:bookmarkEnd w:id="27"/>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w:t>
        </w:r>
        <w:r>
          <w:rPr>
            <w:rStyle w:val="InternetLink"/>
          </w:rPr>
          <w:t>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29" w:name="__DdeLink__2717_3412805200"/>
      <w:r>
        <w:rPr>
          <w:rFonts w:ascii="Baskerville Old Face" w:hAnsi="Baskerville Old Face"/>
        </w:rPr>
        <w:t>Riedl-Dorn</w:t>
      </w:r>
      <w:bookmarkEnd w:id="29"/>
      <w:r>
        <w:rPr>
          <w:rFonts w:ascii="Baskerville Old Face" w:hAnsi="Baskerville Old Face"/>
        </w:rPr>
        <w:t xml:space="preserve">, Christa. 1998. Das Haus der Wunder: Zur Geschichte des Naturhistorischen Museums in Wien. Verlag Holzhausen, Vienna. </w:t>
      </w:r>
      <w:r>
        <w:rPr>
          <w:rFonts w:ascii="Baskerville Old Face" w:hAnsi="Baskerville Old Face"/>
        </w:rPr>
        <w:t>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w:t>
      </w:r>
      <w:r>
        <w:rPr>
          <w:i/>
          <w:iCs/>
        </w:rPr>
        <w:t>iplodocus</w:t>
      </w:r>
      <w:r>
        <w:rPr/>
        <w:t xml:space="preserve"> sacrificed on the commercial altar. </w:t>
      </w:r>
      <w:r>
        <w:rPr>
          <w:i/>
          <w:iCs/>
        </w:rPr>
        <w:t>Spectator</w:t>
      </w:r>
      <w:r>
        <w:rPr/>
        <w:t xml:space="preserve">, </w:t>
      </w:r>
      <w:r>
        <w:rPr>
          <w:b w:val="false"/>
          <w:bCs w:val="false"/>
        </w:rPr>
        <w:t xml:space="preserve">18 February 2015. </w:t>
      </w:r>
      <w:hyperlink r:id="rId9">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0" w:name="__RefHeading___Toc5233_14216418"/>
      <w:bookmarkEnd w:id="30"/>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1"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1"/>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2" w:name="__RefHeading___Toc3407_68767826"/>
      <w:bookmarkEnd w:id="32"/>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hyperlink" Target="https://www.spectator.co.uk/article/dippygate-natural-history-museum-s-diplodocus-sacrificed-on-the-commercial-alt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27165</TotalTime>
  <Application>LibreOffice/6.1.3.2$MacOSX_X86_64 LibreOffice_project/86daf60bf00efa86ad547e59e09d6bb77c699acb</Application>
  <Pages>25</Pages>
  <Words>12292</Words>
  <Characters>64423</Characters>
  <CharactersWithSpaces>76267</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2022-08-29T23:38:48Z</dcterms:modified>
  <cp:revision>635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