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spacing w:lineRule="auto" w:line="276" w:before="0" w:after="140"/>
        <w:rPr/>
      </w:pPr>
      <w:r>
        <w:rPr/>
      </w:r>
      <w:r>
        <w:rPr/>
        <w:fldChar w:fldCharType="end"/>
      </w:r>
    </w:p>
    <w:p>
      <w:pPr>
        <w:pStyle w:val="Heading1"/>
        <w:rPr/>
      </w:pPr>
      <w:r>
        <w:rPr/>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w:t>
      </w:r>
      <w:r>
        <w:rPr/>
        <w:t>sculpted</w:t>
      </w:r>
      <w:r>
        <w:rPr/>
        <w:t xml:space="preserve">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Ilja,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w:t>
      </w:r>
      <w:r>
        <w:rPr/>
        <w:t>sculpted based</w:t>
      </w:r>
      <w:r>
        <w:rPr/>
        <w:t xml:space="preserve"> on material from CM 662, </w:t>
      </w:r>
      <w:r>
        <w:rPr/>
        <w:t xml:space="preserve">which was </w:t>
      </w:r>
      <w:r>
        <w:rPr/>
        <w:t xml:space="preserve">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w:t>
      </w:r>
      <w:r>
        <w:rPr/>
        <w:t>399</w:t>
      </w:r>
      <w:r>
        <w:rPr/>
        <w:t xml:space="preserve">).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w:t>
      </w:r>
      <w:r>
        <w:rPr/>
        <w:t>sculpture</w:t>
      </w:r>
      <w:r>
        <w:rPr/>
        <w:t xml:space="preserv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t>XXX can we know more about the atlas in the mount?</w:t>
      </w:r>
    </w:p>
    <w:p>
      <w:pPr>
        <w:pStyle w:val="TextBody"/>
        <w:rPr/>
      </w:pPr>
      <w:r>
        <w:rPr/>
        <w:t xml:space="preserve">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w:t>
      </w:r>
      <w:r>
        <w:rPr/>
        <w:t>sculpted</w:t>
      </w:r>
      <w:r>
        <w:rPr/>
        <w:t xml:space="preserve">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w:t>
      </w:r>
      <w:r>
        <w:rPr/>
        <w:t>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 xml:space="preserve">The first known change made to the Carnegie mount was replacement of the original skull sculpture based on CM 662 and USNM 2673. </w:t>
      </w:r>
      <w:r>
        <w:rPr/>
        <w:t>We have ben unable to locate record stating which skull was used in the replacement</w:t>
      </w:r>
      <w:r>
        <w:rPr/>
        <w:t xml:space="preserve">, </w:t>
      </w:r>
      <w:r>
        <w:rPr/>
        <w:t xml:space="preserve">which is still in place today, but by inspection it is evidently </w:t>
      </w:r>
      <w:r>
        <w:rPr/>
        <w:t>based on CM 11161. This specimen is a complete and superbly preserved cranium and mandible, described and illustrated in detail by Holland (1924). It was discovered on Thanksgiving Day of 1912 (McIntosh 1980:17).</w:t>
      </w:r>
    </w:p>
    <w:p>
      <w:pPr>
        <w:pStyle w:val="TextBody"/>
        <w:rPr/>
      </w:pPr>
      <w:r>
        <w:rPr/>
        <w:t>In the absence of</w:t>
      </w:r>
      <w:r>
        <w:rPr/>
        <w:t xml:space="preserve"> extant records, </w:t>
      </w:r>
      <w:r>
        <w:rPr/>
        <w:t xml:space="preserve">it cannot be stated when precisely </w:t>
      </w:r>
      <w:r>
        <w:rPr/>
        <w:t xml:space="preserve">this switch was made, or </w:t>
      </w:r>
      <w:r>
        <w:rPr/>
        <w:t>even</w:t>
      </w:r>
      <w:r>
        <w:rPr/>
        <w:t xml:space="preserve"> whether the new skull is a cast or a </w:t>
      </w:r>
      <w:r>
        <w:rPr/>
        <w:t>sculpture</w:t>
      </w:r>
      <w:r>
        <w:rPr/>
        <w:t xml:space="preserve">. Carnegie Museum annual reports from 1912 </w:t>
      </w:r>
      <w:r>
        <w:rPr/>
        <w:t xml:space="preserve">(when CM 11161 was discovered) </w:t>
      </w:r>
      <w:r>
        <w:rPr/>
        <w:t xml:space="preserve">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w:t>
      </w:r>
      <w:r>
        <w:rPr/>
        <w:t>scupture</w:t>
      </w:r>
      <w:r>
        <w:rPr/>
        <w:t>: it preserves bone texture, including damage, very accurately (Figure F). Th</w:t>
      </w:r>
      <w:r>
        <w:rPr/>
        <w:t>e mounted</w:t>
      </w:r>
      <w:r>
        <w:rPr/>
        <w:t xml:space="preserve"> skull includes the sclerotic ring in the left orbit </w:t>
      </w:r>
      <w:r>
        <w:rPr/>
        <w:t>but omits it from the right orbit.</w:t>
      </w:r>
      <w:r>
        <w:rPr/>
        <w:t xml:space="preserve"> This is the condition in the original CM 11161 fossil </w:t>
      </w:r>
      <w:r>
        <w:rPr/>
        <w:t>(compare Tschopp et al. 2015:figure 1D with figure 3E)</w:t>
      </w:r>
      <w:r>
        <w:rPr/>
        <w:t xml:space="preserv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Manus CM 662</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Only nearly a century later, in </w:t>
      </w:r>
      <w:r>
        <w:rPr/>
        <w:t xml:space="preserve">the second quarter of 1999, </w:t>
      </w:r>
      <w:r>
        <w:rPr/>
        <w:t xml:space="preserve">was this error remedied, when they </w:t>
      </w:r>
      <w:r>
        <w:rPr/>
        <w:t xml:space="preserve">were replaced with casts of </w:t>
      </w:r>
      <w:r>
        <w:rPr/>
        <w:t xml:space="preserve">the forefeet </w:t>
      </w:r>
      <w:r>
        <w:rPr/>
        <w:t xml:space="preserve">of CM 662 </w:t>
      </w:r>
      <w:r>
        <w:rPr/>
        <w:t>(XXX reference quarterly report from Amy)</w:t>
      </w:r>
      <w:r>
        <w:rPr/>
        <w:t xml:space="preserve">. </w:t>
      </w:r>
      <w:r>
        <w:rPr/>
        <w:t>Although this individual was originally a Carnegie Museum specimen</w:t>
      </w:r>
      <w:r>
        <w:rPr/>
        <w:t>, by th</w:t>
      </w:r>
      <w:r>
        <w:rPr/>
        <w:t>is</w:t>
      </w:r>
      <w:r>
        <w:rPr/>
        <w:t xml:space="preserve"> point </w:t>
      </w:r>
      <w:r>
        <w:rPr/>
        <w:t xml:space="preserve">it </w:t>
      </w:r>
      <w:r>
        <w:rPr/>
        <w:t xml:space="preserve">was at the Houston Museum of Natural Science. </w:t>
      </w:r>
      <w:r>
        <w:rPr/>
        <w:t>XXX more details from the report: who made the models, how they were scaled, etc.</w:t>
      </w:r>
    </w:p>
    <w:p>
      <w:pPr>
        <w:pStyle w:val="Heading3"/>
        <w:rPr/>
      </w:pPr>
      <w:bookmarkStart w:id="12" w:name="__RefHeading___Toc3742_2834848739"/>
      <w:bookmarkEnd w:id="12"/>
      <w:r>
        <w:rPr/>
        <w:t>Manus WDC-FS001A</w:t>
      </w:r>
    </w:p>
    <w:p>
      <w:pPr>
        <w:pStyle w:val="TextBody"/>
        <w:rPr/>
      </w:pPr>
      <w:r>
        <w:rPr/>
        <w:t xml:space="preserve">As noted above, CM 662 has been recognised since 1924 as representing a different species from CM 82, </w:t>
      </w:r>
      <w:r>
        <w:rPr/>
        <w:t>“</w:t>
      </w:r>
      <w:r>
        <w:rPr>
          <w:i/>
          <w:iCs/>
        </w:rPr>
        <w:t>Diplodocus</w:t>
      </w:r>
      <w:r>
        <w:rPr/>
        <w:t xml:space="preserve">” </w:t>
      </w:r>
      <w:r>
        <w:rPr>
          <w:i/>
          <w:iCs/>
        </w:rPr>
        <w:t>hayi</w:t>
      </w:r>
      <w:r>
        <w:rPr/>
        <w:t xml:space="preserve"> (Holland 1924:399). </w:t>
      </w:r>
      <w:r>
        <w:rPr/>
        <w:t xml:space="preserve">It was perhaps for this reason (XXX Matt, was it?) that, unlike their predecessors, the sculptures based on these forefeet remained in the Carnegie mount for less than a decade. During the remount of late 2007, carried out primarily to update the posture of the skeleton (XXX is this right? Is there a published account of the remounting?), the forefeet were replaced once more, this time with </w:t>
      </w:r>
      <w:r>
        <w:rPr/>
        <w:t xml:space="preserve">scaled-up </w:t>
      </w:r>
      <w:r>
        <w:rPr/>
        <w:t>sculptures based on c</w:t>
      </w:r>
      <w:r>
        <w:rPr/>
        <w:t>ast</w:t>
      </w:r>
      <w:r>
        <w:rPr/>
        <w:t xml:space="preserve">s </w:t>
      </w:r>
      <w:r>
        <w:rPr/>
        <w:t xml:space="preserve">of the putative </w:t>
      </w:r>
      <w:r>
        <w:rPr>
          <w:i/>
          <w:iCs/>
        </w:rPr>
        <w:t>Diplodocus carnegii</w:t>
      </w:r>
      <w:r>
        <w:rPr/>
        <w:t xml:space="preserve"> manus WDC-FS001A described by Bedell and Trexler (2005).</w:t>
      </w:r>
    </w:p>
    <w:p>
      <w:pPr>
        <w:pStyle w:val="TextBody"/>
        <w:rPr/>
      </w:pPr>
      <w:r>
        <w:rPr/>
        <w:t>Since the remove, t</w:t>
      </w:r>
      <w:r>
        <w:rPr/>
        <w:t xml:space="preserve">he species </w:t>
      </w:r>
      <w:r>
        <w:rPr>
          <w:i/>
          <w:iCs/>
        </w:rPr>
        <w:t>hayi</w:t>
      </w:r>
      <w:r>
        <w:rPr/>
        <w:t xml:space="preserve"> </w:t>
      </w:r>
      <w:r>
        <w:rPr/>
        <w:t xml:space="preserve">been moved to its own genus </w:t>
      </w:r>
      <w:r>
        <w:rPr>
          <w:i/>
          <w:iCs/>
        </w:rPr>
        <w:t>Galeamopus</w:t>
      </w:r>
      <w:r>
        <w:rPr/>
        <w:t xml:space="preserve"> </w:t>
      </w:r>
      <w:r>
        <w:rPr/>
        <w:t>(</w:t>
      </w:r>
      <w:r>
        <w:rPr/>
        <w:t xml:space="preserve">Tschopp et al. 2015:267), </w:t>
      </w:r>
      <w:r>
        <w:rPr/>
        <w:t xml:space="preserve">further justifying the decision to replace the CM 662 forefeet with those of </w:t>
      </w:r>
      <w:r>
        <w:rPr>
          <w:i/>
          <w:iCs/>
        </w:rPr>
        <w:t>Diplodocus</w:t>
      </w:r>
      <w:r>
        <w:rPr/>
        <w:t xml:space="preserve"> proper.</w:t>
      </w:r>
    </w:p>
    <w:p>
      <w:pPr>
        <w:pStyle w:val="Heading3"/>
        <w:rPr/>
      </w:pPr>
      <w:bookmarkStart w:id="13" w:name="__RefHeading___Toc3744_2834848739"/>
      <w:bookmarkEnd w:id="13"/>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w:t>
      </w:r>
      <w:r>
        <w:rPr/>
        <w:t xml:space="preserve">specimen CM 21775 (Figure E). </w:t>
      </w:r>
      <w:r>
        <w:rPr/>
        <w:t xml:space="preserve">(This specimen is described and illustrated by Tschopp et al. 2019:33–37). The right forelimb, having been based on the diplodocine CM 622, was a better match for CM 82, but not perfect as discussed above. For this reason, both forelimbs were replaced in the remount by </w:t>
      </w:r>
      <w:r>
        <w:rPr/>
        <w:t xml:space="preserve">scaled-up sculptures based on the forelimb bones </w:t>
      </w:r>
      <w:r>
        <w:rPr/>
        <w:t xml:space="preserve">of a well preserved but smaller specimen of </w:t>
      </w:r>
      <w:r>
        <w:rPr>
          <w:i/>
          <w:iCs/>
        </w:rPr>
        <w:t>Diplodocus</w:t>
      </w:r>
      <w:r>
        <w:rPr/>
        <w:t xml:space="preserve">,  BYU 681: specifically, the humerus </w:t>
      </w:r>
      <w:r>
        <w:rPr/>
        <w:t xml:space="preserve">BYU 681/4742, </w:t>
      </w:r>
      <w:r>
        <w:rPr/>
        <w:t>the radius</w:t>
      </w:r>
      <w:r>
        <w:rPr/>
        <w:t xml:space="preserve"> BYU 681/4726 </w:t>
      </w:r>
      <w:r>
        <w:rPr/>
        <w:t xml:space="preserve">and the ulna </w:t>
      </w:r>
      <w:r>
        <w:rPr/>
        <w:t>BYU 681/4708 (Tschopp et al. 2019:33).</w:t>
      </w:r>
    </w:p>
    <w:p>
      <w:pPr>
        <w:pStyle w:val="Heading3"/>
        <w:rPr/>
      </w:pPr>
      <w:bookmarkStart w:id="14" w:name="__RefHeading___Toc3746_2834848739"/>
      <w:bookmarkEnd w:id="14"/>
      <w:r>
        <w:rPr/>
        <w:t>Distal caudal vertebrae</w:t>
      </w:r>
    </w:p>
    <w:p>
      <w:pPr>
        <w:pStyle w:val="TextBody"/>
        <w:rPr/>
      </w:pPr>
      <w:r>
        <w:rPr/>
        <w:t xml:space="preserve">Also included in the 2007 remount were about ten additional distal “whiplash” caudals, </w:t>
      </w:r>
      <w:r>
        <w:rPr/>
        <w:t>bring</w:t>
      </w:r>
      <w:r>
        <w:rPr/>
        <w:t xml:space="preserve">ing the </w:t>
      </w:r>
      <w:r>
        <w:rPr/>
        <w:t xml:space="preserve">total number of caudal vertebrae to ~83. </w:t>
      </w:r>
      <w:r>
        <w:rPr/>
        <w:t xml:space="preserve">The </w:t>
      </w:r>
      <w:r>
        <w:rPr/>
        <w:t xml:space="preserve">rationale was that the complete tail of the </w:t>
      </w:r>
      <w:r>
        <w:rPr/>
        <w:t xml:space="preserve">small </w:t>
      </w:r>
      <w:r>
        <w:rPr/>
        <w:t xml:space="preserve">apatosaurine specimen </w:t>
      </w:r>
      <w:bookmarkStart w:id="15" w:name="__DdeLink__1281_802501007"/>
      <w:r>
        <w:rPr/>
        <w:t>CM 3378</w:t>
      </w:r>
      <w:bookmarkEnd w:id="15"/>
      <w:r>
        <w:rPr/>
        <w:t xml:space="preserve"> </w:t>
      </w:r>
      <w:r>
        <w:rPr/>
        <w:t>(</w:t>
      </w:r>
      <w:r>
        <w:rPr/>
        <w:t xml:space="preserve">probably </w:t>
      </w:r>
      <w:r>
        <w:rPr>
          <w:i/>
          <w:iCs/>
        </w:rPr>
        <w:t>Apatosaurus louisae</w:t>
      </w:r>
      <w:r>
        <w:rPr/>
        <w:t xml:space="preserve">) </w:t>
      </w:r>
      <w:r>
        <w:rPr/>
        <w:t xml:space="preserve">contains 82 vertebrae; given that diplodocines are generally more elongate, gracile animals than apatosaurines, </w:t>
      </w:r>
      <w:r>
        <w:rPr/>
        <w:t xml:space="preserve">it was </w:t>
      </w:r>
      <w:r>
        <w:rPr/>
        <w:t xml:space="preserve">esstimated that </w:t>
      </w:r>
      <w:r>
        <w:rPr>
          <w:i/>
          <w:iCs/>
        </w:rPr>
        <w:t>D</w:t>
      </w:r>
      <w:r>
        <w:rPr>
          <w:i/>
          <w:iCs/>
        </w:rPr>
        <w:t>iplodocus</w:t>
      </w:r>
      <w:r>
        <w:rPr>
          <w:i/>
          <w:iCs/>
        </w:rPr>
        <w:t xml:space="preserve"> carnegii</w:t>
      </w:r>
      <w:r>
        <w:rPr/>
        <w:t xml:space="preserve"> would </w:t>
      </w:r>
      <w:r>
        <w:rPr/>
        <w:t>have</w:t>
      </w:r>
      <w:r>
        <w:rPr/>
        <w:t xml:space="preserve"> had at least 83 caudals in life.</w:t>
      </w:r>
    </w:p>
    <w:p>
      <w:pPr>
        <w:pStyle w:val="TextBody"/>
        <w:rPr/>
      </w:pPr>
      <w:r>
        <w:rPr/>
        <w:t xml:space="preserve">XXX the current length of the mount, we just had it LiDAR-scanned, so if I can get ahold of the results (long story) I should be able to give you a precise number. </w:t>
      </w:r>
    </w:p>
    <w:p>
      <w:pPr>
        <w:pStyle w:val="Heading2"/>
        <w:rPr/>
      </w:pPr>
      <w:bookmarkStart w:id="16" w:name="__RefHeading___Toc3282_55120580"/>
      <w:bookmarkEnd w:id="16"/>
      <w:r>
        <w:rPr/>
        <w:t>The casts made from the Carnegie molds</w:t>
      </w:r>
    </w:p>
    <w:p>
      <w:pPr>
        <w:pStyle w:val="TextBody"/>
        <w:rPr/>
      </w:pPr>
      <w:r>
        <w:rPr/>
        <w:t>XXX</w:t>
      </w:r>
    </w:p>
    <w:p>
      <w:pPr>
        <w:pStyle w:val="Heading1"/>
        <w:numPr>
          <w:ilvl w:val="0"/>
          <w:numId w:val="3"/>
        </w:numPr>
        <w:ind w:left="0" w:right="0" w:hanging="0"/>
        <w:rPr/>
      </w:pPr>
      <w:bookmarkStart w:id="17" w:name="__RefHeading___Toc3401_68767826"/>
      <w:bookmarkEnd w:id="17"/>
      <w:r>
        <w:rPr/>
        <w:t>Discussion</w:t>
      </w:r>
    </w:p>
    <w:p>
      <w:pPr>
        <w:pStyle w:val="TextBody"/>
        <w:rPr/>
      </w:pPr>
      <w:r>
        <w:rPr/>
        <w:t>XXX Difficulty of tracking down all this information, importance of records</w:t>
      </w:r>
    </w:p>
    <w:p>
      <w:pPr>
        <w:pStyle w:val="TextBody"/>
        <w:rPr/>
      </w:pPr>
      <w:r>
        <w:rPr/>
        <w:t>XXX Links to the past: numb</w:t>
      </w:r>
      <w:r>
        <w:rPr/>
        <w:t>e</w:t>
      </w:r>
      <w:r>
        <w:rPr/>
        <w:t>r of years between key incidents: we are part of a story</w:t>
      </w:r>
    </w:p>
    <w:p>
      <w:pPr>
        <w:pStyle w:val="Heading1"/>
        <w:numPr>
          <w:ilvl w:val="0"/>
          <w:numId w:val="1"/>
        </w:numPr>
        <w:ind w:left="0" w:right="0" w:hanging="0"/>
        <w:rPr/>
      </w:pPr>
      <w:bookmarkStart w:id="18" w:name="__RefHeading___Toc1833_55120580"/>
      <w:bookmarkEnd w:id="18"/>
      <w:r>
        <w:rPr/>
        <w:t>Acknowledgements</w:t>
      </w:r>
    </w:p>
    <w:p>
      <w:pPr>
        <w:pStyle w:val="TextBody"/>
        <w:rPr/>
      </w:pPr>
      <w:r>
        <w:rPr/>
        <w:t xml:space="preserve">We thank Scott Hartman for kindly allowing us to use his skeletal reconstruction of </w:t>
      </w:r>
      <w:r>
        <w:rPr>
          <w:i/>
          <w:iCs/>
        </w:rPr>
        <w:t>Diplodocus carnegii</w:t>
      </w:r>
      <w:r>
        <w:rPr/>
        <w:t xml:space="preserve">. </w:t>
      </w:r>
      <w:r>
        <w:rPr/>
        <w:t>(Figure D)</w:t>
      </w:r>
      <w:r>
        <w:rPr/>
        <w:t xml:space="preserve"> </w:t>
      </w:r>
      <w:r>
        <w:rPr/>
        <w:t xml:space="preserve">We are grateful to Mathew J. Wedel </w:t>
      </w:r>
      <w:r>
        <w:rPr/>
        <w:t xml:space="preserve">Josh Franzos </w:t>
      </w:r>
      <w:r>
        <w:rPr/>
        <w:t>for allowing us to use his photograph of the cast skull of the Carnegie mount (Figure F).</w:t>
      </w:r>
    </w:p>
    <w:p>
      <w:pPr>
        <w:pStyle w:val="Heading1"/>
        <w:numPr>
          <w:ilvl w:val="0"/>
          <w:numId w:val="3"/>
        </w:numPr>
        <w:ind w:left="0" w:right="0" w:hanging="0"/>
        <w:rPr/>
      </w:pPr>
      <w:bookmarkStart w:id="19" w:name="__RefHeading___Toc3405_68767826"/>
      <w:bookmarkEnd w:id="19"/>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0" w:name="__DdeLink__2481_14216418"/>
      <w:r>
        <w:rPr/>
        <w:t>Anonymous</w:t>
      </w:r>
      <w:bookmarkEnd w:id="20"/>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1" w:name="__DdeLink__5014_2834848739"/>
      <w:r>
        <w:rPr/>
        <w:t xml:space="preserve">Carnegie Institute. 1934. </w:t>
      </w:r>
      <w:r>
        <w:rPr>
          <w:i/>
          <w:iCs/>
        </w:rPr>
        <w:t>Thirty-seventh annual report of the Carnegie Museum, Carnegie Institute, Pittsburgh</w:t>
      </w:r>
      <w:r>
        <w:rPr/>
        <w:t>.</w:t>
      </w:r>
      <w:bookmarkEnd w:id="21"/>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3" w:name="__RefHeading___Toc5233_14216418"/>
      <w:bookmarkEnd w:id="2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4"/>
        <w:gridCol w:w="2258"/>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4"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8"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probably late 1970s.</w:t>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4"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4"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8"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4" w:name="__RefHeading___Toc3407_68767826"/>
      <w:bookmarkEnd w:id="2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w:t>
      </w:r>
      <w:r>
        <w:rPr/>
        <w:t>sculpted</w:t>
      </w:r>
      <w:r>
        <w:rPr/>
        <w:t xml:space="preserve">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w:t>
      </w:r>
      <w:r>
        <w:rPr/>
        <w:t xml:space="preserve">Photograph by </w:t>
      </w:r>
      <w:r>
        <w:rPr/>
        <w:t xml:space="preserve">Josh Franzos, </w:t>
      </w:r>
      <w:r>
        <w:rPr/>
        <w:t>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25837</TotalTime>
  <Application>LibreOffice/6.1.3.2$MacOSX_X86_64 LibreOffice_project/86daf60bf00efa86ad547e59e09d6bb77c699acb</Application>
  <Pages>18</Pages>
  <Words>7802</Words>
  <Characters>41084</Characters>
  <CharactersWithSpaces>48541</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2022-05-19T01:31:33Z</dcterms:modified>
  <cp:revision>505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