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be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w:t>
      </w:r>
      <w:r>
        <w:rPr/>
        <w:t xml:space="preserve">to Carnegie </w:t>
      </w:r>
      <w:r>
        <w:rPr/>
        <w:t xml:space="preserve">that “work on the St. Petersburg </w:t>
      </w:r>
      <w:r>
        <w:rPr>
          <w:i/>
          <w:iCs/>
        </w:rPr>
        <w:t>Diplodocus</w:t>
      </w:r>
      <w:r>
        <w:rPr/>
        <w:t xml:space="preserve"> is drawing to a close” (</w:t>
      </w:r>
      <w:r>
        <w:rPr/>
        <w:t>Holland 1910d</w:t>
      </w:r>
      <w:r>
        <w:rPr/>
        <w:t xml:space="preserve">), </w:t>
      </w:r>
      <w:r>
        <w:rPr/>
        <w:t>and h</w:t>
      </w:r>
      <w:r>
        <w:rPr/>
        <w:t xml:space="preserve">e reported getting home on 22 August, </w:t>
      </w:r>
      <w:r>
        <w:rPr/>
        <w:t>so these dates give us bounds on completion of the mount</w:t>
      </w:r>
      <w:r>
        <w:rPr/>
        <w:t xml:space="preserve">. </w:t>
      </w:r>
      <w:r>
        <w:rPr/>
        <w:t>I</w:t>
      </w:r>
      <w:r>
        <w:rPr/>
        <w:t>n a</w:t>
      </w:r>
      <w:r>
        <w:rPr/>
        <w:t>n earlier</w:t>
      </w:r>
      <w:r>
        <w:rPr/>
        <w:t xml:space="preserve"> letter to T</w:t>
      </w:r>
      <w:r>
        <w:rPr/>
        <w:t>s</w:t>
      </w:r>
      <w:r>
        <w:rPr/>
        <w:t>chernys</w:t>
      </w:r>
      <w:r>
        <w:rPr/>
        <w:t>c</w:t>
      </w:r>
      <w:r>
        <w:rPr/>
        <w:t>he</w:t>
      </w:r>
      <w:r>
        <w:rPr/>
        <w:t>w</w:t>
      </w:r>
      <w:r>
        <w:rPr/>
        <w:t xml:space="preserve"> on January 3rd (</w:t>
      </w:r>
      <w:r>
        <w:rPr/>
        <w:t xml:space="preserve">Holland 1910c), </w:t>
      </w:r>
      <w:r>
        <w:rPr/>
        <w:t xml:space="preserve">he </w:t>
      </w:r>
      <w:r>
        <w:rPr/>
        <w:t>had</w:t>
      </w:r>
      <w:r>
        <w:rPr/>
        <w:t xml:space="preserve"> </w:t>
      </w:r>
      <w:r>
        <w:rPr/>
        <w:t xml:space="preserve">outlined plans to </w:t>
      </w:r>
      <w:r>
        <w:rPr/>
        <w:t xml:space="preserve">visit the First Entomological Congress in Brussels immediately after setting up the </w:t>
      </w:r>
      <w:r>
        <w:rPr/>
        <w:t>Russian cast</w:t>
      </w:r>
      <w:r>
        <w:rPr/>
        <w:t xml:space="preserve">. That conference took place from 1–6 August. </w:t>
      </w:r>
      <w:r>
        <w:rPr/>
        <w:t>Assuming that he did in fact attend, t</w:t>
      </w:r>
      <w:r>
        <w:rPr/>
        <w:t xml:space="preserve">he journey from </w:t>
      </w:r>
      <w:r>
        <w:rPr/>
        <w:t xml:space="preserve">St. </w:t>
      </w:r>
      <w:r>
        <w:rPr/>
        <w:t xml:space="preserve">Petersburg to Brussels must have </w:t>
      </w:r>
      <w:r>
        <w:rPr/>
        <w:t xml:space="preserve">taken about </w:t>
      </w:r>
      <w:r>
        <w:rPr/>
        <w:t xml:space="preserve">a week, so that places the possibility of finishing the work between roughly </w:t>
      </w:r>
      <w:r>
        <w:rPr/>
        <w:t xml:space="preserve">7 </w:t>
      </w:r>
      <w:r>
        <w:rPr/>
        <w:t xml:space="preserve">July 7 and </w:t>
      </w:r>
      <w:r>
        <w:rPr/>
        <w:t>23 July</w:t>
      </w:r>
      <w:r>
        <w:rPr/>
        <w:t xml:space="preserve">. </w:t>
      </w:r>
      <w:r>
        <w:rPr/>
        <w:t xml:space="preserve">He probably </w:t>
      </w:r>
      <w:r>
        <w:rPr/>
        <w:t xml:space="preserve">spent some time in Berlin </w:t>
      </w:r>
      <w:r>
        <w:rPr/>
        <w:t xml:space="preserve">before the conference </w:t>
      </w:r>
      <w:r>
        <w:rPr/>
        <w:t xml:space="preserve">as well, so “early July” </w:t>
      </w:r>
      <w:r>
        <w:rPr/>
        <w:t>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and Daniela Schwarz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t>
      </w:r>
      <w:r>
        <w:rPr/>
        <w:t>William. 1910d.</w:t>
      </w:r>
      <w:r>
        <w:rPr/>
        <w:t xml:space="preserve"> </w:t>
      </w:r>
      <w:r>
        <w:rPr/>
        <w:t xml:space="preserve">Letter </w:t>
      </w:r>
      <w:r>
        <w:rPr/>
        <w:t xml:space="preserve">to Andrew Carnegie, </w:t>
      </w:r>
      <w:r>
        <w:rPr/>
        <w:t xml:space="preserve">5 </w:t>
      </w:r>
      <w:r>
        <w:rPr/>
        <w:t xml:space="preserve">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b w:val="false"/>
          <w:b w:val="false"/>
          <w:bCs w:val="false"/>
          <w:highlight w:val="yellow"/>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Old Face" w:hAnsi="Baskerville Old Face" w:cs="Alkes"/>
          <w:kern w:val="0"/>
          <w:highlight w:val="yellow"/>
          <w:lang w:bidi="ar-SA"/>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The provenance of white elements is unknown.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Seated, facing right: possibly Albert “Bill” Thomson, though this seems unlikely as he was never part of the Carnegie crew</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style>
  <w:style w:type="character" w:styleId="ListLabel375">
    <w:name w:val="ListLabel 375"/>
    <w:qFormat/>
    <w:rPr>
      <w:b w:val="false"/>
      <w:bCs w:val="false"/>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i w:val="false"/>
      <w:iCs w:val="false"/>
    </w:rPr>
  </w:style>
  <w:style w:type="character" w:styleId="ListLabel422">
    <w:name w:val="ListLabel 422"/>
    <w:qFormat/>
    <w:rPr/>
  </w:style>
  <w:style w:type="character" w:styleId="ListLabel423">
    <w:name w:val="ListLabel 423"/>
    <w:qFormat/>
    <w:rPr/>
  </w:style>
  <w:style w:type="character" w:styleId="ListLabel424">
    <w:name w:val="ListLabel 424"/>
    <w:qFormat/>
    <w:rPr>
      <w:b w:val="false"/>
      <w:bCs w:val="false"/>
    </w:rPr>
  </w:style>
  <w:style w:type="character" w:styleId="ListLabel425">
    <w:name w:val="ListLabel 425"/>
    <w:qFormat/>
    <w:rPr>
      <w:rFonts w:cs="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i w:val="false"/>
      <w:iCs w:val="false"/>
    </w:rPr>
  </w:style>
  <w:style w:type="character" w:styleId="ListLabel471">
    <w:name w:val="ListLabel 471"/>
    <w:qFormat/>
    <w:rPr/>
  </w:style>
  <w:style w:type="character" w:styleId="ListLabel472">
    <w:name w:val="ListLabel 472"/>
    <w:qFormat/>
    <w:rPr/>
  </w:style>
  <w:style w:type="character" w:styleId="ListLabel473">
    <w:name w:val="ListLabel 473"/>
    <w:qFormat/>
    <w:rPr>
      <w:b w:val="false"/>
      <w:bCs w:val="false"/>
    </w:rPr>
  </w:style>
  <w:style w:type="character" w:styleId="ListLabel474">
    <w:name w:val="ListLabel 474"/>
    <w:qFormat/>
    <w:rPr>
      <w:rFonts w:cs="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i w:val="false"/>
      <w:iCs w:val="false"/>
    </w:rPr>
  </w:style>
  <w:style w:type="character" w:styleId="ListLabel520">
    <w:name w:val="ListLabel 520"/>
    <w:qFormat/>
    <w:rPr/>
  </w:style>
  <w:style w:type="character" w:styleId="ListLabel521">
    <w:name w:val="ListLabel 521"/>
    <w:qFormat/>
    <w:rPr/>
  </w:style>
  <w:style w:type="character" w:styleId="ListLabel522">
    <w:name w:val="ListLabel 522"/>
    <w:qFormat/>
    <w:rPr>
      <w:b w:val="false"/>
      <w:bCs w:val="false"/>
    </w:rPr>
  </w:style>
  <w:style w:type="character" w:styleId="ListLabel523">
    <w:name w:val="ListLabel 523"/>
    <w:qFormat/>
    <w:rPr>
      <w:rFonts w:cs="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i w:val="false"/>
      <w:iCs w:val="false"/>
    </w:rPr>
  </w:style>
  <w:style w:type="character" w:styleId="ListLabel569">
    <w:name w:val="ListLabel 569"/>
    <w:qFormat/>
    <w:rPr/>
  </w:style>
  <w:style w:type="character" w:styleId="ListLabel570">
    <w:name w:val="ListLabel 570"/>
    <w:qFormat/>
    <w:rPr/>
  </w:style>
  <w:style w:type="character" w:styleId="ListLabel571">
    <w:name w:val="ListLabel 571"/>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28593</TotalTime>
  <Application>LibreOffice/6.1.3.2$MacOSX_X86_64 LibreOffice_project/86daf60bf00efa86ad547e59e09d6bb77c699acb</Application>
  <Pages>31</Pages>
  <Words>15309</Words>
  <Characters>80438</Characters>
  <CharactersWithSpaces>95250</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2022-09-23T17:18:25Z</dcterms:modified>
  <cp:revision>735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