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19</w:t>
            </w:r>
          </w:hyperlink>
        </w:p>
        <w:p>
          <w:pPr>
            <w:pStyle w:val="Contents2"/>
            <w:tabs>
              <w:tab w:val="clear" w:pos="9355"/>
              <w:tab w:val="right" w:pos="9638" w:leader="dot"/>
            </w:tabs>
            <w:rPr/>
          </w:pPr>
          <w:hyperlink w:anchor="__RefHeading___Toc4161_3033613513">
            <w:r>
              <w:rPr>
                <w:rStyle w:val="IndexLink"/>
              </w:rPr>
              <w:t>Updates to the casts</w:t>
              <w:tab/>
              <w:t>19</w:t>
            </w:r>
          </w:hyperlink>
        </w:p>
        <w:p>
          <w:pPr>
            <w:pStyle w:val="Contents1"/>
            <w:rPr/>
          </w:pPr>
          <w:hyperlink w:anchor="__RefHeading___Toc3401_68767826">
            <w:r>
              <w:rPr>
                <w:rStyle w:val="IndexLink"/>
              </w:rPr>
              <w:t>Discussion</w:t>
              <w:tab/>
              <w:t>21</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21</w:t>
            </w:r>
          </w:hyperlink>
        </w:p>
        <w:p>
          <w:pPr>
            <w:pStyle w:val="Contents2"/>
            <w:tabs>
              <w:tab w:val="clear" w:pos="9355"/>
              <w:tab w:val="right" w:pos="9638" w:leader="dot"/>
            </w:tabs>
            <w:rPr/>
          </w:pPr>
          <w:hyperlink w:anchor="__RefHeading___Toc3652_2595815751">
            <w:r>
              <w:rPr>
                <w:rStyle w:val="IndexLink"/>
              </w:rPr>
              <w:t>Documenting skeletal mounts</w:t>
              <w:tab/>
              <w:t>23</w:t>
            </w:r>
          </w:hyperlink>
        </w:p>
        <w:p>
          <w:pPr>
            <w:pStyle w:val="Contents1"/>
            <w:rPr/>
          </w:pPr>
          <w:hyperlink w:anchor="__RefHeading___Toc1833_55120580">
            <w:r>
              <w:rPr>
                <w:rStyle w:val="IndexLink"/>
              </w:rPr>
              <w:t>Acknowledgements</w:t>
              <w:tab/>
              <w:t>23</w:t>
            </w:r>
          </w:hyperlink>
        </w:p>
        <w:p>
          <w:pPr>
            <w:pStyle w:val="Contents1"/>
            <w:rPr/>
          </w:pPr>
          <w:hyperlink w:anchor="__RefHeading___Toc3405_68767826">
            <w:r>
              <w:rPr>
                <w:rStyle w:val="IndexLink"/>
              </w:rPr>
              <w:t>References</w:t>
              <w:tab/>
              <w:t>24</w:t>
            </w:r>
          </w:hyperlink>
        </w:p>
        <w:p>
          <w:pPr>
            <w:pStyle w:val="Contents1"/>
            <w:rPr/>
          </w:pPr>
          <w:hyperlink w:anchor="__RefHeading___Toc4163_3033613513">
            <w:r>
              <w:rPr>
                <w:rStyle w:val="IndexLink"/>
              </w:rPr>
              <w:t>Tables</w:t>
              <w:tab/>
              <w:t>30</w:t>
            </w:r>
          </w:hyperlink>
        </w:p>
        <w:p>
          <w:pPr>
            <w:pStyle w:val="Contents1"/>
            <w:rPr/>
          </w:pPr>
          <w:hyperlink w:anchor="__RefHeading___Toc3407_68767826">
            <w:r>
              <w:rPr>
                <w:rStyle w:val="IndexLink"/>
              </w:rPr>
              <w:t>Figure Captions</w:t>
              <w:tab/>
              <w:t>34</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w:t>
      </w:r>
    </w:p>
    <w:p>
      <w:pPr>
        <w:pStyle w:val="TextBody"/>
        <w:rPr/>
      </w:pPr>
      <w:r>
        <w:rPr/>
        <w:t xml:space="preserve">As early as April 2005, Lamanna opened a dialogue with Kirby Siber of the Sauriermuseum Aathal, in the hope of sourcing </w:t>
      </w:r>
      <w:r>
        <w:rPr>
          <w:i/>
          <w:iCs/>
        </w:rPr>
        <w:t>Diplodocus</w:t>
      </w:r>
      <w:r>
        <w:rPr/>
        <w:t xml:space="preserve"> forelimbs for the remount. Siber proposed that limb bones of their specimen XL, about 90% the size of CM 84, might be of use. The cost of purchase for the original fossils proved prohibitive, however, and the option of casting was explored. By February 2006, the Sauriermuseum was ready to start making molds. By April, though, these plans had been abandoned, as the specimen XL did not have a radius and its ulna had also been misplaced.</w:t>
      </w:r>
    </w:p>
    <w:p>
      <w:pPr>
        <w:pStyle w:val="TextBody"/>
        <w:rPr/>
      </w:pPr>
      <w:r>
        <w:rPr/>
        <w:t xml:space="preserve">Other inquiries were made, but also proved unfruitful: the Wyoming Dinosaur Centre had relevant elements but they were all too small (about 60% the size of CM 84); the Smithsonian was too slow to respond; and an enquiry about the mounted </w:t>
      </w:r>
      <w:r>
        <w:rPr>
          <w:i/>
          <w:iCs/>
        </w:rPr>
        <w:t>Diplodocus</w:t>
      </w:r>
      <w:r>
        <w:rPr/>
        <w:t xml:space="preserve"> at the Denver Museum of Natural History revealed that its forelimbs were casts from the Carnegie's old forelimb material! Dinosaur National Monument and the Yale Peabody Museum were both suggested as possible sources, but neither was able to help.</w:t>
      </w:r>
    </w:p>
    <w:p>
      <w:pPr>
        <w:pStyle w:val="TextBody"/>
        <w:rPr/>
      </w:pPr>
      <w:r>
        <w:rPr/>
        <w:t>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database note on the 2007 remounting located by Amy Henrici says “One caudal added from CM 94.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 xml:space="preserve">However, photographs of caudals 37–46 supplied by Phil Fraley, having been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w:t>
      </w:r>
      <w:r>
        <w:rPr>
          <w:shd w:fill="auto" w:val="clear"/>
        </w:rPr>
        <w:t>around 2003</w:t>
      </w:r>
      <w:r>
        <w:rPr>
          <w:shd w:fill="auto" w:val="clear"/>
        </w:rPr>
        <w:t xml:space="preserve"> (pers. comm, 2022) shows a drawer of 18 whiplash caudals, one of which is a perfect match for one of those in his (2006:figure 18c) illustration. It therefore seems that </w:t>
      </w:r>
      <w:r>
        <w:rPr>
          <w:shd w:fill="auto" w:val="clear"/>
        </w:rPr>
        <w:t>shortly before the remount</w:t>
      </w:r>
      <w:r>
        <w:rPr>
          <w:shd w:fill="auto" w:val="clear"/>
        </w:rPr>
        <w:t>,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must be considered possible that only the more proximal caudals of CM 307 were incorporated into the mount in 1907, with casts used for the more distal elements, and the accounts of Holland (1906:254), Curtice (1996:73) and 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30493</TotalTime>
  <Application>LibreOffice/7.4.2.3$MacOSX_X86_64 LibreOffice_project/382eef1f22670f7f4118c8c2dd222ec7ad009daf</Application>
  <AppVersion>15.0000</AppVersion>
  <Pages>38</Pages>
  <Words>18982</Words>
  <Characters>98877</Characters>
  <CharactersWithSpaces>117250</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2022-11-14T01:35:33Z</dcterms:modified>
  <cp:revision>864</cp:revision>
  <dc:subject/>
  <dc:title/>
</cp:coreProperties>
</file>

<file path=docProps/custom.xml><?xml version="1.0" encoding="utf-8"?>
<Properties xmlns="http://schemas.openxmlformats.org/officeDocument/2006/custom-properties" xmlns:vt="http://schemas.openxmlformats.org/officeDocument/2006/docPropsVTypes"/>
</file>