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w:t>
      </w:r>
      <w:r>
        <w:rPr>
          <w:b w:val="false"/>
          <w:bCs w:val="false"/>
          <w:i w:val="false"/>
          <w:iCs w:val="false"/>
        </w:rPr>
        <w:t>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1" w:name="__RefHeading___Toc473_2886139872"/>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XXX Atlas of AMNH 969 described and illustrated in detail by Holland (1906:246–249).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8" w:name="__RefHeading___Toc1840_55120580"/>
      <w:bookmarkEnd w:id="8"/>
      <w:r>
        <w:rPr/>
        <w:t>XXX length as reported by Holland</w:t>
      </w:r>
    </w:p>
    <w:p>
      <w:pPr>
        <w:pStyle w:val="TextBody"/>
        <w:rPr/>
      </w:pPr>
      <w:r>
        <w:rPr/>
        <w:t>XXX Table A here, summarising contributions from different skeletons; cite Figure D.</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5"/>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3" w:name="__RefHeading___Toc3405_68767826"/>
      <w:bookmarkEnd w:id="13"/>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5" w:name="__RefHeading___Toc3407_68767826"/>
      <w:bookmarkEnd w:id="1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iCs w:val="false"/>
    </w:rPr>
  </w:style>
  <w:style w:type="character" w:styleId="ListLabel102">
    <w:name w:val="ListLabel 102"/>
    <w:qFormat/>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i w:val="false"/>
      <w:iCs w:val="false"/>
    </w:rPr>
  </w:style>
  <w:style w:type="character" w:styleId="ListLabel122">
    <w:name w:val="ListLabel 12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21224</TotalTime>
  <Application>LibreOffice/6.1.3.2$MacOSX_X86_64 LibreOffice_project/86daf60bf00efa86ad547e59e09d6bb77c699acb</Application>
  <Pages>11</Pages>
  <Words>4902</Words>
  <Characters>25739</Characters>
  <CharactersWithSpaces>30474</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2022-05-06T14:41:12Z</dcterms:modified>
  <cp:revision>413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