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XXX maybe Ilja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0" w:name="__RefHeading___Toc473_2886139872"/>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Curtice (1996:72–73) gave a more precise account of the source of the caudal vertebrae: Ca13–31 and 33–36 were from CM 94, while Ca32 and Ca37–73 inclusive were from CM 307. (</w:t>
      </w:r>
      <w:r>
        <w:rPr/>
        <w:t xml:space="preserve">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w:t>
      </w:r>
      <w:r>
        <w:rPr/>
        <w:t xml:space="preserve">Curtice </w:t>
      </w:r>
      <w:r>
        <w:rPr/>
        <w:t>(</w:t>
      </w:r>
      <w:r>
        <w:rPr/>
        <w:t>1996:73</w:t>
      </w:r>
      <w:r>
        <w:rPr/>
        <w:t>)</w:t>
      </w:r>
      <w:r>
        <w:rPr/>
        <w:t xml:space="preserve"> believed that the CM 307 caudals were mounted in a position about six places further back than they should have been.</w:t>
      </w:r>
    </w:p>
    <w:p>
      <w:pPr>
        <w:pStyle w:val="TextBody"/>
        <w:rPr/>
      </w:pPr>
      <w:r>
        <w:rPr/>
        <w:t xml:space="preserve">McIntosh’s account of the mounted skeleton omits the source of several elements, </w:t>
      </w:r>
      <w:r>
        <w:rPr/>
        <w:t>and these omissions have been remedied by any subsequent publication known to us.</w:t>
      </w:r>
      <w:r>
        <w:rPr/>
        <w:t xml:space="preserve"> </w:t>
      </w:r>
      <w:r>
        <w:rPr/>
        <w:t>T</w:t>
      </w:r>
      <w:r>
        <w:rPr/>
        <w:t xml:space="preserve">he </w:t>
      </w:r>
      <w:r>
        <w:rPr/>
        <w:t xml:space="preserve">elements of unspecific origin are the </w:t>
      </w:r>
      <w:r>
        <w:rPr/>
        <w:t>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bookmarkStart w:id="7" w:name="__RefHeading___Toc1840_55120580"/>
      <w:bookmarkEnd w:id="7"/>
      <w:r>
        <w:rPr/>
        <w:t>XXX length as reported by Holland</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5"/>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1" w:name="__RefHeading___Toc1833_55120580"/>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 XXX remove if included in the authorship.</w:t>
      </w:r>
    </w:p>
    <w:p>
      <w:pPr>
        <w:pStyle w:val="Heading1"/>
        <w:numPr>
          <w:ilvl w:val="0"/>
          <w:numId w:val="5"/>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21102</TotalTime>
  <Application>LibreOffice/6.1.3.2$MacOSX_X86_64 LibreOffice_project/86daf60bf00efa86ad547e59e09d6bb77c699acb</Application>
  <Pages>10</Pages>
  <Words>4612</Words>
  <Characters>24173</Characters>
  <CharactersWithSpaces>28624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2022-05-04T15:35:52Z</dcterms:modified>
  <cp:revision>406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