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XXX Written up to here</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w:t>
      </w:r>
      <w:r>
        <w:rPr/>
        <w:t>see e.g. Norman 1985:188-189</w:t>
      </w:r>
      <w:r>
        <w:rPr/>
        <w:t xml:space="preserve">).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 xml:space="preserve">XXX Table A here, summarising contributions from different skeletons; cite Figure D. </w:t>
      </w:r>
      <w:r>
        <w:rPr/>
        <w:t>Cite Figure E for CM 21775.</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w:t>
      </w:r>
      <w:r>
        <w:rPr/>
        <w:t xml:space="preserve">s it is today, </w:t>
      </w:r>
      <w:r>
        <w:rPr/>
        <w:t>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w:t>
      </w:r>
      <w:r>
        <w:rPr/>
        <w:t>)</w:t>
      </w:r>
      <w:r>
        <w:rPr/>
        <w:t xml:space="preserve">. </w:t>
      </w:r>
      <w:r>
        <w:rPr>
          <w:b/>
          <w:bCs/>
        </w:rPr>
        <w:t>C.</w:t>
      </w:r>
      <w:r>
        <w:rPr/>
        <w:t xml:space="preserve"> Right humerus of the Carnegie mount in left anterolateral view, enlarged from part A, </w:t>
      </w:r>
      <w:r>
        <w:rPr/>
        <w:t xml:space="preserve">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w:t>
      </w:r>
      <w:r>
        <w:rPr/>
        <w:t xml:space="preserve">Carnegie mount in </w:t>
      </w:r>
      <w:r>
        <w:rPr/>
        <w:t>anterior</w:t>
      </w:r>
      <w:r>
        <w:rPr/>
        <w:t xml:space="preserve"> view, enlarged from part A, </w:t>
      </w:r>
      <w:r>
        <w:rPr/>
        <w:t xml:space="preserve">CM 21775, assigned by McIntosh (1981:16) to </w:t>
      </w:r>
      <w:r>
        <w:rPr>
          <w:i/>
          <w:iCs/>
        </w:rPr>
        <w:t>Camarasaurus</w:t>
      </w:r>
      <w:r>
        <w:rPr>
          <w:i w:val="false"/>
          <w:iCs w:val="false"/>
        </w:rPr>
        <w:t xml:space="preserve">, </w:t>
      </w:r>
      <w:r>
        <w:rPr>
          <w:i w:val="false"/>
          <w:iCs w:val="false"/>
        </w:rPr>
        <w:t xml:space="preserve">but considered </w:t>
      </w:r>
      <w:r>
        <w:rPr>
          <w:i w:val="false"/>
          <w:iCs w:val="false"/>
        </w:rPr>
        <w:t>by Tschopp et al. (2019:</w:t>
      </w:r>
      <w:r>
        <w:rPr>
          <w:i w:val="false"/>
          <w:iCs w:val="false"/>
        </w:rPr>
        <w:t xml:space="preserve">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i w:val="false"/>
          <w:i w:val="false"/>
          <w:i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i w:val="false"/>
      <w:iCs w:val="false"/>
    </w:rPr>
  </w:style>
  <w:style w:type="character" w:styleId="ListLabel162">
    <w:name w:val="ListLabel 162"/>
    <w:qFormat/>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i w:val="false"/>
      <w:iCs w:val="false"/>
    </w:rPr>
  </w:style>
  <w:style w:type="character" w:styleId="ListLabel182">
    <w:name w:val="ListLabel 182"/>
    <w:qFormat/>
    <w:rPr/>
  </w:style>
  <w:style w:type="character" w:styleId="ListLabel183">
    <w:name w:val="ListLabel 183"/>
    <w:qFormat/>
    <w:rPr>
      <w:rFonts w:cs="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i w:val="false"/>
      <w:iCs w:val="false"/>
    </w:rPr>
  </w:style>
  <w:style w:type="character" w:styleId="ListLabel202">
    <w:name w:val="ListLabel 20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22311</TotalTime>
  <Application>LibreOffice/6.1.3.2$MacOSX_X86_64 LibreOffice_project/86daf60bf00efa86ad547e59e09d6bb77c699acb</Application>
  <Pages>12</Pages>
  <Words>5445</Words>
  <Characters>28746</Characters>
  <CharactersWithSpaces>34013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2022-05-09T22:31:32Z</dcterms:modified>
  <cp:revision>425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