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United Kingdom.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9">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0">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A.K. Behrensmeyer and A.P.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rPr/>
      </w:pPr>
      <w:r>
        <w:rPr/>
        <w:t xml:space="preserve">Seneff, Jeannette F. 1947. Fossils are his business. </w:t>
      </w:r>
      <w:r>
        <w:rPr>
          <w:i/>
          <w:iCs/>
        </w:rPr>
        <w:t>Carnegie Magazine</w:t>
      </w:r>
      <w:r>
        <w:rPr>
          <w:i w:val="false"/>
          <w:iCs w:val="false"/>
        </w:rPr>
        <w:t>,</w:t>
      </w:r>
      <w:r>
        <w:rPr/>
        <w:t xml:space="preserve"> </w:t>
      </w:r>
      <w:r>
        <w:rPr>
          <w:b/>
          <w:bCs/>
        </w:rPr>
        <w:t>21(4)</w:t>
      </w:r>
      <w:r>
        <w:rPr/>
        <w:t>:117–119.</w:t>
      </w:r>
    </w:p>
    <w:p>
      <w:pPr>
        <w:pStyle w:val="Reference"/>
        <w:rPr/>
      </w:pPr>
      <w:r>
        <w:rPr/>
        <w:t xml:space="preserve">Siemers, Erik. 2007. Dinosaur Hall’s evolution mapped. </w:t>
      </w:r>
      <w:r>
        <w:rPr>
          <w:i/>
          <w:iCs/>
        </w:rPr>
        <w:t>Pittsburgh Tribune-Review</w:t>
      </w:r>
      <w:r>
        <w:rPr/>
        <w:t>,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6">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7">
        <w:r>
          <w:rPr>
            <w:rStyle w:val="Hyperlink"/>
            <w:lang w:val="en-US"/>
          </w:rPr>
          <w:t>doi:10.59350/h5xm3-0q551</w:t>
        </w:r>
      </w:hyperlink>
      <w:r>
        <w:rPr>
          <w:lang w:val="en-US"/>
        </w:rPr>
        <w:t xml:space="preserve"> — </w:t>
      </w:r>
      <w:hyperlink r:id="rId18">
        <w:r>
          <w:rPr>
            <w:rStyle w:val="Hyperlink"/>
            <w:lang w:val="en-US"/>
          </w:rPr>
          <w:t>https://svpow.com/2022/11/23/putative-atlantal-ribs-of-diplodocus/</w:t>
        </w:r>
      </w:hyperlink>
      <w:r>
        <w:rPr>
          <w:lang w:val="en-US"/>
        </w:rPr>
        <w:t xml:space="preserve">, archived at </w:t>
      </w:r>
      <w:hyperlink r:id="rId19">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2">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3">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4">
        <w:r>
          <w:rPr>
            <w:rStyle w:val="Hyperlink"/>
            <w:lang w:val="en-US"/>
          </w:rPr>
          <w:t>https://www.geokniga.org/books/18411</w:t>
        </w:r>
      </w:hyperlink>
    </w:p>
    <w:p>
      <w:pPr>
        <w:pStyle w:val="Reference"/>
        <w:rPr/>
      </w:pPr>
      <w:r>
        <w:rPr>
          <w:lang w:val="en-US"/>
        </w:rPr>
        <w:t xml:space="preserve">Walker, Alan C. 1980. Functional anatomy and taphonomy. pp. 182–196 in: A.K. Behrensmeyer and A.P.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California.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5">
        <w:r>
          <w:rPr>
            <w:rStyle w:val="Hyperlink"/>
            <w:lang w:val="en-US"/>
          </w:rPr>
          <w:t>doi:10.59350/emdw8-96f96</w:t>
        </w:r>
      </w:hyperlink>
      <w:r>
        <w:rPr>
          <w:lang w:val="en-US"/>
        </w:rPr>
        <w:t xml:space="preserve"> — </w:t>
      </w:r>
      <w:hyperlink r:id="rId26">
        <w:r>
          <w:rPr>
            <w:rStyle w:val="Hyperlink"/>
            <w:lang w:val="en-US"/>
          </w:rPr>
          <w:t>https://svpow.com/2009/04/23/mydd/</w:t>
        </w:r>
      </w:hyperlink>
      <w:r>
        <w:rPr>
          <w:lang w:val="en-US"/>
        </w:rPr>
        <w:t xml:space="preserve">, archived at </w:t>
      </w:r>
      <w:hyperlink r:id="rId27">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8">
        <w:r>
          <w:rPr>
            <w:rStyle w:val="Hyperlink"/>
            <w:lang w:val="en-US"/>
          </w:rPr>
          <w:t>doi:10.59350/ffywx-13m34</w:t>
        </w:r>
      </w:hyperlink>
      <w:r>
        <w:rPr>
          <w:lang w:val="en-US"/>
        </w:rPr>
        <w:t xml:space="preserve"> — </w:t>
      </w:r>
      <w:hyperlink r:id="rId29">
        <w:r>
          <w:rPr>
            <w:rStyle w:val="Hyperlink"/>
            <w:lang w:val="en-US"/>
          </w:rPr>
          <w:t>https://svpow.com/2019/11/04/dystylosaurus-reminds-you-to-beware-of-taking-measurements-from-casts/</w:t>
        </w:r>
      </w:hyperlink>
      <w:r>
        <w:rPr>
          <w:lang w:val="en-US"/>
        </w:rPr>
        <w:t xml:space="preserve">, archived at </w:t>
      </w:r>
      <w:hyperlink r:id="rId30">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1"/>
      <w:headerReference w:type="default" r:id="rId32"/>
      <w:headerReference w:type="first" r:id="rId33"/>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10_25_8/page/276/mode/2up" TargetMode="External"/><Relationship Id="rId10" Type="http://schemas.openxmlformats.org/officeDocument/2006/relationships/hyperlink" Target="https://archive.org/details/sim_carnegie_1951-11_25_9/page/312/mode/2up"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doi.org/10.7717/peerj.12810" TargetMode="External"/><Relationship Id="rId17" Type="http://schemas.openxmlformats.org/officeDocument/2006/relationships/hyperlink" Target="https://doi.org/10.59350/h5xm3-0q551" TargetMode="External"/><Relationship Id="rId18" Type="http://schemas.openxmlformats.org/officeDocument/2006/relationships/hyperlink" Target="https://svpow.com/2022/11/23/putative-atlantal-ribs-of-diplodocus/" TargetMode="External"/><Relationship Id="rId19" Type="http://schemas.openxmlformats.org/officeDocument/2006/relationships/hyperlink" Target="https://web.archive.org/web/20240506151716/https://svpow.com/2022/11/23/putative-atlantal-ribs-of-diplodocus/"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github.com/MikeTaylor/palaeo-casts" TargetMode="External"/><Relationship Id="rId23" Type="http://schemas.openxmlformats.org/officeDocument/2006/relationships/hyperlink" Target="https://github.com/MikeTaylor/palaeo-baromount" TargetMode="External"/><Relationship Id="rId24" Type="http://schemas.openxmlformats.org/officeDocument/2006/relationships/hyperlink" Target="https://www.geokniga.org/books/18411" TargetMode="External"/><Relationship Id="rId25" Type="http://schemas.openxmlformats.org/officeDocument/2006/relationships/hyperlink" Target="https://doi.org/10.59350/emdw8-96f96" TargetMode="External"/><Relationship Id="rId26" Type="http://schemas.openxmlformats.org/officeDocument/2006/relationships/hyperlink" Target="https://svpow.com/2009/04/23/mydd/" TargetMode="External"/><Relationship Id="rId27" Type="http://schemas.openxmlformats.org/officeDocument/2006/relationships/hyperlink" Target="https://web.archive.org/web/20220805065019/https://svpow.com/2009/04/23/mydd/" TargetMode="External"/><Relationship Id="rId28" Type="http://schemas.openxmlformats.org/officeDocument/2006/relationships/hyperlink" Target="https://doi.org/10.59350/ffywx-13m34" TargetMode="External"/><Relationship Id="rId29" Type="http://schemas.openxmlformats.org/officeDocument/2006/relationships/hyperlink" Target="https://svpow.com/2019/11/04/dystylosaurus-reminds-you-to-beware-of-taking-measurements-from-casts/" TargetMode="External"/><Relationship Id="rId30" Type="http://schemas.openxmlformats.org/officeDocument/2006/relationships/hyperlink" Target="https://web.archive.org/web/2/https://svpow.com/2019/11/04/dystylosaurus-reminds-you-to-beware-of-taking-measurements-from-casts/"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13992</TotalTime>
  <Application>LibreOffice/24.2.2.2$MacOSX_X86_64 LibreOffice_project/d56cc158d8a96260b836f100ef4b4ef25d6f1a01</Application>
  <AppVersion>15.0000</AppVersion>
  <Pages>55</Pages>
  <Words>23426</Words>
  <Characters>122472</Characters>
  <CharactersWithSpaces>145185</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2024-09-20T15:22:41Z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file>