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Collection Manager, Section of Vertebrate Paleontology, Carnegie Museum of Natural History, Pittsburgh, Pennsylvania, USA. </w:t>
      </w:r>
      <w:hyperlink r:id="rId3">
        <w:r>
          <w:rPr>
            <w:rStyle w:val="Hyperlink"/>
            <w:i w:val="false"/>
            <w:lang w:val="en-US"/>
          </w:rPr>
          <w:t>HenriciA@carnegiemnh.org</w:t>
        </w:r>
      </w:hyperlink>
    </w:p>
    <w:p>
      <w:pPr>
        <w:pStyle w:val="Author"/>
        <w:rPr>
          <w:lang w:val="en-US"/>
        </w:rPr>
      </w:pPr>
      <w:r>
        <w:rPr>
          <w:b/>
          <w:bCs/>
          <w:i w:val="false"/>
          <w:lang w:val="en-US"/>
        </w:rPr>
        <w:t>Linsly J. Church.</w:t>
      </w:r>
      <w:r>
        <w:rPr>
          <w:i w:val="false"/>
          <w:lang w:val="en-US"/>
        </w:rPr>
        <w:t xml:space="preserve"> Curatorial Assistant, Section of Vertebrate Paleontology, Carnegie Museum of Natural History, Pittsburgh, Pennsylvania, USA. </w:t>
      </w:r>
      <w:hyperlink r:id="rId4">
        <w:r>
          <w:rPr>
            <w:rStyle w:val="Hyperlink"/>
            <w:i w:val="false"/>
            <w:lang w:val="en-US"/>
          </w:rPr>
          <w:t>ChurchL@carnegiemnh.org</w:t>
        </w:r>
      </w:hyperlink>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rPr>
          <w:lang w:val="en-US"/>
        </w:rPr>
      </w:pPr>
      <w:r>
        <w:rPr>
          <w:b/>
          <w:bCs/>
          <w:i w:val="false"/>
          <w:lang w:val="en-US"/>
        </w:rPr>
        <w:t>Matthew C. Lamanna.</w:t>
      </w:r>
      <w:r>
        <w:rPr>
          <w:i w:val="false"/>
          <w:lang w:val="en-US"/>
        </w:rPr>
        <w:t xml:space="preserve"> Mary R. Dawson Curator, Section of Vertebrate Paleontology, Carnegie Museum of Natural History, Pittsburgh, Pennsylvania, USA. </w:t>
      </w:r>
      <w:hyperlink r:id="rId6">
        <w:r>
          <w:rPr>
            <w:rStyle w:val="Hyperlink"/>
            <w:i w:val="false"/>
            <w:lang w:val="en-US"/>
          </w:rPr>
          <w:t>LamannaM@carnegiemnh.org</w:t>
        </w:r>
      </w:hyperlink>
    </w:p>
    <w:p>
      <w:pPr>
        <w:pStyle w:val="BodyText"/>
        <w:rPr/>
      </w:pPr>
      <w:r>
        <w:rPr/>
      </w:r>
    </w:p>
    <w:p>
      <w:pPr>
        <w:pStyle w:val="BodyText"/>
        <w:rPr/>
      </w:pPr>
      <w:r>
        <w:rPr/>
        <w:t xml:space="preserve">Running header: Composition of the Carnegie </w:t>
      </w:r>
      <w:r>
        <w:rPr>
          <w:i/>
          <w:iCs/>
        </w:rPr>
        <w:t>Diplodocus</w:t>
      </w:r>
      <w:r>
        <w:br w:type="page"/>
      </w:r>
    </w:p>
    <w:p>
      <w:pPr>
        <w:pStyle w:val="Abstract"/>
        <w:spacing w:before="0" w:after="142"/>
        <w:jc w:val="center"/>
        <w:rPr>
          <w:caps/>
        </w:rPr>
      </w:pPr>
      <w:r>
        <w:rPr>
          <w:rFonts w:ascii="Gill Sans" w:hAnsi="Gill Sans"/>
          <w:b/>
          <w:bCs/>
          <w:i w:val="false"/>
          <w:iCs w:val="false"/>
          <w:caps/>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cast, Carnegie Museum, dinosaur, history, sauropod, skeletal mount</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tabs>
              <w:tab w:val="clear" w:pos="9638"/>
              <w:tab w:val="right" w:pos="968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3</w:t>
            </w:r>
          </w:hyperlink>
        </w:p>
        <w:p>
          <w:pPr>
            <w:pStyle w:val="TOC2"/>
            <w:tabs>
              <w:tab w:val="clear" w:pos="9355"/>
              <w:tab w:val="right" w:pos="9688" w:leader="dot"/>
            </w:tabs>
            <w:rPr/>
          </w:pPr>
          <w:hyperlink w:anchor="__RefHeading___Toc943_1155462304">
            <w:r>
              <w:rPr>
                <w:rStyle w:val="IndexLink"/>
              </w:rPr>
              <w:t>Nomenclature</w:t>
              <w:tab/>
              <w:t>4</w:t>
            </w:r>
          </w:hyperlink>
        </w:p>
        <w:p>
          <w:pPr>
            <w:pStyle w:val="TOC2"/>
            <w:tabs>
              <w:tab w:val="clear" w:pos="9355"/>
              <w:tab w:val="right" w:pos="9688" w:leader="dot"/>
            </w:tabs>
            <w:rPr/>
          </w:pPr>
          <w:hyperlink w:anchor="__RefHeading___Toc5349_68767826">
            <w:r>
              <w:rPr>
                <w:rStyle w:val="IndexLink"/>
              </w:rPr>
              <w:t>Institutional abbreviations</w:t>
              <w:tab/>
              <w:t>5</w:t>
            </w:r>
          </w:hyperlink>
        </w:p>
        <w:p>
          <w:pPr>
            <w:pStyle w:val="TOC1"/>
            <w:tabs>
              <w:tab w:val="clear" w:pos="9638"/>
              <w:tab w:val="right" w:pos="9688" w:leader="dot"/>
            </w:tabs>
            <w:rPr/>
          </w:pPr>
          <w:hyperlink w:anchor="__RefHeading___Toc4316_68767826">
            <w:r>
              <w:rPr>
                <w:rStyle w:val="IndexLink"/>
              </w:rPr>
              <w:t>Historical background</w:t>
              <w:tab/>
              <w:t>5</w:t>
            </w:r>
          </w:hyperlink>
        </w:p>
        <w:p>
          <w:pPr>
            <w:pStyle w:val="TOC1"/>
            <w:tabs>
              <w:tab w:val="clear" w:pos="9638"/>
              <w:tab w:val="right" w:pos="9688" w:leader="dot"/>
            </w:tabs>
            <w:rPr/>
          </w:pPr>
          <w:hyperlink w:anchor="__RefHeading___Toc1836_55120580">
            <w:r>
              <w:rPr>
                <w:rStyle w:val="IndexLink"/>
              </w:rPr>
              <w:t>Material in the mounted skeleton</w:t>
              <w:tab/>
              <w:t>17</w:t>
            </w:r>
          </w:hyperlink>
        </w:p>
        <w:p>
          <w:pPr>
            <w:pStyle w:val="TOC2"/>
            <w:tabs>
              <w:tab w:val="clear" w:pos="9355"/>
              <w:tab w:val="right" w:pos="9688" w:leader="dot"/>
            </w:tabs>
            <w:rPr/>
          </w:pPr>
          <w:hyperlink w:anchor="__RefHeading___Toc1838_55120580">
            <w:r>
              <w:rPr>
                <w:rStyle w:val="IndexLink"/>
              </w:rPr>
              <w:t>The original mount at the Carnegie Museum</w:t>
              <w:tab/>
              <w:t>17</w:t>
            </w:r>
          </w:hyperlink>
        </w:p>
        <w:p>
          <w:pPr>
            <w:pStyle w:val="TOC2"/>
            <w:tabs>
              <w:tab w:val="clear" w:pos="9355"/>
              <w:tab w:val="right" w:pos="9688" w:leader="dot"/>
            </w:tabs>
            <w:rPr/>
          </w:pPr>
          <w:hyperlink w:anchor="__RefHeading___Toc3280_55120580">
            <w:r>
              <w:rPr>
                <w:rStyle w:val="IndexLink"/>
              </w:rPr>
              <w:t>Changes made to the mount at the Carnegie Museum</w:t>
              <w:tab/>
              <w:t>23</w:t>
            </w:r>
          </w:hyperlink>
        </w:p>
        <w:p>
          <w:pPr>
            <w:pStyle w:val="TOC3"/>
            <w:tabs>
              <w:tab w:val="clear" w:pos="9072"/>
              <w:tab w:val="right" w:pos="9688" w:leader="dot"/>
            </w:tabs>
            <w:rPr/>
          </w:pPr>
          <w:hyperlink w:anchor="__RefHeading___Toc3738_2834848739">
            <w:r>
              <w:rPr>
                <w:rStyle w:val="IndexLink"/>
              </w:rPr>
              <w:t>Replacement of skull with replica of CM 11161</w:t>
              <w:tab/>
              <w:t>23</w:t>
            </w:r>
          </w:hyperlink>
        </w:p>
        <w:p>
          <w:pPr>
            <w:pStyle w:val="TOC3"/>
            <w:tabs>
              <w:tab w:val="clear" w:pos="9072"/>
              <w:tab w:val="right" w:pos="9688" w:leader="dot"/>
            </w:tabs>
            <w:rPr/>
          </w:pPr>
          <w:hyperlink w:anchor="__RefHeading___Toc16707_802501007">
            <w:r>
              <w:rPr>
                <w:rStyle w:val="IndexLink"/>
              </w:rPr>
              <w:t>Suspension of neck</w:t>
              <w:tab/>
              <w:t>24</w:t>
            </w:r>
          </w:hyperlink>
        </w:p>
        <w:p>
          <w:pPr>
            <w:pStyle w:val="TOC3"/>
            <w:tabs>
              <w:tab w:val="clear" w:pos="9072"/>
              <w:tab w:val="right" w:pos="9688" w:leader="dot"/>
            </w:tabs>
            <w:rPr/>
          </w:pPr>
          <w:hyperlink w:anchor="__RefHeading___Toc3740_2834848739">
            <w:r>
              <w:rPr>
                <w:rStyle w:val="IndexLink"/>
              </w:rPr>
              <w:t>1999 replacement of forefeet with CM 662 replicas</w:t>
              <w:tab/>
              <w:t>24</w:t>
            </w:r>
          </w:hyperlink>
        </w:p>
        <w:p>
          <w:pPr>
            <w:pStyle w:val="TOC3"/>
            <w:tabs>
              <w:tab w:val="clear" w:pos="9072"/>
              <w:tab w:val="right" w:pos="9688" w:leader="dot"/>
            </w:tabs>
            <w:rPr/>
          </w:pPr>
          <w:hyperlink w:anchor="__RefHeading___Toc6555_802501007">
            <w:r>
              <w:rPr>
                <w:rStyle w:val="IndexLink"/>
              </w:rPr>
              <w:t>2007–2008 refurbishment of the dinosaur exhibition</w:t>
              <w:tab/>
              <w:t>24</w:t>
            </w:r>
          </w:hyperlink>
        </w:p>
        <w:p>
          <w:pPr>
            <w:pStyle w:val="TOC3"/>
            <w:tabs>
              <w:tab w:val="clear" w:pos="9072"/>
              <w:tab w:val="right" w:pos="9688" w:leader="dot"/>
            </w:tabs>
            <w:rPr/>
          </w:pPr>
          <w:hyperlink w:anchor="__RefHeading___Toc3742_2834848739">
            <w:r>
              <w:rPr>
                <w:rStyle w:val="IndexLink"/>
              </w:rPr>
              <w:t>Forefeet WDC-FS001A</w:t>
              <w:tab/>
              <w:t>25</w:t>
            </w:r>
          </w:hyperlink>
        </w:p>
        <w:p>
          <w:pPr>
            <w:pStyle w:val="TOC3"/>
            <w:tabs>
              <w:tab w:val="clear" w:pos="9072"/>
              <w:tab w:val="right" w:pos="9688" w:leader="dot"/>
            </w:tabs>
            <w:rPr/>
          </w:pPr>
          <w:hyperlink w:anchor="__RefHeading___Toc3744_2834848739">
            <w:r>
              <w:rPr>
                <w:rStyle w:val="IndexLink"/>
              </w:rPr>
              <w:t>Forelimb elements from BYU material</w:t>
              <w:tab/>
              <w:t>25</w:t>
            </w:r>
          </w:hyperlink>
        </w:p>
        <w:p>
          <w:pPr>
            <w:pStyle w:val="TOC3"/>
            <w:tabs>
              <w:tab w:val="clear" w:pos="9072"/>
              <w:tab w:val="right" w:pos="9688" w:leader="dot"/>
            </w:tabs>
            <w:rPr/>
          </w:pPr>
          <w:hyperlink w:anchor="__RefHeading___Toc3746_2834848739">
            <w:r>
              <w:rPr>
                <w:rStyle w:val="IndexLink"/>
              </w:rPr>
              <w:t>Caudal vertebrae</w:t>
              <w:tab/>
              <w:t>27</w:t>
            </w:r>
          </w:hyperlink>
        </w:p>
        <w:p>
          <w:pPr>
            <w:pStyle w:val="TOC2"/>
            <w:tabs>
              <w:tab w:val="clear" w:pos="9355"/>
              <w:tab w:val="right" w:pos="9688" w:leader="dot"/>
            </w:tabs>
            <w:rPr/>
          </w:pPr>
          <w:hyperlink w:anchor="__RefHeading___Toc3282_55120580">
            <w:r>
              <w:rPr>
                <w:rStyle w:val="IndexLink"/>
              </w:rPr>
              <w:t>The casts made from the Carnegie molds</w:t>
              <w:tab/>
              <w:t>31</w:t>
            </w:r>
          </w:hyperlink>
        </w:p>
        <w:p>
          <w:pPr>
            <w:pStyle w:val="TOC1"/>
            <w:tabs>
              <w:tab w:val="clear" w:pos="9638"/>
              <w:tab w:val="right" w:pos="9688" w:leader="dot"/>
            </w:tabs>
            <w:rPr/>
          </w:pPr>
          <w:hyperlink w:anchor="__RefHeading___Toc3401_68767826">
            <w:r>
              <w:rPr>
                <w:rStyle w:val="IndexLink"/>
              </w:rPr>
              <w:t>Discussion</w:t>
              <w:tab/>
              <w:t>32</w:t>
            </w:r>
          </w:hyperlink>
        </w:p>
        <w:p>
          <w:pPr>
            <w:pStyle w:val="TOC2"/>
            <w:tabs>
              <w:tab w:val="clear" w:pos="9355"/>
              <w:tab w:val="right" w:pos="9688" w:leader="dot"/>
            </w:tabs>
            <w:rPr/>
          </w:pPr>
          <w:hyperlink w:anchor="__RefHeading___Toc3650_2595815751">
            <w:r>
              <w:rPr>
                <w:rStyle w:val="IndexLink"/>
              </w:rPr>
              <w:t xml:space="preserve">The length of the Carnegie </w:t>
            </w:r>
            <w:r>
              <w:rPr>
                <w:rStyle w:val="IndexLink"/>
                <w:i/>
                <w:iCs/>
              </w:rPr>
              <w:t>Diplodocus</w:t>
            </w:r>
            <w:r>
              <w:rPr>
                <w:rStyle w:val="IndexLink"/>
              </w:rPr>
              <w:tab/>
              <w:t>32</w:t>
            </w:r>
          </w:hyperlink>
        </w:p>
        <w:p>
          <w:pPr>
            <w:pStyle w:val="TOC2"/>
            <w:tabs>
              <w:tab w:val="clear" w:pos="9355"/>
              <w:tab w:val="right" w:pos="9688" w:leader="dot"/>
            </w:tabs>
            <w:rPr/>
          </w:pPr>
          <w:hyperlink w:anchor="__RefHeading___Toc3652_2595815751">
            <w:r>
              <w:rPr>
                <w:rStyle w:val="IndexLink"/>
              </w:rPr>
              <w:t>Documenting skeletal mounts</w:t>
              <w:tab/>
              <w:t>35</w:t>
            </w:r>
          </w:hyperlink>
        </w:p>
        <w:p>
          <w:pPr>
            <w:pStyle w:val="TOC1"/>
            <w:tabs>
              <w:tab w:val="clear" w:pos="9638"/>
              <w:tab w:val="right" w:pos="9688" w:leader="dot"/>
            </w:tabs>
            <w:rPr/>
          </w:pPr>
          <w:hyperlink w:anchor="__RefHeading___Toc1833_55120580">
            <w:r>
              <w:rPr>
                <w:rStyle w:val="IndexLink"/>
              </w:rPr>
              <w:t>Acknowledgments</w:t>
              <w:tab/>
              <w:t>36</w:t>
            </w:r>
          </w:hyperlink>
        </w:p>
        <w:p>
          <w:pPr>
            <w:pStyle w:val="TOC1"/>
            <w:tabs>
              <w:tab w:val="clear" w:pos="9638"/>
              <w:tab w:val="right" w:pos="9688" w:leader="dot"/>
            </w:tabs>
            <w:rPr/>
          </w:pPr>
          <w:hyperlink w:anchor="__RefHeading___Toc3405_68767826">
            <w:r>
              <w:rPr>
                <w:rStyle w:val="IndexLink"/>
              </w:rPr>
              <w:t>Literature cited</w:t>
              <w:tab/>
              <w:t>37</w:t>
            </w:r>
          </w:hyperlink>
        </w:p>
        <w:p>
          <w:pPr>
            <w:pStyle w:val="TOC1"/>
            <w:tabs>
              <w:tab w:val="clear" w:pos="9638"/>
              <w:tab w:val="right" w:pos="9688" w:leader="dot"/>
            </w:tabs>
            <w:rPr/>
          </w:pPr>
          <w:hyperlink w:anchor="__RefHeading___Toc4163_3033613513">
            <w:r>
              <w:rPr>
                <w:rStyle w:val="IndexLink"/>
              </w:rPr>
              <w:t>Tables</w:t>
              <w:tab/>
              <w:t>46</w:t>
            </w:r>
          </w:hyperlink>
        </w:p>
        <w:p>
          <w:pPr>
            <w:pStyle w:val="TOC1"/>
            <w:tabs>
              <w:tab w:val="clear" w:pos="9638"/>
              <w:tab w:val="right" w:pos="9688" w:leader="dot"/>
            </w:tabs>
            <w:rPr/>
          </w:pPr>
          <w:hyperlink w:anchor="__RefHeading___Toc3407_68767826">
            <w:r>
              <w:rPr>
                <w:rStyle w:val="IndexLink"/>
              </w:rPr>
              <w:t>Figure Captions</w:t>
              <w:tab/>
              <w:t>50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6).</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 xml:space="preserve">Table 2 summarizes the contributions from different specimens to the Carnegie mount (and subsequent modifications, and the casts). Figure 13 shows graphically the contributions of the different specimens </w:t>
      </w:r>
      <w:r>
        <w:rPr>
          <w:lang w:val="en-US"/>
        </w:rPr>
        <w:t>to the original mounted skeleton</w:t>
      </w:r>
      <w:r>
        <w:rPr>
          <w:lang w:val="en-US"/>
        </w:rPr>
        <w:t>. Figure 14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Literature cited</w:t>
      </w:r>
    </w:p>
    <w:p>
      <w:pPr>
        <w:pStyle w:val="Reference"/>
        <w:rPr>
          <w:lang w:val="en-US"/>
        </w:rPr>
      </w:pPr>
      <w:r>
        <w:rPr>
          <w:lang w:val="en-US"/>
        </w:rPr>
        <w:t xml:space="preserve">Abel, O. 1910. Die Rekonstruktion des </w:t>
      </w:r>
      <w:r>
        <w:rPr>
          <w:i/>
          <w:iCs/>
          <w:lang w:val="en-US"/>
        </w:rPr>
        <w:t>Diplodocus</w:t>
      </w:r>
      <w:r>
        <w:rPr>
          <w:lang w:val="en-US"/>
        </w:rPr>
        <w:t xml:space="preserve">. </w:t>
      </w:r>
      <w:r>
        <w:rPr>
          <w:i/>
          <w:iCs/>
          <w:lang w:val="en-US"/>
        </w:rPr>
        <w:t>Abhandlungen der K.K. Zoologisch-botanischen Gesellschaft in Wien</w:t>
      </w:r>
      <w:r>
        <w:rPr>
          <w:i w:val="false"/>
          <w:iCs w:val="false"/>
          <w:lang w:val="en-US"/>
        </w:rPr>
        <w:t>,</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7">
        <w:r>
          <w:rPr>
            <w:rStyle w:val="Hyperlink"/>
            <w:lang w:val="en-US"/>
          </w:rPr>
          <w:t>https://www.loc.gov/resource/sn83030180/1898-12-11/ed-1/?sp=33&amp;r=-0.061,-0.031,0.196,0.117,0</w:t>
        </w:r>
      </w:hyperlink>
    </w:p>
    <w:p>
      <w:pPr>
        <w:pStyle w:val="Reference"/>
        <w:rPr>
          <w:lang w:val="en-US"/>
        </w:rPr>
      </w:pPr>
      <w:r>
        <w:rPr>
          <w:lang w:val="en-US"/>
        </w:rPr>
        <w:t xml:space="preserve">Anonymous. 1907. A </w:t>
      </w:r>
      <w:r>
        <w:rPr>
          <w:i/>
          <w:iCs/>
          <w:lang w:val="en-US"/>
        </w:rPr>
        <w:t>Diplodocus</w:t>
      </w:r>
      <w:r>
        <w:rPr>
          <w:lang w:val="en-US"/>
        </w:rPr>
        <w:t xml:space="preserve"> for Frankfurt Museum. </w:t>
      </w:r>
      <w:r>
        <w:rPr>
          <w:i/>
          <w:iCs/>
          <w:lang w:val="en-US"/>
        </w:rPr>
        <w:t>American Museum Journal</w:t>
      </w:r>
      <w:r>
        <w:rPr>
          <w:i w:val="false"/>
          <w:iCs w:val="false"/>
          <w:lang w:val="en-US"/>
        </w:rPr>
        <w:t>,</w:t>
      </w:r>
      <w:r>
        <w:rPr>
          <w:lang w:val="en-US"/>
        </w:rPr>
        <w:t xml:space="preserve"> </w:t>
      </w:r>
      <w:r>
        <w:rPr>
          <w:b/>
          <w:bCs/>
          <w:lang w:val="en-US"/>
        </w:rPr>
        <w:t>7</w:t>
      </w:r>
      <w:r>
        <w:rPr>
          <w:lang w:val="en-US"/>
        </w:rPr>
        <w:t xml:space="preserve">:98–100. </w:t>
      </w:r>
      <w:hyperlink r:id="rId8">
        <w:r>
          <w:rPr>
            <w:rStyle w:val="Hyperlink"/>
            <w:lang w:val="en-US"/>
          </w:rPr>
          <w:t>https://digitallibrary.amnh.org/handle/2246/6331</w:t>
        </w:r>
      </w:hyperlink>
    </w:p>
    <w:p>
      <w:pPr>
        <w:pStyle w:val="Reference"/>
        <w:rPr>
          <w:lang w:val="en-US"/>
        </w:rPr>
      </w:pPr>
      <w:r>
        <w:rPr>
          <w:lang w:val="en-US"/>
        </w:rPr>
        <w:t xml:space="preserve">Barrett, P.M., P. Parry, and S.D. Chapman. 2010. </w:t>
      </w:r>
      <w:r>
        <w:rPr>
          <w:i/>
          <w:iCs/>
          <w:lang w:val="en-US"/>
        </w:rPr>
        <w:t>Dippy: The Tale of a Museum Icon</w:t>
      </w:r>
      <w:r>
        <w:rPr>
          <w:lang w:val="en-US"/>
        </w:rPr>
        <w:t>. The Natural History Museum, London, United Kingdom. 48 pages.</w:t>
      </w:r>
    </w:p>
    <w:p>
      <w:pPr>
        <w:pStyle w:val="Reference"/>
        <w:rPr>
          <w:lang w:val="en-US"/>
        </w:rPr>
      </w:pPr>
      <w:r>
        <w:rPr>
          <w:lang w:val="en-US"/>
        </w:rPr>
        <w:t xml:space="preserve">Bedell, M.W., Jr., and D.L. Trexler. 2005. First articulated manus of </w:t>
      </w:r>
      <w:r>
        <w:rPr>
          <w:i/>
          <w:iCs/>
          <w:lang w:val="en-US"/>
        </w:rPr>
        <w:t>Diplodocus carnegii</w:t>
      </w:r>
      <w:r>
        <w:rPr>
          <w:lang w:val="en-US"/>
        </w:rPr>
        <w:t xml:space="preserve">. Pp. 302–320, in </w:t>
      </w:r>
      <w:r>
        <w:rPr>
          <w:i/>
          <w:iCs/>
          <w:lang w:val="en-US"/>
        </w:rPr>
        <w:t>Thunder Lizards: The Sauropodomorph Dinosaurs</w:t>
      </w:r>
      <w:r>
        <w:rPr>
          <w:lang w:val="en-US"/>
        </w:rPr>
        <w:t xml:space="preserve"> (V. Tidwell and K. Carpenter, eds.). Indiana University Press, Bloomington, Indiana. 495 pp.</w:t>
      </w:r>
    </w:p>
    <w:p>
      <w:pPr>
        <w:pStyle w:val="Reference"/>
        <w:rPr>
          <w:lang w:val="en-US"/>
        </w:rPr>
      </w:pPr>
      <w:r>
        <w:rPr>
          <w:lang w:val="en-US"/>
        </w:rPr>
        <w:t xml:space="preserve">Berman, D.S., and J.S. McIntosh. 1994. The recapitation of </w:t>
      </w:r>
      <w:r>
        <w:rPr>
          <w:i/>
          <w:iCs/>
          <w:lang w:val="en-US"/>
        </w:rPr>
        <w:t>Apatosaurus</w:t>
      </w:r>
      <w:r>
        <w:rPr>
          <w:lang w:val="en-US"/>
        </w:rPr>
        <w:t xml:space="preserve">. </w:t>
      </w:r>
      <w:r>
        <w:rPr>
          <w:i/>
          <w:iCs/>
          <w:lang w:val="en-US"/>
        </w:rPr>
        <w:t>Paleontological Society Special Publications</w:t>
      </w:r>
      <w:r>
        <w:rPr>
          <w:i w:val="false"/>
          <w:iCs w:val="false"/>
          <w:lang w:val="en-US"/>
        </w:rPr>
        <w:t>,</w:t>
      </w:r>
      <w:r>
        <w:rPr>
          <w:lang w:val="en-US"/>
        </w:rPr>
        <w:t xml:space="preserve"> </w:t>
      </w:r>
      <w:r>
        <w:rPr>
          <w:b/>
          <w:bCs/>
          <w:lang w:val="en-US"/>
        </w:rPr>
        <w:t>7</w:t>
      </w:r>
      <w:r>
        <w:rPr>
          <w:lang w:val="en-US"/>
        </w:rPr>
        <w:t>:83–98.</w:t>
      </w:r>
    </w:p>
    <w:p>
      <w:pPr>
        <w:pStyle w:val="Reference"/>
        <w:rPr>
          <w:lang w:val="en-US"/>
        </w:rPr>
      </w:pPr>
      <w:r>
        <w:rPr>
          <w:lang w:val="en-US"/>
        </w:rPr>
        <w:t xml:space="preserve">Bonnan, M.F. 2007. Linear and geometric morphometric analysis of long bone scaling patterns in Jurassic neosauropod dinosaurs: their functional and paleobiological implications. </w:t>
      </w:r>
      <w:r>
        <w:rPr>
          <w:i/>
          <w:iCs/>
          <w:lang w:val="en-US"/>
        </w:rPr>
        <w:t>The Anatomical Record</w:t>
      </w:r>
      <w:r>
        <w:rPr>
          <w:i w:val="false"/>
          <w:iCs w:val="false"/>
          <w:lang w:val="en-US"/>
        </w:rPr>
        <w:t>,</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P.D. 2010. The second Jurassic dinosaur rush and the dawn of dinomania. </w:t>
      </w:r>
      <w:r>
        <w:rPr>
          <w:i/>
          <w:iCs/>
          <w:lang w:val="en-US"/>
        </w:rPr>
        <w:t>Endeavour</w:t>
      </w:r>
      <w:r>
        <w:rPr>
          <w:i w:val="false"/>
          <w:iCs w:val="false"/>
          <w:lang w:val="en-US"/>
        </w:rPr>
        <w:t>,</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 1903. Letter to W.J. Holland, 4 August 1903.</w:t>
      </w:r>
    </w:p>
    <w:p>
      <w:pPr>
        <w:pStyle w:val="Reference"/>
        <w:rPr>
          <w:lang w:val="en-US"/>
        </w:rPr>
      </w:pPr>
      <w:bookmarkStart w:id="30"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0"/>
    </w:p>
    <w:p>
      <w:pPr>
        <w:pStyle w:val="Reference"/>
        <w:rPr>
          <w:lang w:val="en-US"/>
        </w:rPr>
      </w:pPr>
      <w:r>
        <w:rPr>
          <w:lang w:val="en-US"/>
        </w:rPr>
        <w:t xml:space="preserve">Carnegie Institute. 1999. </w:t>
      </w:r>
      <w:r>
        <w:rPr>
          <w:i/>
          <w:iCs/>
          <w:lang w:val="en-US"/>
        </w:rPr>
        <w:t>Section of vertebrate paleontology report for April 1–June 30, 1999</w:t>
      </w:r>
      <w:r>
        <w:rPr>
          <w:lang w:val="en-US"/>
        </w:rPr>
        <w:t>.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 2018. Rocky start of Dinosaur National Monument (USA), the world’s first dinosaur geoconservation site. </w:t>
      </w:r>
      <w:r>
        <w:rPr>
          <w:i/>
          <w:iCs/>
          <w:lang w:val="en-US"/>
        </w:rPr>
        <w:t>Geoconservation Research</w:t>
      </w:r>
      <w:r>
        <w:rPr>
          <w:i w:val="false"/>
          <w:iCs w:val="false"/>
          <w:lang w:val="en-US"/>
        </w:rPr>
        <w:t>,</w:t>
      </w:r>
      <w:r>
        <w:rPr>
          <w:lang w:val="en-US"/>
        </w:rPr>
        <w:t xml:space="preserve"> </w:t>
      </w:r>
      <w:r>
        <w:rPr>
          <w:b/>
          <w:bCs/>
          <w:lang w:val="en-US"/>
        </w:rPr>
        <w:t>1(1)</w:t>
      </w:r>
      <w:r>
        <w:rPr>
          <w:lang w:val="en-US"/>
        </w:rPr>
        <w:t>:1–20.</w:t>
      </w:r>
    </w:p>
    <w:p>
      <w:pPr>
        <w:pStyle w:val="Reference"/>
        <w:rPr>
          <w:lang w:val="en-US"/>
        </w:rPr>
      </w:pPr>
      <w:r>
        <w:rPr>
          <w:lang w:val="en-US"/>
        </w:rPr>
        <w:t xml:space="preserve">Coggeshall, A.S. 1951a. How “Dippy” came to Pittsburgh. </w:t>
      </w:r>
      <w:r>
        <w:rPr>
          <w:i/>
          <w:iCs/>
          <w:lang w:val="en-US"/>
        </w:rPr>
        <w:t>Carnegie Magazine</w:t>
      </w:r>
      <w:r>
        <w:rPr>
          <w:i w:val="false"/>
          <w:iCs w:val="false"/>
          <w:lang w:val="en-US"/>
        </w:rPr>
        <w:t>,</w:t>
      </w:r>
      <w:r>
        <w:rPr>
          <w:lang w:val="en-US"/>
        </w:rPr>
        <w:t xml:space="preserve"> </w:t>
      </w:r>
      <w:r>
        <w:rPr>
          <w:b/>
          <w:bCs/>
          <w:lang w:val="en-US"/>
        </w:rPr>
        <w:t>25(7)</w:t>
      </w:r>
      <w:r>
        <w:rPr>
          <w:lang w:val="en-US"/>
        </w:rPr>
        <w:t xml:space="preserve">:238–241. </w:t>
      </w:r>
      <w:hyperlink r:id="rId9">
        <w:r>
          <w:rPr>
            <w:rStyle w:val="Hyperlink"/>
            <w:lang w:val="en-US"/>
          </w:rPr>
          <w:t>https://archive.org/details/sim_carnegie_1951-09_25_7/page/238/mode/2up</w:t>
        </w:r>
      </w:hyperlink>
    </w:p>
    <w:p>
      <w:pPr>
        <w:pStyle w:val="Reference"/>
        <w:rPr>
          <w:lang w:val="en-US"/>
        </w:rPr>
      </w:pPr>
      <w:r>
        <w:rPr>
          <w:lang w:val="en-US"/>
        </w:rPr>
        <w:t xml:space="preserve">Coggeshall, A.S. 1951b. “Dippy” crashes royalty. </w:t>
      </w:r>
      <w:r>
        <w:rPr>
          <w:i/>
          <w:iCs/>
          <w:lang w:val="en-US"/>
        </w:rPr>
        <w:t>Carnegie Magazine</w:t>
      </w:r>
      <w:r>
        <w:rPr>
          <w:i w:val="false"/>
          <w:iCs w:val="false"/>
          <w:lang w:val="en-US"/>
        </w:rPr>
        <w:t>,</w:t>
      </w:r>
      <w:r>
        <w:rPr>
          <w:lang w:val="en-US"/>
        </w:rPr>
        <w:t xml:space="preserve"> </w:t>
      </w:r>
      <w:r>
        <w:rPr>
          <w:b/>
          <w:bCs/>
          <w:lang w:val="en-US"/>
        </w:rPr>
        <w:t>25(8)</w:t>
      </w:r>
      <w:r>
        <w:rPr>
          <w:lang w:val="en-US"/>
        </w:rPr>
        <w:t xml:space="preserve">:276–278. </w:t>
      </w:r>
      <w:hyperlink r:id="rId10">
        <w:r>
          <w:rPr>
            <w:rStyle w:val="FollowedHyperlink"/>
            <w:lang w:val="en-US"/>
          </w:rPr>
          <w:t>https://archive.org/details/sim_carnegie_1951-10_25_8/page/276/mode/2up</w:t>
        </w:r>
      </w:hyperlink>
    </w:p>
    <w:p>
      <w:pPr>
        <w:pStyle w:val="Reference"/>
        <w:rPr>
          <w:lang w:val="en-US"/>
        </w:rPr>
      </w:pPr>
      <w:r>
        <w:rPr>
          <w:lang w:val="en-US"/>
        </w:rPr>
        <w:t xml:space="preserve">Coggeshall, A.S. 1951c. More about “Dippy” and royalty. </w:t>
      </w:r>
      <w:r>
        <w:rPr>
          <w:i/>
          <w:iCs/>
          <w:lang w:val="en-US"/>
        </w:rPr>
        <w:t>Carnegie Magazine</w:t>
      </w:r>
      <w:r>
        <w:rPr>
          <w:i w:val="false"/>
          <w:iCs w:val="false"/>
          <w:lang w:val="en-US"/>
        </w:rPr>
        <w:t>,</w:t>
      </w:r>
      <w:r>
        <w:rPr>
          <w:lang w:val="en-US"/>
        </w:rPr>
        <w:t xml:space="preserve"> </w:t>
      </w:r>
      <w:r>
        <w:rPr>
          <w:b/>
          <w:bCs/>
          <w:lang w:val="en-US"/>
        </w:rPr>
        <w:t>25(9)</w:t>
      </w:r>
      <w:r>
        <w:rPr>
          <w:lang w:val="en-US"/>
        </w:rPr>
        <w:t xml:space="preserve">:312–315. </w:t>
      </w:r>
      <w:hyperlink r:id="rId11">
        <w:r>
          <w:rPr>
            <w:rStyle w:val="Hyperlink"/>
            <w:lang w:val="en-US"/>
          </w:rPr>
          <w:t>https://archive.org/details/sim_carnegie_1951-11_25_9/page/312/mode/2up</w:t>
        </w:r>
      </w:hyperlink>
    </w:p>
    <w:p>
      <w:pPr>
        <w:pStyle w:val="Reference"/>
        <w:rPr>
          <w:lang w:val="en-US"/>
        </w:rPr>
      </w:pPr>
      <w:r>
        <w:rPr>
          <w:lang w:val="en-US"/>
        </w:rPr>
        <w:t xml:space="preserve">Curtice B.D. 1996. </w:t>
      </w:r>
      <w:r>
        <w:rPr>
          <w:i/>
          <w:iCs/>
          <w:lang w:val="en-US"/>
        </w:rPr>
        <w:t>Codex of Diplodocid Caudal Vertebrae from the Dry Mesa Dinosaur Quarry</w:t>
      </w:r>
      <w:r>
        <w:rPr>
          <w:lang w:val="en-US"/>
        </w:rPr>
        <w:t>. Unpublished Master’s Thesis, Department of Geology, Brigham Young University, Provo, Utah.</w:t>
      </w:r>
    </w:p>
    <w:p>
      <w:pPr>
        <w:pStyle w:val="Reference"/>
        <w:rPr>
          <w:lang w:val="en-US"/>
        </w:rPr>
      </w:pPr>
      <w:r>
        <w:rPr>
          <w:lang w:val="en-US"/>
        </w:rPr>
        <w:t xml:space="preserve">Duda, K.M. 1992. Our dinosaurs visit Japan. </w:t>
      </w:r>
      <w:r>
        <w:rPr>
          <w:i/>
          <w:iCs/>
          <w:lang w:val="en-US"/>
        </w:rPr>
        <w:t>Carnegie Magazine</w:t>
      </w:r>
      <w:r>
        <w:rPr>
          <w:i w:val="false"/>
          <w:iCs w:val="false"/>
          <w:lang w:val="en-US"/>
        </w:rPr>
        <w:t>,</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i w:val="false"/>
          <w:iCs w:val="false"/>
          <w:lang w:val="en-US"/>
        </w:rPr>
        <w:t>,</w:t>
      </w:r>
      <w:r>
        <w:rPr>
          <w:lang w:val="en-US"/>
        </w:rPr>
        <w:t xml:space="preserve"> </w:t>
      </w:r>
      <w:r>
        <w:rPr>
          <w:b/>
          <w:bCs/>
          <w:lang w:val="en-US"/>
        </w:rPr>
        <w:t>81</w:t>
      </w:r>
      <w:r>
        <w:rPr>
          <w:lang w:val="en-US"/>
        </w:rPr>
        <w:t>:1–21.</w:t>
      </w:r>
    </w:p>
    <w:p>
      <w:pPr>
        <w:pStyle w:val="Reference"/>
        <w:rPr>
          <w:lang w:val="en-US"/>
        </w:rPr>
      </w:pPr>
      <w:r>
        <w:rPr>
          <w:lang w:val="en-US"/>
        </w:rPr>
        <w:t xml:space="preserve">Gilmore, C.W. 1936. Osteology of </w:t>
      </w:r>
      <w:r>
        <w:rPr>
          <w:i/>
          <w:iCs/>
          <w:lang w:val="en-US"/>
        </w:rPr>
        <w:t>Apatosaurus</w:t>
      </w:r>
      <w:r>
        <w:rPr>
          <w:lang w:val="en-US"/>
        </w:rPr>
        <w:t xml:space="preserve"> with special reference to specimens in the Carnegie Museum. </w:t>
      </w:r>
      <w:r>
        <w:rPr>
          <w:i/>
          <w:iCs/>
          <w:lang w:val="en-US"/>
        </w:rPr>
        <w:t>Memoirs of the Carnegie Museum</w:t>
      </w:r>
      <w:r>
        <w:rPr>
          <w:i w:val="false"/>
          <w:iCs w:val="false"/>
          <w:lang w:val="en-US"/>
        </w:rPr>
        <w:t>,</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i w:val="false"/>
          <w:iCs w:val="false"/>
          <w:lang w:val="en-US"/>
        </w:rPr>
        <w:t>,</w:t>
      </w:r>
      <w:r>
        <w:rPr>
          <w:lang w:val="en-US"/>
        </w:rPr>
        <w:t xml:space="preserve"> </w:t>
      </w:r>
      <w:r>
        <w:rPr>
          <w:b/>
          <w:bCs/>
          <w:lang w:val="en-US"/>
        </w:rPr>
        <w:t>49(5)</w:t>
      </w:r>
      <w:r>
        <w:rPr>
          <w:lang w:val="en-US"/>
        </w:rPr>
        <w:t>:1091–1121.</w:t>
      </w:r>
    </w:p>
    <w:p>
      <w:pPr>
        <w:pStyle w:val="Reference"/>
        <w:rPr>
          <w:lang w:val="en-US"/>
        </w:rPr>
      </w:pPr>
      <w:r>
        <w:rPr>
          <w:lang w:val="en-US"/>
        </w:rPr>
        <w:t xml:space="preserve">Hatcher, J.B.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i w:val="false"/>
          <w:iCs w:val="false"/>
          <w:lang w:val="en-US"/>
        </w:rPr>
        <w:t>,</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J.B. 1903. Additional remarks on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2</w:t>
      </w:r>
      <w:r>
        <w:rPr>
          <w:lang w:val="en-US"/>
        </w:rPr>
        <w:t>:72–75 and plate F.</w:t>
      </w:r>
    </w:p>
    <w:p>
      <w:pPr>
        <w:pStyle w:val="Reference"/>
        <w:rPr>
          <w:lang w:val="en-US"/>
        </w:rPr>
      </w:pPr>
      <w:r>
        <w:rPr>
          <w:lang w:val="en-US"/>
        </w:rPr>
        <w:t>Hatcher, J.B. 1904a. Letter to W.H. Utterback, 4 June 1904.</w:t>
      </w:r>
    </w:p>
    <w:p>
      <w:pPr>
        <w:pStyle w:val="Reference"/>
        <w:rPr>
          <w:lang w:val="en-US"/>
        </w:rPr>
      </w:pPr>
      <w:r>
        <w:rPr>
          <w:lang w:val="en-US"/>
        </w:rPr>
        <w:t>Hatcher, J.B. 1904b. Letter to W.H. Utterback, 14 June 1904.</w:t>
      </w:r>
    </w:p>
    <w:p>
      <w:pPr>
        <w:pStyle w:val="Reference"/>
        <w:rPr>
          <w:lang w:val="en-US"/>
        </w:rPr>
      </w:pPr>
      <w:r>
        <w:rPr>
          <w:lang w:val="en-US"/>
        </w:rPr>
        <w:t xml:space="preserve">Hay, O.P. 1908. On the habits and the pose of the sauropodous dinosaurs, especially of </w:t>
      </w:r>
      <w:r>
        <w:rPr>
          <w:i/>
          <w:iCs/>
          <w:lang w:val="en-US"/>
        </w:rPr>
        <w:t>Diplodocus</w:t>
      </w:r>
      <w:r>
        <w:rPr>
          <w:lang w:val="en-US"/>
        </w:rPr>
        <w:t xml:space="preserve">. </w:t>
      </w:r>
      <w:r>
        <w:rPr>
          <w:i/>
          <w:iCs/>
          <w:lang w:val="en-US"/>
        </w:rPr>
        <w:t>The American Naturalist</w:t>
      </w:r>
      <w:r>
        <w:rPr>
          <w:i w:val="false"/>
          <w:iCs w:val="false"/>
          <w:lang w:val="en-US"/>
        </w:rPr>
        <w:t>,</w:t>
      </w:r>
      <w:r>
        <w:rPr>
          <w:lang w:val="en-US"/>
        </w:rPr>
        <w:t xml:space="preserve"> </w:t>
      </w:r>
      <w:r>
        <w:rPr>
          <w:b/>
          <w:bCs/>
          <w:lang w:val="en-US"/>
        </w:rPr>
        <w:t>42</w:t>
      </w:r>
      <w:r>
        <w:rPr>
          <w:lang w:val="en-US"/>
        </w:rPr>
        <w:t>:672–681.</w:t>
      </w:r>
    </w:p>
    <w:p>
      <w:pPr>
        <w:pStyle w:val="Reference"/>
        <w:rPr>
          <w:lang w:val="en-US"/>
        </w:rPr>
      </w:pPr>
      <w:r>
        <w:rPr>
          <w:lang w:val="en-US"/>
        </w:rPr>
        <w:t xml:space="preserve">Hay, O.P.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i w:val="false"/>
          <w:iCs w:val="false"/>
          <w:lang w:val="en-US"/>
        </w:rPr>
        <w:t>,</w:t>
      </w:r>
      <w:r>
        <w:rPr>
          <w:lang w:val="en-US"/>
        </w:rPr>
        <w:t xml:space="preserve"> </w:t>
      </w:r>
      <w:r>
        <w:rPr>
          <w:b/>
          <w:bCs/>
          <w:lang w:val="en-US"/>
        </w:rPr>
        <w:t>12</w:t>
      </w:r>
      <w:r>
        <w:rPr>
          <w:lang w:val="en-US"/>
        </w:rPr>
        <w:t>:1–25.</w:t>
      </w:r>
    </w:p>
    <w:p>
      <w:pPr>
        <w:pStyle w:val="Reference"/>
        <w:rPr>
          <w:lang w:val="en-US"/>
        </w:rPr>
      </w:pPr>
      <w:r>
        <w:rPr>
          <w:lang w:val="en-US"/>
        </w:rPr>
        <w:t xml:space="preserve">Hay, O.P. 1911. Further observations on the pose of the sauropodous dinosaurs. </w:t>
      </w:r>
      <w:r>
        <w:rPr>
          <w:i/>
          <w:iCs/>
          <w:lang w:val="en-US"/>
        </w:rPr>
        <w:t>The American Naturalist</w:t>
      </w:r>
      <w:r>
        <w:rPr>
          <w:i w:val="false"/>
          <w:iCs w:val="false"/>
          <w:lang w:val="en-US"/>
        </w:rPr>
        <w:t>,</w:t>
      </w:r>
      <w:r>
        <w:rPr>
          <w:lang w:val="en-US"/>
        </w:rPr>
        <w:t xml:space="preserve"> </w:t>
      </w:r>
      <w:r>
        <w:rPr>
          <w:b/>
          <w:bCs/>
          <w:lang w:val="en-US"/>
        </w:rPr>
        <w:t>45</w:t>
      </w:r>
      <w:r>
        <w:rPr>
          <w:lang w:val="en-US"/>
        </w:rPr>
        <w:t>:396–412.</w:t>
      </w:r>
    </w:p>
    <w:p>
      <w:pPr>
        <w:pStyle w:val="Reference"/>
        <w:rPr/>
      </w:pPr>
      <w:r>
        <w:rPr/>
        <w:t xml:space="preserve">Hill, A.P. 1980. Early postmortem damage to the remains of some contemporary east African mammals. pp. 131–152 </w:t>
      </w:r>
      <w:r>
        <w:rPr>
          <w:lang w:val="en-US"/>
        </w:rPr>
        <w:t xml:space="preserve">in </w:t>
      </w:r>
      <w:r>
        <w:rPr>
          <w:i/>
          <w:iCs/>
          <w:lang w:val="en-US"/>
        </w:rPr>
        <w:t>Fossils in the Making: Vertebrate Taphonomy and Paleoecology</w:t>
      </w:r>
      <w:r>
        <w:rPr>
          <w:lang w:val="en-US"/>
        </w:rPr>
        <w:t xml:space="preserve"> (A.K. Behrensmeyer and A.P. Hill, eds.). University of Chicago Press, Chicago, Illinois.</w:t>
      </w:r>
    </w:p>
    <w:p>
      <w:pPr>
        <w:pStyle w:val="Reference"/>
        <w:rPr/>
      </w:pPr>
      <w:r>
        <w:rPr>
          <w:lang w:val="en-US"/>
        </w:rPr>
        <w:t xml:space="preserve">Holland, W.J. 1903. Letter to A. Carnegie, 31 January 1903. </w:t>
      </w:r>
      <w:hyperlink r:id="rId12">
        <w:r>
          <w:rPr>
            <w:rStyle w:val="Hyperlink"/>
            <w:lang w:val="en-US"/>
          </w:rPr>
          <w:t>http://digitalcollections.powerlibrary.org/cdm/compoundobject/collection/acamu-acarc/id/13522/rec/1</w:t>
        </w:r>
      </w:hyperlink>
    </w:p>
    <w:p>
      <w:pPr>
        <w:pStyle w:val="Reference"/>
        <w:rPr>
          <w:lang w:val="en-US"/>
        </w:rPr>
      </w:pPr>
      <w:r>
        <w:rPr>
          <w:lang w:val="en-US"/>
        </w:rPr>
        <w:t>Holland, W.J. 1904a. Letter to E.R. Lankester, 10 June 1904. Reproduced in part in Barrett et al. (2010:24–25).</w:t>
      </w:r>
    </w:p>
    <w:p>
      <w:pPr>
        <w:pStyle w:val="Reference"/>
        <w:rPr>
          <w:lang w:val="en-US"/>
        </w:rPr>
      </w:pPr>
      <w:r>
        <w:rPr>
          <w:lang w:val="en-US"/>
        </w:rPr>
        <w:t>Holland, W.J. 1904b. Letter to A. Carnegie (as “My Dear Lord Rector”), 10 June 1904.</w:t>
      </w:r>
    </w:p>
    <w:p>
      <w:pPr>
        <w:pStyle w:val="Reference"/>
        <w:rPr>
          <w:lang w:val="en-US"/>
        </w:rPr>
      </w:pPr>
      <w:r>
        <w:rPr>
          <w:lang w:val="en-US"/>
        </w:rPr>
        <w:t xml:space="preserve">Holland, W.J.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i w:val="false"/>
          <w:iCs w:val="false"/>
          <w:lang w:val="en-US"/>
        </w:rPr>
        <w:t>,</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i w:val="false"/>
          <w:iCs w:val="false"/>
          <w:lang w:val="en-US"/>
        </w:rPr>
        <w:t>,</w:t>
      </w:r>
      <w:r>
        <w:rPr>
          <w:lang w:val="en-US"/>
        </w:rPr>
        <w:t xml:space="preserve"> </w:t>
      </w:r>
      <w:r>
        <w:rPr>
          <w:b/>
          <w:bCs/>
          <w:lang w:val="en-US"/>
        </w:rPr>
        <w:t>2(6)</w:t>
      </w:r>
      <w:r>
        <w:rPr>
          <w:lang w:val="en-US"/>
        </w:rPr>
        <w:t>:225–278.</w:t>
      </w:r>
    </w:p>
    <w:p>
      <w:pPr>
        <w:pStyle w:val="Reference"/>
        <w:rPr>
          <w:lang w:val="en-US"/>
        </w:rPr>
      </w:pPr>
      <w:r>
        <w:rPr>
          <w:lang w:val="en-US"/>
        </w:rPr>
        <w:t>Holland, W.J. 1907. Letter to A. Brauer, 8 November 1907.</w:t>
      </w:r>
    </w:p>
    <w:p>
      <w:pPr>
        <w:pStyle w:val="Reference"/>
        <w:rPr>
          <w:lang w:val="en-US"/>
        </w:rPr>
      </w:pPr>
      <w:r>
        <w:rPr>
          <w:lang w:val="en-US"/>
        </w:rPr>
        <w:t xml:space="preserve">Holland, W.J.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i w:val="false"/>
          <w:iCs w:val="false"/>
          <w:lang w:val="en-US"/>
        </w:rPr>
        <w:t>,</w:t>
      </w:r>
      <w:r>
        <w:rPr>
          <w:lang w:val="en-US"/>
        </w:rPr>
        <w:t xml:space="preserve"> </w:t>
      </w:r>
      <w:r>
        <w:rPr>
          <w:b/>
          <w:bCs/>
          <w:lang w:val="en-US"/>
        </w:rPr>
        <w:t>44</w:t>
      </w:r>
      <w:r>
        <w:rPr>
          <w:lang w:val="en-US"/>
        </w:rPr>
        <w:t>:259–283.</w:t>
      </w:r>
    </w:p>
    <w:p>
      <w:pPr>
        <w:pStyle w:val="Reference"/>
        <w:rPr>
          <w:lang w:val="en-US"/>
        </w:rPr>
      </w:pPr>
      <w:r>
        <w:rPr>
          <w:lang w:val="en-US"/>
        </w:rPr>
        <w:t>Holland, W.J. 1910b. Letter to A. Carnegie, 5 July 1910. Reproduced in part in Nieuwland (2019:233).</w:t>
      </w:r>
    </w:p>
    <w:p>
      <w:pPr>
        <w:pStyle w:val="Reference"/>
        <w:rPr>
          <w:lang w:val="en-US"/>
        </w:rPr>
      </w:pPr>
      <w:r>
        <w:rPr>
          <w:lang w:val="en-US"/>
        </w:rPr>
        <w:t xml:space="preserve">Holland, W.J. 1910c. Letter to T. Tschernyschew, 3 January 1910. </w:t>
      </w:r>
      <w:hyperlink r:id="rId13">
        <w:r>
          <w:rPr>
            <w:rStyle w:val="FollowedHyperlink"/>
            <w:lang w:val="en-US"/>
          </w:rPr>
          <w:t>https://digitalcollections.library.cmu.edu/node/86801</w:t>
        </w:r>
      </w:hyperlink>
    </w:p>
    <w:p>
      <w:pPr>
        <w:pStyle w:val="Reference"/>
        <w:rPr>
          <w:lang w:val="en-US"/>
        </w:rPr>
      </w:pPr>
      <w:r>
        <w:rPr>
          <w:lang w:val="en-US"/>
        </w:rPr>
        <w:t xml:space="preserve">Holland, W.J. 1910d. Letter to A. Carnegie, 5 July 1910. </w:t>
      </w:r>
      <w:hyperlink r:id="rId14">
        <w:r>
          <w:rPr>
            <w:rStyle w:val="Hyperlink"/>
            <w:lang w:val="en-US"/>
          </w:rPr>
          <w:t>http://digitalcollections.powerlibrary.org/cdm/compoundobject/collection/acamu-acarc/id/14064/rec/1</w:t>
        </w:r>
      </w:hyperlink>
    </w:p>
    <w:p>
      <w:pPr>
        <w:pStyle w:val="Reference"/>
        <w:rPr>
          <w:lang w:val="en-US"/>
        </w:rPr>
      </w:pPr>
      <w:r>
        <w:rPr>
          <w:lang w:val="en-US"/>
        </w:rPr>
        <w:t xml:space="preserve">Holland, W.J. 1911. Letter to A. Carnegie, 22 November 2011. </w:t>
      </w:r>
      <w:hyperlink r:id="rId15">
        <w:r>
          <w:rPr>
            <w:rStyle w:val="Hyperlink"/>
            <w:lang w:val="en-US"/>
          </w:rPr>
          <w:t>https://digitalcollections.library.cmu.edu/node/86474</w:t>
        </w:r>
      </w:hyperlink>
    </w:p>
    <w:p>
      <w:pPr>
        <w:pStyle w:val="Reference"/>
        <w:rPr>
          <w:lang w:val="en-US"/>
        </w:rPr>
      </w:pPr>
      <w:r>
        <w:rPr>
          <w:lang w:val="en-US"/>
        </w:rPr>
        <w:t xml:space="preserve">Holland, W.J. 1913. </w:t>
      </w:r>
      <w:r>
        <w:rPr>
          <w:i/>
          <w:iCs/>
          <w:lang w:val="en-US"/>
        </w:rPr>
        <w:t>To the River Plate and Back. The Narrative of a Scientific Mission to South America, with Observations upon Things Seen and Suggested</w:t>
      </w:r>
      <w:r>
        <w:rPr>
          <w:lang w:val="en-US"/>
        </w:rPr>
        <w:t>. G.P. Putnam’s Sons, New York, New York.</w:t>
      </w:r>
    </w:p>
    <w:p>
      <w:pPr>
        <w:pStyle w:val="Reference"/>
        <w:rPr>
          <w:lang w:val="en-US"/>
        </w:rPr>
      </w:pPr>
      <w:r>
        <w:rPr>
          <w:lang w:val="en-US"/>
        </w:rPr>
        <w:t xml:space="preserve">Holland, W.J. 1924. The skull of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9(3)</w:t>
      </w:r>
      <w:r>
        <w:rPr>
          <w:lang w:val="en-US"/>
        </w:rPr>
        <w:t>:379–403.</w:t>
      </w:r>
    </w:p>
    <w:p>
      <w:pPr>
        <w:pStyle w:val="Reference"/>
        <w:rPr>
          <w:lang w:val="en-US"/>
        </w:rPr>
      </w:pPr>
      <w:r>
        <w:rPr>
          <w:lang w:val="en-US"/>
        </w:rPr>
        <w:t>Holland, W.J. 1928. Letter to L. Carnegie, 23 October 1928.</w:t>
      </w:r>
    </w:p>
    <w:p>
      <w:pPr>
        <w:pStyle w:val="Reference"/>
        <w:rPr>
          <w:lang w:val="en-US"/>
        </w:rPr>
      </w:pPr>
      <w:r>
        <w:rPr>
          <w:lang w:val="en-US"/>
        </w:rPr>
        <w:t xml:space="preserve">Holland, W.J.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i w:val="false"/>
          <w:iCs w:val="false"/>
          <w:lang w:val="en-US"/>
        </w:rPr>
        <w:t>,</w:t>
      </w:r>
      <w:r>
        <w:rPr>
          <w:lang w:val="en-US"/>
        </w:rPr>
        <w:t xml:space="preserve"> </w:t>
      </w:r>
      <w:r>
        <w:rPr>
          <w:b/>
          <w:bCs/>
          <w:lang w:val="en-US"/>
        </w:rPr>
        <w:t>4</w:t>
      </w:r>
      <w:r>
        <w:rPr>
          <w:lang w:val="en-US"/>
        </w:rPr>
        <w:t>:83–86.</w:t>
      </w:r>
    </w:p>
    <w:p>
      <w:pPr>
        <w:pStyle w:val="Reference"/>
        <w:rPr>
          <w:lang w:val="en-US"/>
        </w:rPr>
      </w:pPr>
      <w:r>
        <w:rPr>
          <w:lang w:val="en-US"/>
        </w:rPr>
        <w:t xml:space="preserve">Hopey, D., and T.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 2005. Dino’s last dance. </w:t>
      </w:r>
      <w:r>
        <w:rPr>
          <w:i/>
          <w:iCs/>
          <w:lang w:val="en-US"/>
        </w:rPr>
        <w:t>Pittsburgh Tribune-Review</w:t>
      </w:r>
      <w:r>
        <w:rPr>
          <w:lang w:val="en-US"/>
        </w:rPr>
        <w:t>, 14 March 2005.</w:t>
      </w:r>
    </w:p>
    <w:p>
      <w:pPr>
        <w:pStyle w:val="Reference"/>
        <w:rPr>
          <w:lang w:val="en-US"/>
        </w:rPr>
      </w:pPr>
      <w:r>
        <w:rPr>
          <w:lang w:val="en-US"/>
        </w:rPr>
        <w:t xml:space="preserve">Janensch, W.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val="false"/>
          <w:bCs w:val="false"/>
          <w:lang w:val="en-US"/>
        </w:rPr>
        <w:t>Sunday 27 Nov 1898</w:t>
      </w:r>
      <w:r>
        <w:rPr>
          <w:lang w:val="en-US"/>
        </w:rPr>
        <w:t xml:space="preserve">:38. </w:t>
      </w:r>
      <w:hyperlink r:id="rId16">
        <w:r>
          <w:rPr>
            <w:rStyle w:val="Hyperlink"/>
            <w:lang w:val="en-US"/>
          </w:rPr>
          <w:t>https://www.newspapers.com/article/st-louis-globe-democrat-wyoming-dinosau/146581997/</w:t>
        </w:r>
      </w:hyperlink>
    </w:p>
    <w:p>
      <w:pPr>
        <w:pStyle w:val="Reference"/>
        <w:rPr>
          <w:lang w:val="en-US"/>
        </w:rPr>
      </w:pPr>
      <w:r>
        <w:rPr>
          <w:lang w:val="en-US"/>
        </w:rPr>
        <w:t xml:space="preserve">Krishtalka, L. 1988. Body double: duplicating dinosaurs. </w:t>
      </w:r>
      <w:r>
        <w:rPr>
          <w:i/>
          <w:iCs/>
          <w:lang w:val="en-US"/>
        </w:rPr>
        <w:t>Carnegie Magazine</w:t>
      </w:r>
      <w:r>
        <w:rPr>
          <w:i w:val="false"/>
          <w:iCs w:val="false"/>
          <w:lang w:val="en-US"/>
        </w:rPr>
        <w:t>,</w:t>
      </w:r>
      <w:r>
        <w:rPr>
          <w:lang w:val="en-US"/>
        </w:rPr>
        <w:t xml:space="preserve"> </w:t>
      </w:r>
      <w:r>
        <w:rPr>
          <w:b/>
          <w:bCs/>
          <w:lang w:val="en-US"/>
        </w:rPr>
        <w:t>59(4)</w:t>
      </w:r>
      <w:r>
        <w:rPr>
          <w:lang w:val="en-US"/>
        </w:rPr>
        <w:t>:12–20.</w:t>
      </w:r>
    </w:p>
    <w:p>
      <w:pPr>
        <w:pStyle w:val="Reference"/>
        <w:rPr>
          <w:lang w:val="en-US"/>
        </w:rPr>
      </w:pPr>
      <w:r>
        <w:rPr>
          <w:lang w:val="en-US"/>
        </w:rPr>
        <w:t xml:space="preserve">Lindsay, W.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 2003. </w:t>
      </w:r>
      <w:r>
        <w:rPr>
          <w:i/>
          <w:iCs/>
          <w:lang w:val="en-US"/>
        </w:rPr>
        <w:t>African Dinosaurs Unearthed: The Tendaguru Expeditions</w:t>
      </w:r>
      <w:r>
        <w:rPr>
          <w:lang w:val="en-US"/>
        </w:rPr>
        <w:t>. Indiana University Press, Bloomington and Indianapolis, Indiana. 380 pages.</w:t>
      </w:r>
    </w:p>
    <w:p>
      <w:pPr>
        <w:pStyle w:val="Reference"/>
        <w:rPr>
          <w:lang w:val="en-US"/>
        </w:rPr>
      </w:pPr>
      <w:r>
        <w:rPr>
          <w:lang w:val="en-US"/>
        </w:rPr>
        <w:t xml:space="preserve">Marsh, O.C.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W.D. 1905. The mounted skeleton of </w:t>
      </w:r>
      <w:r>
        <w:rPr>
          <w:i/>
          <w:iCs/>
          <w:lang w:val="en-US"/>
        </w:rPr>
        <w:t>Brontosaurus</w:t>
      </w:r>
      <w:r>
        <w:rPr>
          <w:lang w:val="en-US"/>
        </w:rPr>
        <w:t xml:space="preserve">. </w:t>
      </w:r>
      <w:r>
        <w:rPr>
          <w:i/>
          <w:iCs/>
          <w:lang w:val="en-US"/>
        </w:rPr>
        <w:t>American Museum Journal</w:t>
      </w:r>
      <w:r>
        <w:rPr>
          <w:i w:val="false"/>
          <w:iCs w:val="false"/>
          <w:lang w:val="en-US"/>
        </w:rPr>
        <w:t>,</w:t>
      </w:r>
      <w:r>
        <w:rPr>
          <w:lang w:val="en-US"/>
        </w:rPr>
        <w:t xml:space="preserve"> </w:t>
      </w:r>
      <w:r>
        <w:rPr>
          <w:b/>
          <w:bCs/>
          <w:lang w:val="en-US"/>
        </w:rPr>
        <w:t>5</w:t>
      </w:r>
      <w:r>
        <w:rPr>
          <w:lang w:val="en-US"/>
        </w:rPr>
        <w:t>:62–70.</w:t>
      </w:r>
    </w:p>
    <w:p>
      <w:pPr>
        <w:pStyle w:val="Reference"/>
        <w:rPr>
          <w:lang w:val="en-US"/>
        </w:rPr>
      </w:pPr>
      <w:r>
        <w:rPr>
          <w:lang w:val="en-US"/>
        </w:rPr>
        <w:t xml:space="preserve">Matthew, W.D. 1910. The pose of sauropodous dinosaurs. </w:t>
      </w:r>
      <w:r>
        <w:rPr>
          <w:i/>
          <w:iCs/>
          <w:lang w:val="en-US"/>
        </w:rPr>
        <w:t>The American Naturalist</w:t>
      </w:r>
      <w:r>
        <w:rPr>
          <w:i w:val="false"/>
          <w:iCs w:val="false"/>
          <w:lang w:val="en-US"/>
        </w:rPr>
        <w:t>,</w:t>
      </w:r>
      <w:r>
        <w:rPr>
          <w:lang w:val="en-US"/>
        </w:rPr>
        <w:t xml:space="preserve"> </w:t>
      </w:r>
      <w:r>
        <w:rPr>
          <w:b/>
          <w:bCs/>
          <w:lang w:val="en-US"/>
        </w:rPr>
        <w:t>44(525)</w:t>
      </w:r>
      <w:r>
        <w:rPr>
          <w:lang w:val="en-US"/>
        </w:rPr>
        <w:t>:547–560.</w:t>
      </w:r>
    </w:p>
    <w:p>
      <w:pPr>
        <w:pStyle w:val="Reference"/>
        <w:rPr>
          <w:lang w:val="en-US"/>
        </w:rPr>
      </w:pPr>
      <w:r>
        <w:rPr>
          <w:lang w:val="en-US"/>
        </w:rPr>
        <w:t xml:space="preserve">McIntosh, J.S. 1981. Annotated catalogue of the dinosaurs (Reptilia, Archosauria) in the collections of Carnegie Museum of Natural History. </w:t>
      </w:r>
      <w:r>
        <w:rPr>
          <w:i/>
          <w:iCs/>
          <w:lang w:val="en-US"/>
        </w:rPr>
        <w:t>Bulletin of the Carnegie Museum</w:t>
      </w:r>
      <w:r>
        <w:rPr>
          <w:i w:val="false"/>
          <w:iCs w:val="false"/>
          <w:lang w:val="en-US"/>
        </w:rPr>
        <w:t>,</w:t>
      </w:r>
      <w:r>
        <w:rPr>
          <w:lang w:val="en-US"/>
        </w:rPr>
        <w:t xml:space="preserve"> </w:t>
      </w:r>
      <w:r>
        <w:rPr>
          <w:b/>
          <w:bCs/>
          <w:lang w:val="en-US"/>
        </w:rPr>
        <w:t>18</w:t>
      </w:r>
      <w:r>
        <w:rPr>
          <w:lang w:val="en-US"/>
        </w:rPr>
        <w:t>:1–67.</w:t>
      </w:r>
    </w:p>
    <w:p>
      <w:pPr>
        <w:pStyle w:val="Reference"/>
        <w:rPr>
          <w:lang w:val="en-US"/>
        </w:rPr>
      </w:pPr>
      <w:r>
        <w:rPr>
          <w:lang w:val="en-US"/>
        </w:rPr>
        <w:t xml:space="preserve">McIntosh, J.S. 2005a. The genus </w:t>
      </w:r>
      <w:r>
        <w:rPr>
          <w:i/>
          <w:iCs/>
          <w:lang w:val="en-US"/>
        </w:rPr>
        <w:t>Barosaurus</w:t>
      </w:r>
      <w:r>
        <w:rPr>
          <w:lang w:val="en-US"/>
        </w:rPr>
        <w:t xml:space="preserve"> Marsh (Sauropoda, Diplodocidae). Pp. 38–77 in </w:t>
      </w:r>
      <w:r>
        <w:rPr>
          <w:i/>
          <w:iCs/>
          <w:lang w:val="en-US"/>
        </w:rPr>
        <w:t>Thunder Lizards: The Sauropodomorph Dinosaurs</w:t>
      </w:r>
      <w:r>
        <w:rPr>
          <w:lang w:val="en-US"/>
        </w:rPr>
        <w:t xml:space="preserve"> (Virginia Tidwell and Ken Carpenter, eds.). Indiana University Press, Bloomington, Indiana. 495 pp.</w:t>
      </w:r>
    </w:p>
    <w:p>
      <w:pPr>
        <w:pStyle w:val="Reference"/>
        <w:rPr>
          <w:lang w:val="en-US"/>
        </w:rPr>
      </w:pPr>
      <w:r>
        <w:rPr>
          <w:lang w:val="en-US"/>
        </w:rPr>
        <w:t xml:space="preserve">McIntosh, J.S. 2005b. </w:t>
      </w:r>
      <w:r>
        <w:rPr>
          <w:i/>
          <w:iCs/>
          <w:lang w:val="en-US"/>
        </w:rPr>
        <w:t>Diplodocus</w:t>
      </w:r>
      <w:r>
        <w:rPr>
          <w:lang w:val="en-US"/>
        </w:rPr>
        <w:t xml:space="preserve"> tail (email to M.C. Lamanna, 14 July 2005).</w:t>
      </w:r>
    </w:p>
    <w:p>
      <w:pPr>
        <w:pStyle w:val="Reference"/>
        <w:rPr>
          <w:lang w:val="en-US"/>
        </w:rPr>
      </w:pPr>
      <w:r>
        <w:rPr>
          <w:lang w:val="en-US"/>
        </w:rPr>
        <w:t xml:space="preserve">McIntosh, J.S, and M.E.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i w:val="false"/>
          <w:iCs w:val="false"/>
          <w:lang w:val="en-US"/>
        </w:rPr>
        <w:t>,</w:t>
      </w:r>
      <w:r>
        <w:rPr>
          <w:lang w:val="en-US"/>
        </w:rPr>
        <w:t xml:space="preserve"> </w:t>
      </w:r>
      <w:r>
        <w:rPr>
          <w:b/>
          <w:bCs/>
          <w:lang w:val="en-US"/>
        </w:rPr>
        <w:t>43</w:t>
      </w:r>
      <w:r>
        <w:rPr>
          <w:lang w:val="en-US"/>
        </w:rPr>
        <w:t>:3–26.</w:t>
      </w:r>
    </w:p>
    <w:p>
      <w:pPr>
        <w:pStyle w:val="Reference"/>
        <w:rPr>
          <w:lang w:val="en-US"/>
        </w:rPr>
      </w:pPr>
      <w:r>
        <w:rPr>
          <w:lang w:val="en-US"/>
        </w:rPr>
        <w:t xml:space="preserve">McNulty, T.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C.C. 1917. The fore and hind limbs of </w:t>
      </w:r>
      <w:r>
        <w:rPr>
          <w:i/>
          <w:iCs/>
          <w:lang w:val="en-US"/>
        </w:rPr>
        <w:t>Diplodocus</w:t>
      </w:r>
      <w:r>
        <w:rPr>
          <w:lang w:val="en-US"/>
        </w:rPr>
        <w:t xml:space="preserve">. </w:t>
      </w:r>
      <w:r>
        <w:rPr>
          <w:i/>
          <w:iCs/>
          <w:lang w:val="en-US"/>
        </w:rPr>
        <w:t>Bulletin of the American Museum of Natural History</w:t>
      </w:r>
      <w:r>
        <w:rPr>
          <w:i w:val="false"/>
          <w:iCs w:val="false"/>
          <w:lang w:val="en-US"/>
        </w:rPr>
        <w:t>,</w:t>
      </w:r>
      <w:r>
        <w:rPr>
          <w:lang w:val="en-US"/>
        </w:rPr>
        <w:t xml:space="preserve"> </w:t>
      </w:r>
      <w:r>
        <w:rPr>
          <w:b/>
          <w:bCs/>
          <w:lang w:val="en-US"/>
        </w:rPr>
        <w:t>37</w:t>
      </w:r>
      <w:r>
        <w:rPr>
          <w:lang w:val="en-US"/>
        </w:rPr>
        <w:t>:815–819.</w:t>
      </w:r>
    </w:p>
    <w:p>
      <w:pPr>
        <w:pStyle w:val="Reference"/>
        <w:rPr>
          <w:lang w:val="en-US"/>
        </w:rPr>
      </w:pPr>
      <w:r>
        <w:rPr>
          <w:lang w:val="en-US"/>
        </w:rPr>
        <w:t xml:space="preserve">Nieuwland, I. 2019. </w:t>
      </w:r>
      <w:r>
        <w:rPr>
          <w:i/>
          <w:iCs/>
          <w:lang w:val="en-US"/>
        </w:rPr>
        <w:t xml:space="preserve">American Dinosaur Abroad: A Cultural History of Carnegie’s Plaster </w:t>
      </w:r>
      <w:r>
        <w:rPr>
          <w:lang w:val="en-US"/>
        </w:rPr>
        <w:t>Diplodocus. University of Pittsburgh Press, Pittsburgh, Pennsylvania. ISBN: 978-0822945574. doi:10.2307/j.ctvh4zh5n</w:t>
      </w:r>
    </w:p>
    <w:p>
      <w:pPr>
        <w:pStyle w:val="Reference"/>
        <w:rPr>
          <w:lang w:val="en-US"/>
        </w:rPr>
      </w:pPr>
      <w:r>
        <w:rPr>
          <w:lang w:val="en-US"/>
        </w:rPr>
        <w:t xml:space="preserve">Nopcsa, F.,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i w:val="false"/>
          <w:iCs w:val="false"/>
          <w:lang w:val="en-US"/>
        </w:rPr>
        <w:t>,</w:t>
      </w:r>
      <w:r>
        <w:rPr>
          <w:lang w:val="en-US"/>
        </w:rPr>
        <w:t xml:space="preserve"> </w:t>
      </w:r>
      <w:r>
        <w:rPr>
          <w:b/>
          <w:bCs/>
          <w:lang w:val="en-US"/>
        </w:rPr>
        <w:t>XIX (II, part I)</w:t>
      </w:r>
      <w:r>
        <w:rPr>
          <w:lang w:val="en-US"/>
        </w:rPr>
        <w:t>:289–294.</w:t>
      </w:r>
    </w:p>
    <w:p>
      <w:pPr>
        <w:pStyle w:val="Reference"/>
        <w:rPr>
          <w:lang w:val="en-US"/>
        </w:rPr>
      </w:pPr>
      <w:r>
        <w:rPr>
          <w:lang w:val="en-US"/>
        </w:rPr>
        <w:t xml:space="preserve">Norman, D.B.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H.F. 1899. A skeleton of </w:t>
      </w:r>
      <w:r>
        <w:rPr>
          <w:i/>
          <w:iCs/>
          <w:lang w:val="en-US"/>
        </w:rPr>
        <w:t>Diplodocus</w:t>
      </w:r>
      <w:r>
        <w:rPr>
          <w:lang w:val="en-US"/>
        </w:rPr>
        <w:t xml:space="preserve">. </w:t>
      </w:r>
      <w:r>
        <w:rPr>
          <w:i/>
          <w:iCs/>
          <w:lang w:val="en-US"/>
        </w:rPr>
        <w:t>Memoirs of the American Museum of Natural History</w:t>
      </w:r>
      <w:r>
        <w:rPr>
          <w:i w:val="false"/>
          <w:iCs w:val="false"/>
          <w:lang w:val="en-US"/>
        </w:rPr>
        <w:t>,</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H.F. 1904. Manus, sacrum, and caudals of Sauropoda. </w:t>
      </w:r>
      <w:r>
        <w:rPr>
          <w:i/>
          <w:iCs/>
          <w:lang w:val="en-US"/>
        </w:rPr>
        <w:t>Bulletin of the American Museum of Natural History</w:t>
      </w:r>
      <w:r>
        <w:rPr>
          <w:i w:val="false"/>
          <w:iCs w:val="false"/>
          <w:lang w:val="en-US"/>
        </w:rPr>
        <w:t>,</w:t>
      </w:r>
      <w:r>
        <w:rPr>
          <w:lang w:val="en-US"/>
        </w:rPr>
        <w:t xml:space="preserve"> </w:t>
      </w:r>
      <w:r>
        <w:rPr>
          <w:b/>
          <w:bCs/>
          <w:lang w:val="en-US"/>
        </w:rPr>
        <w:t>20</w:t>
      </w:r>
      <w:r>
        <w:rPr>
          <w:lang w:val="en-US"/>
        </w:rPr>
        <w:t>:181–190.</w:t>
      </w:r>
    </w:p>
    <w:p>
      <w:pPr>
        <w:pStyle w:val="Reference"/>
        <w:rPr>
          <w:lang w:val="en-US"/>
        </w:rPr>
      </w:pPr>
      <w:r>
        <w:rPr>
          <w:lang w:val="en-US"/>
        </w:rPr>
        <w:t xml:space="preserve">Osborn, H.F., and C.C.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 and Z.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i w:val="false"/>
          <w:iCs w:val="false"/>
          <w:lang w:val="en-US"/>
        </w:rPr>
        <w:t>,</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i w:val="false"/>
          <w:iCs w:val="false"/>
          <w:kern w:val="0"/>
          <w:lang w:val="en-US" w:bidi="ar-SA"/>
        </w:rPr>
        <w:t>,</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 and B.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i w:val="false"/>
          <w:iCs w:val="false"/>
          <w:kern w:val="0"/>
          <w:lang w:val="en-US" w:bidi="ar-SA"/>
        </w:rPr>
        <w:t>,</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 2001. </w:t>
      </w:r>
      <w:r>
        <w:rPr>
          <w:i/>
          <w:iCs/>
          <w:lang w:val="en-US"/>
        </w:rPr>
        <w:t>Bone Wars. The Excavation and Celebrity of Andrew Carnegie’s Dinosaur</w:t>
      </w:r>
      <w:r>
        <w:rPr>
          <w:lang w:val="en-US"/>
        </w:rPr>
        <w:t>. University of Pittsburgh Press, Pittsburgh, Pennsylvania.</w:t>
      </w:r>
    </w:p>
    <w:p>
      <w:pPr>
        <w:pStyle w:val="Reference"/>
        <w:rPr>
          <w:lang w:val="en-US"/>
        </w:rPr>
      </w:pPr>
      <w:r>
        <w:rPr>
          <w:lang w:val="en-US"/>
        </w:rPr>
        <w:t xml:space="preserve">Remes, K., D.M. Unwin, N. Klein, W.-D. Heinrich, and O. Hampe. 2011. Skeletal reconstruction of </w:t>
      </w:r>
      <w:r>
        <w:rPr>
          <w:i/>
          <w:iCs/>
          <w:lang w:val="en-US"/>
        </w:rPr>
        <w:t>Brachiosaurus brancai</w:t>
      </w:r>
      <w:r>
        <w:rPr>
          <w:lang w:val="en-US"/>
        </w:rPr>
        <w:t xml:space="preserve"> in the Museum für Naturkunde, Berlin: summarizing 70 years of sauropod research. Pp. 305–316 in </w:t>
      </w:r>
      <w:r>
        <w:rPr>
          <w:i/>
          <w:iCs/>
          <w:lang w:val="en-US"/>
        </w:rPr>
        <w:t>Biology of the Sauropod Dinosaurs: Understanding the Life of Giants</w:t>
      </w:r>
      <w:r>
        <w:rPr>
          <w:lang w:val="en-US"/>
        </w:rPr>
        <w:t xml:space="preserve"> (N. Klein, K. Remes, C.T. Gee, and M.P. Sander, eds.), Indiana University Press, Bloomington, Indiana.</w:t>
      </w:r>
    </w:p>
    <w:p>
      <w:pPr>
        <w:pStyle w:val="Reference"/>
        <w:rPr/>
      </w:pPr>
      <w:r>
        <w:rPr>
          <w:lang w:val="en-US"/>
        </w:rPr>
        <w:t xml:space="preserve">Ridley, J. 2013. </w:t>
      </w:r>
      <w:r>
        <w:rPr>
          <w:i/>
          <w:iCs/>
          <w:lang w:val="en-US"/>
        </w:rPr>
        <w:t>The Heir Apparent: A Life of Edward VII, the Playboy Prince</w:t>
      </w:r>
      <w:r>
        <w:rPr>
          <w:lang w:val="en-US"/>
        </w:rPr>
        <w:t>. Random House, New York, New York.</w:t>
      </w:r>
    </w:p>
    <w:p>
      <w:pPr>
        <w:pStyle w:val="Reference"/>
        <w:rPr/>
      </w:pPr>
      <w:r>
        <w:rPr/>
        <w:t xml:space="preserve">Rieppel, L. 2019. </w:t>
      </w:r>
      <w:r>
        <w:rPr>
          <w:i/>
          <w:iCs/>
        </w:rPr>
        <w:t>Assembling the Dinosaur: Fossil Hunters, Tycoons and the Making of a Spectacle</w:t>
      </w:r>
      <w:r>
        <w:rPr/>
        <w:t>. Harvard University Press, Cambridge, Massachusetts.</w:t>
      </w:r>
    </w:p>
    <w:p>
      <w:pPr>
        <w:pStyle w:val="Reference"/>
        <w:rPr>
          <w:lang w:val="en-US"/>
        </w:rPr>
      </w:pPr>
      <w:r>
        <w:rPr>
          <w:lang w:val="en-US"/>
        </w:rPr>
        <w:t xml:space="preserve">Roddy, D.B.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 2012. 1860–2010: 150 years of the Capellini Museum (University of Bologna), the most ancient Italian geo-paleontological museum. </w:t>
      </w:r>
      <w:r>
        <w:rPr>
          <w:i/>
          <w:iCs/>
          <w:lang w:val="en-US"/>
        </w:rPr>
        <w:t>GeoActa</w:t>
      </w:r>
      <w:r>
        <w:rPr>
          <w:i w:val="false"/>
          <w:iCs w:val="false"/>
          <w:lang w:val="en-US"/>
        </w:rPr>
        <w:t>,</w:t>
      </w:r>
      <w:r>
        <w:rPr>
          <w:lang w:val="en-US"/>
        </w:rPr>
        <w:t xml:space="preserve"> </w:t>
      </w:r>
      <w:r>
        <w:rPr>
          <w:b/>
          <w:bCs/>
          <w:lang w:val="en-US"/>
        </w:rPr>
        <w:t>11</w:t>
      </w:r>
      <w:r>
        <w:rPr>
          <w:lang w:val="en-US"/>
        </w:rPr>
        <w:t>:1–26.</w:t>
      </w:r>
    </w:p>
    <w:p>
      <w:pPr>
        <w:pStyle w:val="Reference"/>
        <w:rPr>
          <w:lang w:val="en-US"/>
        </w:rPr>
      </w:pPr>
      <w:r>
        <w:rPr>
          <w:lang w:val="en-US"/>
        </w:rPr>
        <w:t>Scheetz, R. 2006. Cactus Park Diplo (email to M.C. Lamanna, 18 January 2006).</w:t>
      </w:r>
    </w:p>
    <w:p>
      <w:pPr>
        <w:pStyle w:val="Reference"/>
        <w:rPr/>
      </w:pPr>
      <w:r>
        <w:rPr>
          <w:lang w:val="en-US" w:bidi="ar-SA"/>
        </w:rPr>
        <w:t xml:space="preserve">Schuchert, C. and LeVene, C.M. 1940. </w:t>
      </w:r>
      <w:r>
        <w:rPr>
          <w:i/>
          <w:iCs/>
          <w:lang w:val="en-US" w:bidi="ar-SA"/>
        </w:rPr>
        <w:t>O. C. Marsh, Pioneer in Paleontology</w:t>
      </w:r>
      <w:r>
        <w:rPr>
          <w:lang w:val="en-US" w:bidi="ar-SA"/>
        </w:rPr>
        <w:t>. Yale University Press, New Haven, Connecticut. 541 pp.</w:t>
      </w:r>
    </w:p>
    <w:p>
      <w:pPr>
        <w:pStyle w:val="Reference"/>
        <w:rPr/>
      </w:pPr>
      <w:r>
        <w:rPr/>
        <w:t xml:space="preserve">Semonin, P. 1997. Empire and extinction: the dinosaur as a metaphor for dominance in prehistoric nature. </w:t>
      </w:r>
      <w:r>
        <w:rPr>
          <w:i/>
          <w:iCs/>
        </w:rPr>
        <w:t>Leonardo</w:t>
      </w:r>
      <w:r>
        <w:rPr>
          <w:i w:val="false"/>
          <w:iCs w:val="false"/>
        </w:rPr>
        <w:t>,</w:t>
      </w:r>
      <w:r>
        <w:rPr/>
        <w:t xml:space="preserve"> </w:t>
      </w:r>
      <w:r>
        <w:rPr>
          <w:b/>
          <w:bCs/>
        </w:rPr>
        <w:t>30</w:t>
      </w:r>
      <w:r>
        <w:rPr/>
        <w:t>:171–82.</w:t>
      </w:r>
    </w:p>
    <w:p>
      <w:pPr>
        <w:pStyle w:val="Reference"/>
        <w:rPr/>
      </w:pPr>
      <w:r>
        <w:rPr/>
        <w:t xml:space="preserve">Seneff, J.F. 1947. Fossils are his business. </w:t>
      </w:r>
      <w:r>
        <w:rPr>
          <w:i/>
          <w:iCs/>
        </w:rPr>
        <w:t>Carnegie Magazine</w:t>
      </w:r>
      <w:r>
        <w:rPr>
          <w:i w:val="false"/>
          <w:iCs w:val="false"/>
        </w:rPr>
        <w:t>,</w:t>
      </w:r>
      <w:r>
        <w:rPr/>
        <w:t xml:space="preserve"> </w:t>
      </w:r>
      <w:r>
        <w:rPr>
          <w:b/>
          <w:bCs/>
        </w:rPr>
        <w:t>21(4)</w:t>
      </w:r>
      <w:r>
        <w:rPr/>
        <w:t>:117–119.</w:t>
      </w:r>
    </w:p>
    <w:p>
      <w:pPr>
        <w:pStyle w:val="Reference"/>
        <w:rPr/>
      </w:pPr>
      <w:r>
        <w:rPr/>
        <w:t xml:space="preserve">Siemers, E. 2007. Dinosaur Hall’s evolution mapped. </w:t>
      </w:r>
      <w:r>
        <w:rPr>
          <w:i/>
          <w:iCs/>
        </w:rPr>
        <w:t>Pittsburgh Tribune-Review</w:t>
      </w:r>
      <w:r>
        <w:rPr/>
        <w:t>, 12 April 2002.</w:t>
      </w:r>
    </w:p>
    <w:p>
      <w:pPr>
        <w:pStyle w:val="Reference"/>
        <w:rPr>
          <w:lang w:val="en-US"/>
        </w:rPr>
      </w:pPr>
      <w:r>
        <w:rPr>
          <w:lang w:val="en-US"/>
        </w:rPr>
        <w:t xml:space="preserve">Taylor, M.P. 2022a. </w:t>
      </w:r>
      <w:r>
        <w:rPr>
          <w:i w:val="false"/>
          <w:iCs w:val="false"/>
          <w:lang w:val="en-US"/>
        </w:rPr>
        <w:t>Almost all known sauropod necks are incomplete and distorted</w:t>
      </w:r>
      <w:r>
        <w:rPr>
          <w:lang w:val="en-US"/>
        </w:rPr>
        <w:t xml:space="preserve">. </w:t>
      </w:r>
      <w:r>
        <w:rPr>
          <w:i/>
          <w:iCs/>
          <w:lang w:val="en-US"/>
        </w:rPr>
        <w:t>PeerJ</w:t>
      </w:r>
      <w:r>
        <w:rPr>
          <w:i w:val="false"/>
          <w:iCs w:val="false"/>
          <w:lang w:val="en-US"/>
        </w:rPr>
        <w:t>,</w:t>
      </w:r>
      <w:r>
        <w:rPr>
          <w:lang w:val="en-US"/>
        </w:rPr>
        <w:t xml:space="preserve"> </w:t>
      </w:r>
      <w:r>
        <w:rPr>
          <w:b/>
          <w:bCs/>
          <w:lang w:val="en-US"/>
        </w:rPr>
        <w:t>10</w:t>
      </w:r>
      <w:r>
        <w:rPr>
          <w:lang w:val="en-US"/>
        </w:rPr>
        <w:t xml:space="preserve">:e12810. </w:t>
      </w:r>
      <w:hyperlink r:id="rId17">
        <w:r>
          <w:rPr>
            <w:rStyle w:val="Hyperlink"/>
            <w:lang w:val="en-US"/>
          </w:rPr>
          <w:t>doi:10.7717/peerj.12810</w:t>
        </w:r>
      </w:hyperlink>
    </w:p>
    <w:p>
      <w:pPr>
        <w:pStyle w:val="Reference"/>
        <w:rPr>
          <w:lang w:val="en-US"/>
        </w:rPr>
      </w:pPr>
      <w:r>
        <w:rPr>
          <w:lang w:val="en-US"/>
        </w:rPr>
        <w:t xml:space="preserve">Taylor, M.P.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8">
        <w:r>
          <w:rPr>
            <w:rStyle w:val="Hyperlink"/>
            <w:lang w:val="en-US"/>
          </w:rPr>
          <w:t>doi:10.59350/h5xm3-0q551</w:t>
        </w:r>
      </w:hyperlink>
      <w:r>
        <w:rPr>
          <w:lang w:val="en-US"/>
        </w:rPr>
        <w:t xml:space="preserve"> — </w:t>
      </w:r>
      <w:hyperlink r:id="rId19">
        <w:r>
          <w:rPr>
            <w:rStyle w:val="Hyperlink"/>
            <w:lang w:val="en-US"/>
          </w:rPr>
          <w:t>https://svpow.com/2022/11/23/putative-atlantal-ribs-of-diplodocus/</w:t>
        </w:r>
      </w:hyperlink>
      <w:r>
        <w:rPr>
          <w:lang w:val="en-US"/>
        </w:rPr>
        <w:t xml:space="preserve">, archived at </w:t>
      </w:r>
      <w:hyperlink r:id="rId20">
        <w:r>
          <w:rPr>
            <w:rStyle w:val="Hyperlink"/>
            <w:lang w:val="en-US"/>
          </w:rPr>
          <w:t>https://web.archive.org/web/20240506151716/https://svpow.com/2022/11/23/putative-atlantal-ribs-of-diplodocus/</w:t>
        </w:r>
      </w:hyperlink>
    </w:p>
    <w:p>
      <w:pPr>
        <w:pStyle w:val="Reference"/>
        <w:rPr>
          <w:lang w:val="en-US"/>
        </w:rPr>
      </w:pPr>
      <w:r>
        <w:rPr>
          <w:lang w:val="en-US"/>
        </w:rPr>
        <w:t xml:space="preserve">Taylor, M.P.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1">
        <w:r>
          <w:rPr>
            <w:rStyle w:val="Hyperlink"/>
            <w:lang w:val="en-US"/>
          </w:rPr>
          <w:t>https://svpow.com/2024/04/27/atlantal-ribs-of-the-carnegie-diplodocus-moscow-and-vienna-casts/</w:t>
        </w:r>
      </w:hyperlink>
      <w:r>
        <w:rPr>
          <w:lang w:val="en-US"/>
        </w:rPr>
        <w:t xml:space="preserve">, archived at </w:t>
      </w:r>
      <w:hyperlink r:id="rId22">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M.P. In prep. The history of the mounted cast skeletons of the Carnegie </w:t>
      </w:r>
      <w:r>
        <w:rPr>
          <w:i/>
          <w:iCs/>
          <w:lang w:val="en-US"/>
        </w:rPr>
        <w:t>Diplodocus</w:t>
      </w:r>
      <w:r>
        <w:rPr>
          <w:lang w:val="en-US"/>
        </w:rPr>
        <w:t xml:space="preserve">. </w:t>
      </w:r>
      <w:hyperlink r:id="rId23">
        <w:r>
          <w:rPr>
            <w:rStyle w:val="Hyperlink"/>
            <w:lang w:val="en-US"/>
          </w:rPr>
          <w:t>https://github.com/MikeTaylor/palaeo-casts</w:t>
        </w:r>
      </w:hyperlink>
    </w:p>
    <w:p>
      <w:pPr>
        <w:pStyle w:val="Reference"/>
        <w:rPr>
          <w:lang w:val="en-US"/>
        </w:rPr>
      </w:pPr>
      <w:r>
        <w:rPr>
          <w:lang w:val="en-US"/>
        </w:rPr>
        <w:t xml:space="preserve">Taylor, M.P. and D. Naish. 2007. An unusual new neosauropod dinosaur from the Lower Cretaceous Hastings Beds Group of East Sussex, England. </w:t>
      </w:r>
      <w:r>
        <w:rPr>
          <w:i/>
          <w:iCs/>
          <w:lang w:val="en-US"/>
        </w:rPr>
        <w:t>Palaeontology</w:t>
      </w:r>
      <w:r>
        <w:rPr>
          <w:i w:val="false"/>
          <w:iCs w:val="false"/>
          <w:lang w:val="en-US"/>
        </w:rPr>
        <w:t>,</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M.P., M.J. Wedel, and D. Naish. 2009. Head and neck posture in sauropod dinosaurs inferred from extant animals. </w:t>
      </w:r>
      <w:r>
        <w:rPr>
          <w:i/>
          <w:iCs/>
          <w:lang w:val="en-US"/>
        </w:rPr>
        <w:t>Acta Palaeontologica Polonica</w:t>
      </w:r>
      <w:r>
        <w:rPr>
          <w:i w:val="false"/>
          <w:iCs w:val="false"/>
          <w:lang w:val="en-US"/>
        </w:rPr>
        <w:t>,</w:t>
      </w:r>
      <w:r>
        <w:rPr>
          <w:lang w:val="en-US"/>
        </w:rPr>
        <w:t xml:space="preserve"> </w:t>
      </w:r>
      <w:r>
        <w:rPr>
          <w:b/>
          <w:bCs/>
          <w:lang w:val="en-US"/>
        </w:rPr>
        <w:t>54(2)</w:t>
      </w:r>
      <w:r>
        <w:rPr>
          <w:lang w:val="en-US"/>
        </w:rPr>
        <w:t xml:space="preserve">:213–230. </w:t>
      </w:r>
    </w:p>
    <w:p>
      <w:pPr>
        <w:pStyle w:val="Reference"/>
        <w:rPr>
          <w:lang w:val="en-US"/>
        </w:rPr>
      </w:pPr>
      <w:r>
        <w:rPr/>
        <w:t xml:space="preserve">Taylor, M.P., S.D. Sroka, and K. Carpenter. 2023. The concrete </w:t>
      </w:r>
      <w:r>
        <w:rPr>
          <w:i/>
          <w:iCs/>
        </w:rPr>
        <w:t>Diplodocus</w:t>
      </w:r>
      <w:r>
        <w:rPr/>
        <w:t xml:space="preserve"> of Vernal — a cultural icon of Utah. </w:t>
      </w:r>
      <w:r>
        <w:rPr>
          <w:i/>
          <w:iCs/>
        </w:rPr>
        <w:t>Geology of the Intermountain West</w:t>
      </w:r>
      <w:r>
        <w:rPr>
          <w:i w:val="false"/>
          <w:iCs w:val="false"/>
        </w:rPr>
        <w:t>,</w:t>
      </w:r>
      <w:r>
        <w:rPr/>
        <w:t xml:space="preserve"> </w:t>
      </w:r>
      <w:r>
        <w:rPr>
          <w:b/>
          <w:bCs/>
        </w:rPr>
        <w:t>10</w:t>
      </w:r>
      <w:r>
        <w:rPr/>
        <w:t>:65-91. doi:10.31711/giw.v10.pp65-91</w:t>
      </w:r>
    </w:p>
    <w:p>
      <w:pPr>
        <w:pStyle w:val="Reference"/>
        <w:rPr>
          <w:lang w:val="en-US"/>
        </w:rPr>
      </w:pPr>
      <w:r>
        <w:rPr>
          <w:lang w:val="en-US"/>
        </w:rPr>
        <w:t xml:space="preserve">Taylor, M.P., P. May, L. Dingus, E.S. Gaffney, M.A. Norell, and J.S. McIntosh. In prep. The skeletal reconstruction of </w:t>
      </w:r>
      <w:r>
        <w:rPr>
          <w:i/>
          <w:iCs/>
          <w:lang w:val="en-US"/>
        </w:rPr>
        <w:t>Barosaurus lentus</w:t>
      </w:r>
      <w:r>
        <w:rPr>
          <w:lang w:val="en-US"/>
        </w:rPr>
        <w:t xml:space="preserve"> in the American Museum of Natural History. </w:t>
      </w:r>
      <w:hyperlink r:id="rId24">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 1909. Wie war der </w:t>
      </w:r>
      <w:r>
        <w:rPr>
          <w:i/>
          <w:iCs/>
          <w:lang w:val="en-US"/>
        </w:rPr>
        <w:t>Diplodocus carnegii</w:t>
      </w:r>
      <w:r>
        <w:rPr>
          <w:lang w:val="en-US"/>
        </w:rPr>
        <w:t xml:space="preserve"> wirklich gebaut? </w:t>
      </w:r>
      <w:r>
        <w:rPr>
          <w:i/>
          <w:iCs/>
          <w:lang w:val="en-US"/>
        </w:rPr>
        <w:t>Sitzungsbericht der Gesellschaft naturforschender Freunde zu Berlin</w:t>
      </w:r>
      <w:r>
        <w:rPr>
          <w:i w:val="false"/>
          <w:iCs w:val="false"/>
          <w:lang w:val="en-US"/>
        </w:rPr>
        <w:t>,</w:t>
      </w:r>
      <w:r>
        <w:rPr>
          <w:lang w:val="en-US"/>
        </w:rPr>
        <w:t xml:space="preserve"> </w:t>
      </w:r>
      <w:r>
        <w:rPr>
          <w:b/>
          <w:bCs/>
          <w:lang w:val="en-US"/>
        </w:rPr>
        <w:t>4</w:t>
      </w:r>
      <w:r>
        <w:rPr>
          <w:lang w:val="en-US"/>
        </w:rPr>
        <w:t>:193–209.</w:t>
      </w:r>
    </w:p>
    <w:p>
      <w:pPr>
        <w:pStyle w:val="Reference"/>
        <w:rPr>
          <w:lang w:val="en-US"/>
        </w:rPr>
      </w:pPr>
      <w:r>
        <w:rPr>
          <w:lang w:val="en-US"/>
        </w:rPr>
        <w:t xml:space="preserve">Tschopp, E., and O. Mateus. 2012. Clavicles, interclavicles, gastralia, and sternal ribs in sauropod dinosaurs: new reports from Diplodocidae and their morphological, functional and evolutionary implications. </w:t>
      </w:r>
      <w:r>
        <w:rPr>
          <w:i/>
          <w:iCs/>
          <w:lang w:val="en-US"/>
        </w:rPr>
        <w:t>Journal of Anatomy</w:t>
      </w:r>
      <w:r>
        <w:rPr>
          <w:i w:val="false"/>
          <w:iCs w:val="false"/>
          <w:lang w:val="en-US"/>
        </w:rPr>
        <w:t>,</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 O. Mateus, and R.B.J. Benson. 2015. A specimen-level phylogenetic analysis and taxonomic revision of Diplodocidae (Dinosauria, Sauropoda). </w:t>
      </w:r>
      <w:r>
        <w:rPr>
          <w:i/>
          <w:iCs/>
          <w:lang w:val="en-US"/>
        </w:rPr>
        <w:t>PeerJ</w:t>
      </w:r>
      <w:r>
        <w:rPr>
          <w:i w:val="false"/>
          <w:iCs w:val="false"/>
          <w:lang w:val="en-US"/>
        </w:rPr>
        <w:t>,</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 S.C.R. Maidment, M.C. Lamanna, and M.A. Norell. 2019. Reassessment of a historical collection of sauropod dinosaurs from the northern Morrison Formation of Wyoming, with implications for sauropod biogeography. </w:t>
      </w:r>
      <w:r>
        <w:rPr>
          <w:i/>
          <w:iCs/>
          <w:lang w:val="en-US"/>
        </w:rPr>
        <w:t>Bulletin of the American Museum of Natural History</w:t>
      </w:r>
      <w:r>
        <w:rPr>
          <w:i w:val="false"/>
          <w:iCs w:val="false"/>
          <w:lang w:val="en-US"/>
        </w:rPr>
        <w:t>,</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G.E.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G.E. 1959. A replica of </w:t>
      </w:r>
      <w:r>
        <w:rPr>
          <w:i/>
          <w:iCs/>
          <w:lang w:val="en-US"/>
        </w:rPr>
        <w:t>Diplodocus</w:t>
      </w:r>
      <w:r>
        <w:rPr>
          <w:lang w:val="en-US"/>
        </w:rPr>
        <w:t xml:space="preserve">. </w:t>
      </w:r>
      <w:r>
        <w:rPr>
          <w:i/>
          <w:iCs/>
          <w:lang w:val="en-US"/>
        </w:rPr>
        <w:t>Curator</w:t>
      </w:r>
      <w:r>
        <w:rPr>
          <w:i w:val="false"/>
          <w:iCs w:val="false"/>
          <w:lang w:val="en-US"/>
        </w:rPr>
        <w:t>,</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W.H. 1904. Letter to W.J. Holland. 12 July 1904.</w:t>
      </w:r>
    </w:p>
    <w:p>
      <w:pPr>
        <w:pStyle w:val="Reference"/>
        <w:rPr>
          <w:lang w:val="en-US"/>
        </w:rPr>
      </w:pPr>
      <w:r>
        <w:rPr>
          <w:lang w:val="en-US"/>
        </w:rPr>
        <w:t xml:space="preserve">Vejberg, S., K.A. Nenadkevich, and I.P.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5">
        <w:r>
          <w:rPr>
            <w:rStyle w:val="Hyperlink"/>
            <w:lang w:val="en-US"/>
          </w:rPr>
          <w:t>https://www.geokniga.org/books/18411</w:t>
        </w:r>
      </w:hyperlink>
    </w:p>
    <w:p>
      <w:pPr>
        <w:pStyle w:val="Reference"/>
        <w:rPr/>
      </w:pPr>
      <w:r>
        <w:rPr>
          <w:lang w:val="en-US"/>
        </w:rPr>
        <w:t xml:space="preserve">Walker, A.C. 1980. Functional anatomy and taphonomy. Pp. 182–196 in </w:t>
      </w:r>
      <w:r>
        <w:rPr>
          <w:i/>
          <w:iCs/>
          <w:lang w:val="en-US"/>
        </w:rPr>
        <w:t>Fossils in the Making: Vertebrate Taphonomy and Paleoecology</w:t>
      </w:r>
      <w:r>
        <w:rPr>
          <w:lang w:val="en-US"/>
        </w:rPr>
        <w:t xml:space="preserve"> (A.K. Behrensmeyer and A.P. Hill, eds.). University of Chicago Press, Chicago, Illinois.</w:t>
      </w:r>
    </w:p>
    <w:p>
      <w:pPr>
        <w:pStyle w:val="Reference"/>
        <w:rPr>
          <w:lang w:val="en-US"/>
        </w:rPr>
      </w:pPr>
      <w:r>
        <w:rPr>
          <w:lang w:val="en-US"/>
        </w:rPr>
        <w:t xml:space="preserve">Wedel, M.J. 2007. </w:t>
      </w:r>
      <w:r>
        <w:rPr>
          <w:i/>
          <w:iCs/>
          <w:lang w:val="en-US"/>
        </w:rPr>
        <w:t>Postcranial Pneumaticity in Dinosaurs and the Origin of the Avian Lung</w:t>
      </w:r>
      <w:r>
        <w:rPr>
          <w:lang w:val="en-US"/>
        </w:rPr>
        <w:t>. Unpublished Ph.D Dissertation, Department of Integrative Biology, University of California, Berkeley, California. Advisors: Kevin Padian and William Clemens. 290 pages.</w:t>
      </w:r>
    </w:p>
    <w:p>
      <w:pPr>
        <w:pStyle w:val="Reference"/>
        <w:rPr>
          <w:lang w:val="en-US"/>
        </w:rPr>
      </w:pPr>
      <w:r>
        <w:rPr>
          <w:lang w:val="en-US"/>
        </w:rPr>
        <w:t xml:space="preserve">Wedel, M.J. 2009. MYDD! [Measure Your Damned Dinosaur!]. Sauropod Vertebra Picture of the Week, 23 April 2009. </w:t>
      </w:r>
      <w:hyperlink r:id="rId26">
        <w:r>
          <w:rPr>
            <w:rStyle w:val="Hyperlink"/>
            <w:lang w:val="en-US"/>
          </w:rPr>
          <w:t>doi:10.59350/emdw8-96f96</w:t>
        </w:r>
      </w:hyperlink>
      <w:r>
        <w:rPr>
          <w:lang w:val="en-US"/>
        </w:rPr>
        <w:t xml:space="preserve"> — </w:t>
      </w:r>
      <w:hyperlink r:id="rId27">
        <w:r>
          <w:rPr>
            <w:rStyle w:val="Hyperlink"/>
            <w:lang w:val="en-US"/>
          </w:rPr>
          <w:t>https://svpow.com/2009/04/23/mydd/</w:t>
        </w:r>
      </w:hyperlink>
      <w:r>
        <w:rPr>
          <w:lang w:val="en-US"/>
        </w:rPr>
        <w:t xml:space="preserve">, archived at </w:t>
      </w:r>
      <w:hyperlink r:id="rId28">
        <w:r>
          <w:rPr>
            <w:rStyle w:val="Hyperlink"/>
            <w:lang w:val="en-US"/>
          </w:rPr>
          <w:t>https://web.archive.org/web/20220805065019/https://svpow.com/2009/04/23/mydd/</w:t>
        </w:r>
      </w:hyperlink>
    </w:p>
    <w:p>
      <w:pPr>
        <w:pStyle w:val="Reference"/>
        <w:rPr>
          <w:lang w:val="en-US"/>
        </w:rPr>
      </w:pPr>
      <w:r>
        <w:rPr>
          <w:lang w:val="en-US"/>
        </w:rPr>
        <w:t xml:space="preserve">Wedel, M.J.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9">
        <w:r>
          <w:rPr>
            <w:rStyle w:val="Hyperlink"/>
            <w:lang w:val="en-US"/>
          </w:rPr>
          <w:t>doi:10.59350/ffywx-13m34</w:t>
        </w:r>
      </w:hyperlink>
      <w:r>
        <w:rPr>
          <w:lang w:val="en-US"/>
        </w:rPr>
        <w:t xml:space="preserve"> — </w:t>
      </w:r>
      <w:hyperlink r:id="rId30">
        <w:r>
          <w:rPr>
            <w:rStyle w:val="Hyperlink"/>
            <w:lang w:val="en-US"/>
          </w:rPr>
          <w:t>https://svpow.com/2019/11/04/dystylosaurus-reminds-you-to-beware-of-taking-measurements-from-casts/</w:t>
        </w:r>
      </w:hyperlink>
      <w:r>
        <w:rPr>
          <w:lang w:val="en-US"/>
        </w:rPr>
        <w:t xml:space="preserve">, archived at </w:t>
      </w:r>
      <w:hyperlink r:id="rId31">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D.R. 2003. </w:t>
      </w:r>
      <w:r>
        <w:rPr>
          <w:i/>
          <w:iCs/>
          <w:lang w:val="en-US"/>
        </w:rPr>
        <w:t>Biomechanical Reconstruction of the Appendicular Skeleton in Three North American Jurassic Sauropods.</w:t>
      </w:r>
      <w:r>
        <w:rPr>
          <w:lang w:val="en-US"/>
        </w:rPr>
        <w:t xml:space="preserve"> Unpublished Ph.D. Dissertation, Louisiana State University, Baton Rouge, Louisiana.</w:t>
      </w:r>
    </w:p>
    <w:p>
      <w:pPr>
        <w:pStyle w:val="Reference"/>
        <w:rPr>
          <w:lang w:val="en-US"/>
        </w:rPr>
      </w:pPr>
      <w:r>
        <w:rPr>
          <w:lang w:val="en-US"/>
        </w:rPr>
        <w:t xml:space="preserve">Wuerthele, N., and A.C.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1" w:name="__RefHeading___Toc4163_3033613513"/>
      <w:bookmarkEnd w:id="31"/>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2" w:name="__DdeLink__2464_3009427828"/>
            <w:r>
              <w:rPr>
                <w:rFonts w:ascii="Liberation Serif" w:hAnsi="Liberation Serif"/>
                <w:color w:val="000000"/>
                <w:lang w:val="en-US"/>
              </w:rPr>
              <w:t>King Alfonso XIII</w:t>
            </w:r>
            <w:bookmarkEnd w:id="32"/>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rPr>
                <w:b/>
                <w:bCs/>
                <w:lang w:val="en-US"/>
              </w:rPr>
            </w:pPr>
            <w:r>
              <w:rPr>
                <w:b/>
                <w:bCs/>
                <w:lang w:val="en-US"/>
              </w:rPr>
              <w:t>Reference</w:t>
            </w:r>
          </w:p>
        </w:tc>
        <w:tc>
          <w:tcPr>
            <w:tcW w:w="1474" w:type="dxa"/>
            <w:tcBorders/>
          </w:tcPr>
          <w:p>
            <w:pPr>
              <w:pStyle w:val="TableContents"/>
              <w:widowControl w:val="false"/>
              <w:rPr>
                <w:b/>
                <w:bCs/>
                <w:lang w:val="en-US"/>
              </w:rPr>
            </w:pPr>
            <w:r>
              <w:rPr>
                <w:b/>
                <w:bCs/>
                <w:lang w:val="en-US"/>
              </w:rPr>
              <w:t>Length</w:t>
              <w:br/>
              <w:t>(feet)</w:t>
            </w:r>
          </w:p>
        </w:tc>
        <w:tc>
          <w:tcPr>
            <w:tcW w:w="1538" w:type="dxa"/>
            <w:tcBorders/>
          </w:tcPr>
          <w:p>
            <w:pPr>
              <w:pStyle w:val="TableContents"/>
              <w:widowControl w:val="false"/>
              <w:rPr>
                <w:b/>
                <w:bCs/>
                <w:lang w:val="en-US"/>
              </w:rPr>
            </w:pPr>
            <w:r>
              <w:rPr>
                <w:b/>
                <w:bCs/>
                <w:lang w:val="en-US"/>
              </w:rPr>
              <w:t>Length</w:t>
              <w:br/>
              <w:t>(m)</w:t>
            </w:r>
          </w:p>
        </w:tc>
        <w:tc>
          <w:tcPr>
            <w:tcW w:w="3306" w:type="dxa"/>
            <w:tcBorders/>
          </w:tcPr>
          <w:p>
            <w:pPr>
              <w:pStyle w:val="TableContents"/>
              <w:widowControl w:val="false"/>
              <w:rPr>
                <w:b/>
                <w:bCs/>
                <w:lang w:val="en-US"/>
              </w:rPr>
            </w:pPr>
            <w:r>
              <w:rPr>
                <w:b/>
                <w:bCs/>
                <w:lang w:val="en-US"/>
              </w:rPr>
              <w:t>Notes</w:t>
            </w:r>
          </w:p>
        </w:tc>
      </w:tr>
      <w:tr>
        <w:trPr/>
        <w:tc>
          <w:tcPr>
            <w:tcW w:w="3369" w:type="dxa"/>
            <w:tcBorders/>
          </w:tcPr>
          <w:p>
            <w:pPr>
              <w:pStyle w:val="TableContents"/>
              <w:widowControl w:val="false"/>
              <w:rPr>
                <w:lang w:val="en-US"/>
              </w:rPr>
            </w:pPr>
            <w:r>
              <w:rPr>
                <w:lang w:val="en-US"/>
              </w:rPr>
              <w:t>Hatcher (1901:39)</w:t>
            </w:r>
          </w:p>
        </w:tc>
        <w:tc>
          <w:tcPr>
            <w:tcW w:w="1474" w:type="dxa"/>
            <w:tcBorders/>
          </w:tcPr>
          <w:p>
            <w:pPr>
              <w:pStyle w:val="TableContents"/>
              <w:widowControl w:val="false"/>
              <w:rPr>
                <w:lang w:val="en-US"/>
              </w:rPr>
            </w:pPr>
            <w:r>
              <w:rPr>
                <w:lang w:val="en-US"/>
              </w:rPr>
              <w:t>68 feet *</w:t>
            </w:r>
          </w:p>
        </w:tc>
        <w:tc>
          <w:tcPr>
            <w:tcW w:w="1538" w:type="dxa"/>
            <w:tcBorders/>
          </w:tcPr>
          <w:p>
            <w:pPr>
              <w:pStyle w:val="TableContents"/>
              <w:widowControl w:val="false"/>
              <w:rPr>
                <w:lang w:val="en-US"/>
              </w:rPr>
            </w:pPr>
            <w:r>
              <w:rPr>
                <w:lang w:val="en-US"/>
              </w:rPr>
              <w:t>20.7 m</w:t>
            </w:r>
          </w:p>
        </w:tc>
        <w:tc>
          <w:tcPr>
            <w:tcW w:w="3306" w:type="dxa"/>
            <w:tcBorders/>
          </w:tcPr>
          <w:p>
            <w:pPr>
              <w:pStyle w:val="TableContents"/>
              <w:widowControl w:val="false"/>
              <w:rPr>
                <w:lang w:val="en-US"/>
              </w:rPr>
            </w:pPr>
            <w:r>
              <w:rPr>
                <w:lang w:val="en-US"/>
              </w:rPr>
              <w:t>Along axial column from tip of snout to end of caudal 37</w:t>
            </w:r>
          </w:p>
        </w:tc>
      </w:tr>
      <w:tr>
        <w:trPr/>
        <w:tc>
          <w:tcPr>
            <w:tcW w:w="3369" w:type="dxa"/>
            <w:tcBorders/>
          </w:tcPr>
          <w:p>
            <w:pPr>
              <w:pStyle w:val="TableContents"/>
              <w:widowControl w:val="false"/>
              <w:rPr>
                <w:lang w:val="en-US"/>
              </w:rPr>
            </w:pPr>
            <w:r>
              <w:rPr>
                <w:lang w:val="en-US"/>
              </w:rPr>
              <w:t>Holland (1904a)</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predicted</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84–85 feet *</w:t>
            </w:r>
          </w:p>
        </w:tc>
        <w:tc>
          <w:tcPr>
            <w:tcW w:w="1538" w:type="dxa"/>
            <w:tcBorders/>
          </w:tcPr>
          <w:p>
            <w:pPr>
              <w:pStyle w:val="TableContents"/>
              <w:widowControl w:val="false"/>
              <w:rPr>
                <w:lang w:val="en-US"/>
              </w:rPr>
            </w:pPr>
            <w:r>
              <w:rPr>
                <w:lang w:val="en-US"/>
              </w:rPr>
              <w:t>25.6–25.9 m</w:t>
            </w:r>
          </w:p>
        </w:tc>
        <w:tc>
          <w:tcPr>
            <w:tcW w:w="3306"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when mounted [...] with necessary curvature</w:t>
            </w:r>
          </w:p>
        </w:tc>
      </w:tr>
      <w:tr>
        <w:trPr/>
        <w:tc>
          <w:tcPr>
            <w:tcW w:w="3369" w:type="dxa"/>
            <w:tcBorders/>
          </w:tcPr>
          <w:p>
            <w:pPr>
              <w:pStyle w:val="TableContents"/>
              <w:widowControl w:val="false"/>
              <w:rPr>
                <w:lang w:val="en-US"/>
              </w:rPr>
            </w:pPr>
            <w:r>
              <w:rPr>
                <w:lang w:val="en-US"/>
              </w:rPr>
              <w:t>Holland (1905:448)</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London mount</w:t>
            </w:r>
          </w:p>
        </w:tc>
      </w:tr>
      <w:tr>
        <w:trPr/>
        <w:tc>
          <w:tcPr>
            <w:tcW w:w="3369" w:type="dxa"/>
            <w:tcBorders/>
          </w:tcPr>
          <w:p>
            <w:pPr>
              <w:pStyle w:val="TableContents"/>
              <w:widowControl w:val="false"/>
              <w:rPr>
                <w:lang w:val="en-US"/>
              </w:rPr>
            </w:pPr>
            <w:r>
              <w:rPr>
                <w:lang w:val="en-US"/>
              </w:rPr>
              <w:t>Holland (1907)</w:t>
            </w:r>
          </w:p>
        </w:tc>
        <w:tc>
          <w:tcPr>
            <w:tcW w:w="1474" w:type="dxa"/>
            <w:tcBorders/>
          </w:tcPr>
          <w:p>
            <w:pPr>
              <w:pStyle w:val="TableContents"/>
              <w:widowControl w:val="false"/>
              <w:rPr>
                <w:lang w:val="en-US"/>
              </w:rPr>
            </w:pPr>
            <w:r>
              <w:rPr>
                <w:lang w:val="en-US"/>
              </w:rPr>
              <w:t>78.5 feet</w:t>
            </w:r>
          </w:p>
        </w:tc>
        <w:tc>
          <w:tcPr>
            <w:tcW w:w="1538" w:type="dxa"/>
            <w:tcBorders/>
          </w:tcPr>
          <w:p>
            <w:pPr>
              <w:pStyle w:val="TableContents"/>
              <w:widowControl w:val="false"/>
              <w:rPr>
                <w:lang w:val="en-US"/>
              </w:rPr>
            </w:pPr>
            <w:r>
              <w:rPr>
                <w:lang w:val="en-US"/>
              </w:rPr>
              <w:t>23.94 m *</w:t>
            </w:r>
          </w:p>
        </w:tc>
        <w:tc>
          <w:tcPr>
            <w:tcW w:w="3306" w:type="dxa"/>
            <w:tcBorders/>
          </w:tcPr>
          <w:p>
            <w:pPr>
              <w:pStyle w:val="TableContents"/>
              <w:widowControl w:val="false"/>
              <w:rPr>
                <w:lang w:val="en-US"/>
              </w:rPr>
            </w:pPr>
            <w:r>
              <w:rPr>
                <w:lang w:val="en-US"/>
              </w:rPr>
              <w:t>Berlin mount</w:t>
            </w:r>
          </w:p>
        </w:tc>
      </w:tr>
      <w:tr>
        <w:trPr/>
        <w:tc>
          <w:tcPr>
            <w:tcW w:w="3369" w:type="dxa"/>
            <w:tcBorders/>
          </w:tcPr>
          <w:p>
            <w:pPr>
              <w:pStyle w:val="TableContents"/>
              <w:widowControl w:val="false"/>
              <w:rPr>
                <w:lang w:val="en-US"/>
              </w:rPr>
            </w:pPr>
            <w:r>
              <w:rPr>
                <w:lang w:val="en-US"/>
              </w:rPr>
              <w:t>Seneff (1947)</w:t>
            </w:r>
          </w:p>
        </w:tc>
        <w:tc>
          <w:tcPr>
            <w:tcW w:w="1474" w:type="dxa"/>
            <w:tcBorders/>
          </w:tcPr>
          <w:p>
            <w:pPr>
              <w:pStyle w:val="TableContents"/>
              <w:widowControl w:val="false"/>
              <w:rPr>
                <w:lang w:val="en-US"/>
              </w:rPr>
            </w:pPr>
            <w:r>
              <w:rPr>
                <w:lang w:val="en-US"/>
              </w:rPr>
              <w:t>78 feet *</w:t>
            </w:r>
          </w:p>
        </w:tc>
        <w:tc>
          <w:tcPr>
            <w:tcW w:w="1538" w:type="dxa"/>
            <w:tcBorders/>
          </w:tcPr>
          <w:p>
            <w:pPr>
              <w:pStyle w:val="TableContents"/>
              <w:widowControl w:val="false"/>
              <w:rPr>
                <w:lang w:val="en-US"/>
              </w:rPr>
            </w:pPr>
            <w:r>
              <w:rPr>
                <w:lang w:val="en-US"/>
              </w:rPr>
              <w:t>23.77</w:t>
            </w:r>
          </w:p>
        </w:tc>
        <w:tc>
          <w:tcPr>
            <w:tcW w:w="3306" w:type="dxa"/>
            <w:tcBorders/>
          </w:tcPr>
          <w:p>
            <w:pPr>
              <w:pStyle w:val="TableContents"/>
              <w:widowControl w:val="false"/>
              <w:rPr>
                <w:lang w:val="en-US"/>
              </w:rPr>
            </w:pPr>
            <w:r>
              <w:rPr>
                <w:lang w:val="en-US"/>
              </w:rPr>
              <w:t>Original fossil mount</w:t>
            </w:r>
          </w:p>
        </w:tc>
      </w:tr>
      <w:tr>
        <w:trPr/>
        <w:tc>
          <w:tcPr>
            <w:tcW w:w="3369" w:type="dxa"/>
            <w:tcBorders/>
          </w:tcPr>
          <w:p>
            <w:pPr>
              <w:pStyle w:val="TableContents"/>
              <w:widowControl w:val="false"/>
              <w:rPr>
                <w:lang w:val="en-US"/>
              </w:rPr>
            </w:pPr>
            <w:r>
              <w:rPr>
                <w:lang w:val="en-US"/>
              </w:rPr>
              <w:t>Coggeshall (1951a)</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w:t>
            </w:r>
            <w:r>
              <w:rPr>
                <w:lang w:val="en-US"/>
              </w:rPr>
              <w:t>over the curves”</w:t>
            </w:r>
          </w:p>
        </w:tc>
      </w:tr>
      <w:tr>
        <w:trPr/>
        <w:tc>
          <w:tcPr>
            <w:tcW w:w="3369" w:type="dxa"/>
            <w:tcBorders/>
          </w:tcPr>
          <w:p>
            <w:pPr>
              <w:pStyle w:val="TableContents"/>
              <w:widowControl w:val="false"/>
              <w:rPr>
                <w:lang w:val="en-US"/>
              </w:rPr>
            </w:pPr>
            <w:r>
              <w:rPr>
                <w:lang w:val="en-US"/>
              </w:rPr>
              <w:t>Untermann (1959:365)</w:t>
            </w:r>
          </w:p>
        </w:tc>
        <w:tc>
          <w:tcPr>
            <w:tcW w:w="1474" w:type="dxa"/>
            <w:tcBorders/>
          </w:tcPr>
          <w:p>
            <w:pPr>
              <w:pStyle w:val="TableContents"/>
              <w:widowControl w:val="false"/>
              <w:rPr>
                <w:lang w:val="en-US"/>
              </w:rPr>
            </w:pPr>
            <w:r>
              <w:rPr>
                <w:lang w:val="en-US"/>
              </w:rPr>
              <w:t>76 feet *</w:t>
            </w:r>
          </w:p>
        </w:tc>
        <w:tc>
          <w:tcPr>
            <w:tcW w:w="1538" w:type="dxa"/>
            <w:tcBorders/>
          </w:tcPr>
          <w:p>
            <w:pPr>
              <w:pStyle w:val="TableContents"/>
              <w:widowControl w:val="false"/>
              <w:rPr>
                <w:lang w:val="en-US"/>
              </w:rPr>
            </w:pPr>
            <w:r>
              <w:rPr>
                <w:lang w:val="en-US"/>
              </w:rPr>
              <w:t>23.2 m</w:t>
            </w:r>
          </w:p>
        </w:tc>
        <w:tc>
          <w:tcPr>
            <w:tcW w:w="3306" w:type="dxa"/>
            <w:tcBorders/>
          </w:tcPr>
          <w:p>
            <w:pPr>
              <w:pStyle w:val="TableContents"/>
              <w:widowControl w:val="false"/>
              <w:rPr>
                <w:lang w:val="en-US"/>
              </w:rPr>
            </w:pPr>
            <w:r>
              <w:rPr>
                <w:lang w:val="en-US"/>
              </w:rPr>
              <w:t>Vernal mount</w:t>
            </w:r>
          </w:p>
        </w:tc>
      </w:tr>
      <w:tr>
        <w:trPr/>
        <w:tc>
          <w:tcPr>
            <w:tcW w:w="3369" w:type="dxa"/>
            <w:tcBorders/>
          </w:tcPr>
          <w:p>
            <w:pPr>
              <w:pStyle w:val="TableContents"/>
              <w:widowControl w:val="false"/>
              <w:rPr>
                <w:lang w:val="en-US"/>
              </w:rPr>
            </w:pPr>
            <w:r>
              <w:rPr>
                <w:lang w:val="en-US"/>
              </w:rPr>
              <w:t>Sarti (2012:14)</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Bologna mount</w:t>
            </w:r>
          </w:p>
        </w:tc>
      </w:tr>
      <w:tr>
        <w:trPr/>
        <w:tc>
          <w:tcPr>
            <w:tcW w:w="3369" w:type="dxa"/>
            <w:tcBorders/>
          </w:tcPr>
          <w:p>
            <w:pPr>
              <w:pStyle w:val="TableContents"/>
              <w:widowControl w:val="false"/>
              <w:rPr>
                <w:lang w:val="en-US"/>
              </w:rPr>
            </w:pPr>
            <w:r>
              <w:rPr>
                <w:lang w:val="en-US"/>
              </w:rPr>
              <w:t>Otero and Gasparini (2014:299)</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La Plata mount</w:t>
            </w:r>
          </w:p>
        </w:tc>
      </w:tr>
      <w:tr>
        <w:trPr/>
        <w:tc>
          <w:tcPr>
            <w:tcW w:w="3369" w:type="dxa"/>
            <w:tcBorders/>
          </w:tcPr>
          <w:p>
            <w:pPr>
              <w:pStyle w:val="TableContents"/>
              <w:widowControl w:val="false"/>
              <w:rPr>
                <w:lang w:val="en-US"/>
              </w:rPr>
            </w:pPr>
            <w:r>
              <w:rPr>
                <w:lang w:val="en-US"/>
              </w:rPr>
              <w:t>David Letasi (pers. comm., 2022)</w:t>
            </w:r>
          </w:p>
        </w:tc>
        <w:tc>
          <w:tcPr>
            <w:tcW w:w="1474" w:type="dxa"/>
            <w:tcBorders/>
          </w:tcPr>
          <w:p>
            <w:pPr>
              <w:pStyle w:val="TableContents"/>
              <w:widowControl w:val="false"/>
              <w:rPr>
                <w:lang w:val="en-US"/>
              </w:rPr>
            </w:pPr>
            <w:r>
              <w:rPr>
                <w:lang w:val="en-US"/>
              </w:rPr>
              <w:t>75 feet *</w:t>
            </w:r>
          </w:p>
        </w:tc>
        <w:tc>
          <w:tcPr>
            <w:tcW w:w="1538" w:type="dxa"/>
            <w:tcBorders/>
          </w:tcPr>
          <w:p>
            <w:pPr>
              <w:pStyle w:val="TableContents"/>
              <w:widowControl w:val="false"/>
              <w:rPr>
                <w:lang w:val="en-US"/>
              </w:rPr>
            </w:pPr>
            <w:r>
              <w:rPr>
                <w:lang w:val="en-US"/>
              </w:rPr>
              <w:t>22.9 m</w:t>
            </w:r>
          </w:p>
        </w:tc>
        <w:tc>
          <w:tcPr>
            <w:tcW w:w="3306" w:type="dxa"/>
            <w:tcBorders/>
          </w:tcPr>
          <w:p>
            <w:pPr>
              <w:pStyle w:val="TableContents"/>
              <w:widowControl w:val="false"/>
              <w:rPr>
                <w:lang w:val="en-US"/>
              </w:rPr>
            </w:pPr>
            <w:r>
              <w:rPr>
                <w:lang w:val="en-US"/>
              </w:rPr>
              <w:t>Elements used in Lehi mount, laid out in sequence</w:t>
            </w:r>
          </w:p>
        </w:tc>
      </w:tr>
      <w:tr>
        <w:trPr/>
        <w:tc>
          <w:tcPr>
            <w:tcW w:w="3369" w:type="dxa"/>
            <w:tcBorders/>
          </w:tcPr>
          <w:p>
            <w:pPr>
              <w:pStyle w:val="TableContents"/>
              <w:widowControl w:val="false"/>
              <w:rPr>
                <w:lang w:val="en-US"/>
              </w:rPr>
            </w:pPr>
            <w:r>
              <w:rPr>
                <w:lang w:val="en-US"/>
              </w:rPr>
              <w:t>Vincent Reneleau (pers. comm, 2022)</w:t>
            </w:r>
          </w:p>
        </w:tc>
        <w:tc>
          <w:tcPr>
            <w:tcW w:w="1474" w:type="dxa"/>
            <w:tcBorders/>
          </w:tcPr>
          <w:p>
            <w:pPr>
              <w:pStyle w:val="TableContents"/>
              <w:widowControl w:val="false"/>
              <w:rPr>
                <w:lang w:val="en-US"/>
              </w:rPr>
            </w:pPr>
            <w:r>
              <w:rPr>
                <w:lang w:val="en-US"/>
              </w:rPr>
              <w:t>77 feet</w:t>
            </w:r>
          </w:p>
        </w:tc>
        <w:tc>
          <w:tcPr>
            <w:tcW w:w="1538" w:type="dxa"/>
            <w:tcBorders/>
          </w:tcPr>
          <w:p>
            <w:pPr>
              <w:pStyle w:val="TableContents"/>
              <w:widowControl w:val="false"/>
              <w:rPr>
                <w:lang w:val="en-US"/>
              </w:rPr>
            </w:pPr>
            <w:r>
              <w:rPr>
                <w:lang w:val="en-US"/>
              </w:rPr>
              <w:t>23.5 m *</w:t>
            </w:r>
          </w:p>
        </w:tc>
        <w:tc>
          <w:tcPr>
            <w:tcW w:w="3306" w:type="dxa"/>
            <w:tcBorders/>
          </w:tcPr>
          <w:p>
            <w:pPr>
              <w:pStyle w:val="TableContents"/>
              <w:widowControl w:val="false"/>
              <w:rPr>
                <w:lang w:val="en-US"/>
              </w:rPr>
            </w:pPr>
            <w:r>
              <w:rPr>
                <w:lang w:val="en-US"/>
              </w:rPr>
              <w:t>Distance along floor between plumb-lines dropped from tip of snout and tip of tail</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85.5 feet</w:t>
            </w:r>
          </w:p>
        </w:tc>
        <w:tc>
          <w:tcPr>
            <w:tcW w:w="1538" w:type="dxa"/>
            <w:tcBorders/>
          </w:tcPr>
          <w:p>
            <w:pPr>
              <w:pStyle w:val="TableContents"/>
              <w:widowControl w:val="false"/>
              <w:rPr>
                <w:lang w:val="en-US"/>
              </w:rPr>
            </w:pPr>
            <w:r>
              <w:rPr>
                <w:lang w:val="en-US"/>
              </w:rPr>
              <w:t>26.05 m *</w:t>
            </w:r>
          </w:p>
        </w:tc>
        <w:tc>
          <w:tcPr>
            <w:tcW w:w="3306" w:type="dxa"/>
            <w:tcBorders/>
          </w:tcPr>
          <w:p>
            <w:pPr>
              <w:pStyle w:val="TableContents"/>
              <w:widowControl w:val="false"/>
              <w:rPr>
                <w:lang w:val="en-US"/>
              </w:rPr>
            </w:pPr>
            <w:r>
              <w:rPr>
                <w:lang w:val="en-US"/>
              </w:rPr>
              <w:t>Photogrammetry: see text</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 feet, 8+11/16 inches *</w:t>
            </w:r>
          </w:p>
        </w:tc>
        <w:tc>
          <w:tcPr>
            <w:tcW w:w="1538" w:type="dxa"/>
            <w:tcBorders/>
          </w:tcPr>
          <w:p>
            <w:pPr>
              <w:pStyle w:val="TableContents"/>
              <w:widowControl w:val="false"/>
              <w:rPr>
                <w:lang w:val="en-US"/>
              </w:rPr>
            </w:pPr>
            <w:r>
              <w:rPr>
                <w:lang w:val="en-US"/>
              </w:rPr>
              <w:t>26.13 m</w:t>
            </w:r>
          </w:p>
        </w:tc>
        <w:tc>
          <w:tcPr>
            <w:tcW w:w="3306"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3" w:name="__RefHeading___Toc3407_68767826"/>
      <w:bookmarkEnd w:id="33"/>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rPr>
          <w:lang w:val="en-US"/>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rPr>
          <w:lang w:val="en-US"/>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13.</w:t>
      </w:r>
      <w:r>
        <w:rPr>
          <w:lang w:val="en-US"/>
        </w:rPr>
        <w:t xml:space="preserve"> Skeletal atlas of the Carnegie mount of </w:t>
      </w:r>
      <w:r>
        <w:rPr>
          <w:i/>
          <w:iCs/>
          <w:lang w:val="en-US"/>
        </w:rPr>
        <w:t xml:space="preserve">Diplodocus </w:t>
      </w:r>
      <w:r>
        <w:rPr>
          <w:lang w:val="en-US"/>
        </w:rPr>
        <w:t xml:space="preserve">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w:t>
      </w:r>
      <w:r>
        <w:rPr>
          <w:lang w:val="en-US"/>
        </w:rPr>
        <w:t>not pictured</w:t>
      </w:r>
      <w:r>
        <w:rPr>
          <w:lang w:val="en-US"/>
        </w:rPr>
        <w:t>;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rPr>
          <w:lang w:val="en-US"/>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4" w:name="__DdeLink__1645_3185452779"/>
      <w:r>
        <w:rPr>
          <w:lang w:val="en-US"/>
        </w:rPr>
        <w:t xml:space="preserve">Verónica </w:t>
      </w:r>
      <w:bookmarkEnd w:id="34"/>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before="0" w:after="142"/>
        <w:rPr>
          <w:b/>
          <w:bCs/>
          <w:lang w:val="en-US"/>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rPr>
          <w:b/>
          <w:bCs/>
          <w:lang w:val="en-US"/>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rPr>
          <w:lang w:val="en-US"/>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before="0" w:after="142"/>
        <w:rPr>
          <w:lang w:val="en-US"/>
        </w:rPr>
      </w:pPr>
      <w:r>
        <w:rPr>
          <w:lang w:val="en-US"/>
        </w:rPr>
      </w:r>
    </w:p>
    <w:sectPr>
      <w:headerReference w:type="even" r:id="rId32"/>
      <w:headerReference w:type="default" r:id="rId33"/>
      <w:headerReference w:type="first" r:id="rId34"/>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54</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54</w:t>
    </w:r>
    <w:r>
      <w:rPr>
        <w:i w:val="false"/>
        <w:iCs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54</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54</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loc.gov/resource/sn83030180/1898-12-11/ed-1/?sp=33&amp;r=-0.061,-0.031,0.196,0.117,0" TargetMode="External"/><Relationship Id="rId8" Type="http://schemas.openxmlformats.org/officeDocument/2006/relationships/hyperlink" Target="https://digitallibrary.amnh.org/handle/2246/6331" TargetMode="External"/><Relationship Id="rId9" Type="http://schemas.openxmlformats.org/officeDocument/2006/relationships/hyperlink" Target="https://archive.org/details/sim_carnegie_1951-09_25_7/page/238/mode/2up" TargetMode="External"/><Relationship Id="rId10" Type="http://schemas.openxmlformats.org/officeDocument/2006/relationships/hyperlink" Target="https://archive.org/details/sim_carnegie_1951-10_25_8/page/276/mode/2up" TargetMode="External"/><Relationship Id="rId11" Type="http://schemas.openxmlformats.org/officeDocument/2006/relationships/hyperlink" Target="https://archive.org/details/sim_carnegie_1951-11_25_9/page/312/mode/2up" TargetMode="External"/><Relationship Id="rId12" Type="http://schemas.openxmlformats.org/officeDocument/2006/relationships/hyperlink" Target="http://digitalcollections.powerlibrary.org/cdm/compoundobject/collection/acamu-acarc/id/13522/rec/1" TargetMode="External"/><Relationship Id="rId13" Type="http://schemas.openxmlformats.org/officeDocument/2006/relationships/hyperlink" Target="https://digitalcollections.library.cmu.edu/node/86801" TargetMode="External"/><Relationship Id="rId14" Type="http://schemas.openxmlformats.org/officeDocument/2006/relationships/hyperlink" Target="http://digitalcollections.powerlibrary.org/cdm/compoundobject/collection/acamu-acarc/id/14064/rec/1" TargetMode="External"/><Relationship Id="rId15" Type="http://schemas.openxmlformats.org/officeDocument/2006/relationships/hyperlink" Target="https://digitalcollections.library.cmu.edu/node/86474" TargetMode="External"/><Relationship Id="rId16" Type="http://schemas.openxmlformats.org/officeDocument/2006/relationships/hyperlink" Target="https://www.newspapers.com/article/st-louis-globe-democrat-wyoming-dinosau/146581997/" TargetMode="External"/><Relationship Id="rId17" Type="http://schemas.openxmlformats.org/officeDocument/2006/relationships/hyperlink" Target="https://doi.org/10.7717/peerj.12810" TargetMode="External"/><Relationship Id="rId18" Type="http://schemas.openxmlformats.org/officeDocument/2006/relationships/hyperlink" Target="https://doi.org/10.59350/h5xm3-0q551" TargetMode="External"/><Relationship Id="rId19" Type="http://schemas.openxmlformats.org/officeDocument/2006/relationships/hyperlink" Target="https://svpow.com/2022/11/23/putative-atlantal-ribs-of-diplodocus/" TargetMode="External"/><Relationship Id="rId20" Type="http://schemas.openxmlformats.org/officeDocument/2006/relationships/hyperlink" Target="https://web.archive.org/web/20240506151716/https://svpow.com/2022/11/23/putative-atlantal-ribs-of-diplodocus/" TargetMode="External"/><Relationship Id="rId21" Type="http://schemas.openxmlformats.org/officeDocument/2006/relationships/hyperlink" Target="https://svpow.com/2024/04/27/atlantal-ribs-of-the-carnegie-diplodocus-moscow-and-vienna-casts/" TargetMode="External"/><Relationship Id="rId22" Type="http://schemas.openxmlformats.org/officeDocument/2006/relationships/hyperlink" Target="https://web.archive.org/web/20240427225340/https://svpow.com/2024/04/27/atlantal-ribs-of-the-carnegie-diplodocus-moscow-and-vienna-casts/" TargetMode="External"/><Relationship Id="rId23" Type="http://schemas.openxmlformats.org/officeDocument/2006/relationships/hyperlink" Target="https://github.com/MikeTaylor/palaeo-casts" TargetMode="External"/><Relationship Id="rId24" Type="http://schemas.openxmlformats.org/officeDocument/2006/relationships/hyperlink" Target="https://github.com/MikeTaylor/palaeo-baromount" TargetMode="External"/><Relationship Id="rId25" Type="http://schemas.openxmlformats.org/officeDocument/2006/relationships/hyperlink" Target="https://www.geokniga.org/books/18411" TargetMode="External"/><Relationship Id="rId26" Type="http://schemas.openxmlformats.org/officeDocument/2006/relationships/hyperlink" Target="https://doi.org/10.59350/emdw8-96f96" TargetMode="External"/><Relationship Id="rId27" Type="http://schemas.openxmlformats.org/officeDocument/2006/relationships/hyperlink" Target="https://svpow.com/2009/04/23/mydd/" TargetMode="External"/><Relationship Id="rId28" Type="http://schemas.openxmlformats.org/officeDocument/2006/relationships/hyperlink" Target="https://web.archive.org/web/20220805065019/https://svpow.com/2009/04/23/mydd/" TargetMode="External"/><Relationship Id="rId29" Type="http://schemas.openxmlformats.org/officeDocument/2006/relationships/hyperlink" Target="https://doi.org/10.59350/ffywx-13m34" TargetMode="External"/><Relationship Id="rId30" Type="http://schemas.openxmlformats.org/officeDocument/2006/relationships/hyperlink" Target="https://svpow.com/2019/11/04/dystylosaurus-reminds-you-to-beware-of-taking-measurements-from-casts/" TargetMode="External"/><Relationship Id="rId31" Type="http://schemas.openxmlformats.org/officeDocument/2006/relationships/hyperlink" Target="https://web.archive.org/web/2/https://svpow.com/2019/11/04/dystylosaurus-reminds-you-to-beware-of-taking-measurements-from-casts/" TargetMode="External"/><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header" Target="head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14016</TotalTime>
  <Application>LibreOffice/24.2.2.2$MacOSX_X86_64 LibreOffice_project/d56cc158d8a96260b836f100ef4b4ef25d6f1a01</Application>
  <AppVersion>15.0000</AppVersion>
  <Pages>54</Pages>
  <Words>23366</Words>
  <Characters>122141</Characters>
  <CharactersWithSpaces>144794</CharactersWithSpaces>
  <Paragraphs>571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2024-10-26T13:19:00Z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file>