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before="238" w:after="119"/>
        <w:rPr/>
      </w:pPr>
      <w:r>
        <w:rPr>
          <w:lang w:val="en-US"/>
        </w:rPr>
        <w:t xml:space="preserve">The history and composition of the Carnegie </w:t>
      </w:r>
      <w:r>
        <w:rPr>
          <w:i/>
          <w:iCs/>
          <w:lang w:val="en-US"/>
        </w:rPr>
        <w:t>Diplodocus</w:t>
      </w:r>
    </w:p>
    <w:p>
      <w:pPr>
        <w:pStyle w:val="Author"/>
        <w:spacing w:lineRule="auto" w:line="480"/>
        <w:rPr>
          <w:lang w:val="en-US"/>
        </w:rPr>
      </w:pPr>
      <w:r>
        <w:rPr>
          <w:lang w:val="en-US"/>
        </w:rPr>
      </w:r>
    </w:p>
    <w:p>
      <w:pPr>
        <w:pStyle w:val="Author"/>
        <w:spacing w:lineRule="auto" w:line="480"/>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spacing w:lineRule="auto" w:line="480"/>
        <w:rPr/>
      </w:pPr>
      <w:r>
        <w:rPr>
          <w:b/>
          <w:bCs/>
          <w:i w:val="false"/>
          <w:lang w:val="en-US"/>
        </w:rPr>
        <w:t>Amy C. Henrici.</w:t>
      </w:r>
      <w:r>
        <w:rPr>
          <w:i w:val="false"/>
          <w:lang w:val="en-US"/>
        </w:rPr>
        <w:t xml:space="preserve"> Collection Manager, Section of Vertebrate Paleontology, Carnegie Museum of Natural History, Pittsburgh, Pennsylvania, USA. </w:t>
      </w:r>
      <w:hyperlink r:id="rId3">
        <w:r>
          <w:rPr>
            <w:rStyle w:val="Hyperlink"/>
            <w:i w:val="false"/>
            <w:lang w:val="en-US"/>
          </w:rPr>
          <w:t>HenriciA@carnegiemnh.org</w:t>
        </w:r>
      </w:hyperlink>
    </w:p>
    <w:p>
      <w:pPr>
        <w:pStyle w:val="Author"/>
        <w:spacing w:lineRule="auto" w:line="480"/>
        <w:rPr/>
      </w:pPr>
      <w:r>
        <w:rPr>
          <w:b/>
          <w:bCs/>
          <w:i w:val="false"/>
          <w:lang w:val="en-US"/>
        </w:rPr>
        <w:t>Linsly J. Church.</w:t>
      </w:r>
      <w:r>
        <w:rPr>
          <w:i w:val="false"/>
          <w:lang w:val="en-US"/>
        </w:rPr>
        <w:t xml:space="preserve"> Curatorial Assistant, Section of Vertebrate Paleontology, Carnegie Museum of Natural History, Pittsburgh, Pennsylvania, USA. </w:t>
      </w:r>
      <w:hyperlink r:id="rId4">
        <w:r>
          <w:rPr>
            <w:rStyle w:val="Hyperlink"/>
            <w:i w:val="false"/>
            <w:lang w:val="en-US"/>
          </w:rPr>
          <w:t>ChurchL@carnegiemnh.org</w:t>
        </w:r>
      </w:hyperlink>
    </w:p>
    <w:p>
      <w:pPr>
        <w:pStyle w:val="Author"/>
        <w:spacing w:lineRule="auto" w:line="480"/>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 </w:t>
      </w:r>
      <w:hyperlink r:id="rId5">
        <w:r>
          <w:rPr>
            <w:rStyle w:val="Hyperlink"/>
            <w:i w:val="false"/>
            <w:lang w:val="en-US"/>
          </w:rPr>
          <w:t>ilja@mac.com</w:t>
        </w:r>
      </w:hyperlink>
    </w:p>
    <w:p>
      <w:pPr>
        <w:pStyle w:val="Author"/>
        <w:spacing w:lineRule="auto" w:line="480"/>
        <w:rPr/>
      </w:pPr>
      <w:r>
        <w:rPr>
          <w:b/>
          <w:bCs/>
          <w:i w:val="false"/>
          <w:lang w:val="en-US"/>
        </w:rPr>
        <w:t>Matthew C. Lamanna.</w:t>
      </w:r>
      <w:r>
        <w:rPr>
          <w:i w:val="false"/>
          <w:lang w:val="en-US"/>
        </w:rPr>
        <w:t xml:space="preserve"> Mary R. Dawson Curator, Section of Vertebrate Paleontology, Carnegie Museum of Natural History, Pittsburgh, Pennsylvania, USA. </w:t>
      </w:r>
      <w:hyperlink r:id="rId6">
        <w:r>
          <w:rPr>
            <w:rStyle w:val="Hyperlink"/>
            <w:i w:val="false"/>
            <w:lang w:val="en-US"/>
          </w:rPr>
          <w:t>LamannaM@carnegiemnh.org</w:t>
        </w:r>
      </w:hyperlink>
    </w:p>
    <w:p>
      <w:pPr>
        <w:pStyle w:val="BodyText"/>
        <w:spacing w:lineRule="auto" w:line="480"/>
        <w:rPr/>
      </w:pPr>
      <w:r>
        <w:rPr/>
      </w:r>
    </w:p>
    <w:p>
      <w:pPr>
        <w:pStyle w:val="BodyText"/>
        <w:spacing w:lineRule="auto" w:line="480"/>
        <w:rPr/>
      </w:pPr>
      <w:r>
        <w:rPr/>
        <w:t xml:space="preserve">Running header: Composition of the Carnegie </w:t>
      </w:r>
      <w:r>
        <w:rPr>
          <w:i/>
          <w:iCs/>
        </w:rPr>
        <w:t>Diplodocus</w:t>
      </w:r>
      <w:r>
        <w:br w:type="page"/>
      </w:r>
    </w:p>
    <w:p>
      <w:pPr>
        <w:pStyle w:val="Abstract"/>
        <w:spacing w:lineRule="auto" w:line="480" w:before="0" w:after="142"/>
        <w:jc w:val="center"/>
        <w:rPr/>
      </w:pPr>
      <w:r>
        <w:rPr>
          <w:rFonts w:ascii="Gill Sans" w:hAnsi="Gill Sans"/>
          <w:b/>
          <w:bCs/>
          <w:i w:val="false"/>
          <w:iCs w:val="false"/>
          <w:caps/>
          <w:sz w:val="32"/>
          <w:szCs w:val="32"/>
          <w:lang w:val="en-US"/>
        </w:rPr>
        <w:t>Abstract</w:t>
      </w:r>
    </w:p>
    <w:p>
      <w:pPr>
        <w:pStyle w:val="Abstract"/>
        <w:spacing w:lineRule="auto" w:line="480"/>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spacing w:lineRule="auto" w:line="480"/>
        <w:rPr/>
      </w:pPr>
      <w:r>
        <w:rPr>
          <w:b/>
          <w:bCs/>
          <w:i w:val="false"/>
          <w:iCs w:val="false"/>
          <w:lang w:val="en-US"/>
        </w:rPr>
        <w:t>Keywords:</w:t>
      </w:r>
      <w:r>
        <w:rPr>
          <w:i w:val="false"/>
          <w:iCs w:val="false"/>
          <w:lang w:val="en-US"/>
        </w:rPr>
        <w:t xml:space="preserve"> cast, Carnegie Museum, dinosaur, history, sauropod, skeletal mount</w:t>
      </w:r>
    </w:p>
    <w:p>
      <w:pPr>
        <w:pStyle w:val="Abstract"/>
        <w:spacing w:lineRule="auto" w:line="480"/>
        <w:ind w:hanging="0" w:left="0" w:right="567"/>
        <w:rPr>
          <w:i w:val="false"/>
          <w:i w:val="false"/>
          <w:iCs w:val="false"/>
          <w:lang w:val="en-US"/>
        </w:rPr>
      </w:pPr>
      <w:r>
        <w:rPr>
          <w:i w:val="false"/>
          <w:iCs w:val="false"/>
          <w:lang w:val="en-US"/>
        </w:rPr>
      </w:r>
    </w:p>
    <w:p>
      <w:pPr>
        <w:pStyle w:val="toaheading"/>
        <w:spacing w:lineRule="auto" w:line="480"/>
        <w:rPr>
          <w:lang w:val="en-US"/>
        </w:rPr>
      </w:pPr>
      <w:r>
        <w:rPr>
          <w:lang w:val="en-US"/>
        </w:rPr>
      </w:r>
      <w:r>
        <w:br w:type="page"/>
      </w:r>
    </w:p>
    <w:p>
      <w:pPr>
        <w:pStyle w:val="toaheading"/>
        <w:spacing w:lineRule="auto" w:line="480" w:before="0" w:after="120"/>
        <w:rPr/>
      </w:pPr>
      <w:r>
        <w:rPr>
          <w:lang w:val="en-US"/>
        </w:rPr>
        <w:t>Introduction</w:t>
      </w:r>
    </w:p>
    <w:p>
      <w:pPr>
        <w:pStyle w:val="BodyText"/>
        <w:spacing w:lineRule="auto" w:line="480"/>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spacing w:lineRule="auto" w:line="480"/>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spacing w:lineRule="auto" w:line="480"/>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spacing w:lineRule="auto" w:line="480"/>
        <w:rPr/>
      </w:pPr>
      <w:bookmarkStart w:id="1" w:name="__RefHeading___Toc943_1155462304"/>
      <w:bookmarkEnd w:id="1"/>
      <w:r>
        <w:rPr>
          <w:lang w:val="en-US"/>
        </w:rPr>
        <w:t>Nomenclature</w:t>
      </w:r>
    </w:p>
    <w:p>
      <w:pPr>
        <w:pStyle w:val="BodyText"/>
        <w:spacing w:lineRule="auto" w:line="480"/>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spacing w:lineRule="auto" w:line="480"/>
        <w:rPr/>
      </w:pPr>
      <w:bookmarkStart w:id="2" w:name="__DdeLink__23596_802501007"/>
      <w:r>
        <w:rPr>
          <w:lang w:val="en-US"/>
        </w:rPr>
        <w:t xml:space="preserve">The diplodocine specimen initially designated CM 662 was traded to the Cleveland Museum of Natural History (CMNH)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i w:val="false"/>
          <w:iCs w:val="false"/>
          <w:lang w:val="en-US"/>
        </w:rPr>
        <w:t>]</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2"/>
      <w:r>
        <w:rPr>
          <w:lang w:val="en-US"/>
        </w:rPr>
        <w:t>ut.</w:t>
      </w:r>
    </w:p>
    <w:p>
      <w:pPr>
        <w:pStyle w:val="BodyText"/>
        <w:spacing w:lineRule="auto" w:line="480"/>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spacing w:lineRule="auto" w:line="480"/>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spacing w:lineRule="auto" w:line="480"/>
        <w:rPr/>
      </w:pPr>
      <w:r>
        <w:rPr>
          <w:lang w:val="en-US"/>
        </w:rPr>
        <w:t>When measurements are quoted in both imperial and metric units in either order, e.g., “84 feet (= 25.6 m)” or “23.5 m (= 77 feet)”, the first measurement is as originally reported, and the second is converted.</w:t>
      </w:r>
    </w:p>
    <w:p>
      <w:pPr>
        <w:pStyle w:val="Heading2"/>
        <w:spacing w:lineRule="auto" w:line="480"/>
        <w:rPr/>
      </w:pPr>
      <w:bookmarkStart w:id="3" w:name="__RefHeading___Toc5349_68767826"/>
      <w:bookmarkEnd w:id="3"/>
      <w:r>
        <w:rPr>
          <w:lang w:val="en-US"/>
        </w:rPr>
        <w:t>Institutional abbreviations</w:t>
      </w:r>
    </w:p>
    <w:p>
      <w:pPr>
        <w:pStyle w:val="BodyText"/>
        <w:numPr>
          <w:ilvl w:val="0"/>
          <w:numId w:val="4"/>
        </w:numPr>
        <w:spacing w:lineRule="auto" w:line="480"/>
        <w:rPr/>
      </w:pPr>
      <w:r>
        <w:rPr>
          <w:lang w:val="en-US"/>
        </w:rPr>
        <w:t>AMNH — American Museum of Natural History, New York, New York, USA.</w:t>
      </w:r>
    </w:p>
    <w:p>
      <w:pPr>
        <w:pStyle w:val="BodyText"/>
        <w:numPr>
          <w:ilvl w:val="0"/>
          <w:numId w:val="4"/>
        </w:numPr>
        <w:spacing w:lineRule="auto" w:line="480"/>
        <w:rPr/>
      </w:pPr>
      <w:r>
        <w:rPr>
          <w:lang w:val="en-US"/>
        </w:rPr>
        <w:t>BMNH — British Museum of Natural History, London, England. (Now the Natural History Museum, using the abbreviation NHMUK.)</w:t>
      </w:r>
    </w:p>
    <w:p>
      <w:pPr>
        <w:pStyle w:val="BodyText"/>
        <w:numPr>
          <w:ilvl w:val="0"/>
          <w:numId w:val="4"/>
        </w:numPr>
        <w:spacing w:lineRule="auto" w:line="480"/>
        <w:rPr/>
      </w:pPr>
      <w:r>
        <w:rPr>
          <w:lang w:val="en-US"/>
        </w:rPr>
        <w:t>BSP — Bayerische Staatssammlung für Paläontologie und Geologie, Munich, Germany.</w:t>
      </w:r>
    </w:p>
    <w:p>
      <w:pPr>
        <w:pStyle w:val="BodyText"/>
        <w:numPr>
          <w:ilvl w:val="0"/>
          <w:numId w:val="4"/>
        </w:numPr>
        <w:spacing w:lineRule="auto" w:line="480"/>
        <w:rPr/>
      </w:pPr>
      <w:r>
        <w:rPr>
          <w:lang w:val="en-US"/>
        </w:rPr>
        <w:t xml:space="preserve">BYU — Brigham Young University, </w:t>
      </w:r>
      <w:bookmarkStart w:id="4" w:name="__DdeLink__5240_14216418"/>
      <w:r>
        <w:rPr>
          <w:lang w:val="en-US"/>
        </w:rPr>
        <w:t>Provo, Utah</w:t>
      </w:r>
      <w:bookmarkEnd w:id="4"/>
      <w:r>
        <w:rPr>
          <w:lang w:val="en-US"/>
        </w:rPr>
        <w:t>, USA.</w:t>
      </w:r>
    </w:p>
    <w:p>
      <w:pPr>
        <w:pStyle w:val="BodyText"/>
        <w:numPr>
          <w:ilvl w:val="0"/>
          <w:numId w:val="4"/>
        </w:numPr>
        <w:spacing w:lineRule="auto" w:line="480"/>
        <w:rPr/>
      </w:pPr>
      <w:r>
        <w:rPr>
          <w:lang w:val="en-US"/>
        </w:rPr>
        <w:t>CM — Carnegie Museum of Natural History, Pittsburgh, Pennsylvania, USA.</w:t>
      </w:r>
    </w:p>
    <w:p>
      <w:pPr>
        <w:pStyle w:val="BodyText"/>
        <w:numPr>
          <w:ilvl w:val="0"/>
          <w:numId w:val="4"/>
        </w:numPr>
        <w:spacing w:lineRule="auto" w:line="480"/>
        <w:rPr/>
      </w:pPr>
      <w:r>
        <w:rPr>
          <w:lang w:val="en-US"/>
        </w:rPr>
        <w:t>CMNH — Cleveland Museum of Natural History, Cleveland, Ohio, USA.</w:t>
      </w:r>
    </w:p>
    <w:p>
      <w:pPr>
        <w:pStyle w:val="BodyText"/>
        <w:numPr>
          <w:ilvl w:val="0"/>
          <w:numId w:val="4"/>
        </w:numPr>
        <w:spacing w:lineRule="auto" w:line="480"/>
        <w:rPr/>
      </w:pPr>
      <w:r>
        <w:rPr>
          <w:lang w:val="en-US"/>
        </w:rPr>
        <w:t>HMNS — Houston Museum of Natural Science, Houston, Texas, USA.</w:t>
      </w:r>
    </w:p>
    <w:p>
      <w:pPr>
        <w:pStyle w:val="BodyText"/>
        <w:numPr>
          <w:ilvl w:val="0"/>
          <w:numId w:val="4"/>
        </w:numPr>
        <w:spacing w:lineRule="auto" w:line="480"/>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spacing w:lineRule="auto" w:line="480"/>
        <w:rPr/>
      </w:pPr>
      <w:r>
        <w:rPr>
          <w:lang w:val="en-US"/>
        </w:rPr>
        <w:t>MNHN — Muséum National d’Histoire Naturelle, Paris, France.</w:t>
      </w:r>
    </w:p>
    <w:p>
      <w:pPr>
        <w:pStyle w:val="BodyText"/>
        <w:numPr>
          <w:ilvl w:val="0"/>
          <w:numId w:val="4"/>
        </w:numPr>
        <w:spacing w:lineRule="auto" w:line="480"/>
        <w:rPr/>
      </w:pPr>
      <w:r>
        <w:rPr>
          <w:lang w:val="en-US"/>
        </w:rPr>
        <w:t>TAMU — Texas A&amp;M University, College Park, Texas, USA.</w:t>
      </w:r>
    </w:p>
    <w:p>
      <w:pPr>
        <w:pStyle w:val="BodyText"/>
        <w:numPr>
          <w:ilvl w:val="0"/>
          <w:numId w:val="4"/>
        </w:numPr>
        <w:spacing w:lineRule="auto" w:line="480"/>
        <w:rPr/>
      </w:pPr>
      <w:r>
        <w:rPr>
          <w:lang w:val="en-US"/>
        </w:rPr>
        <w:t>USNM — United States National Museum, Washington, District of Columbia, USA. (Now National Museum of Natural History, Smithsonian Institution.)</w:t>
      </w:r>
    </w:p>
    <w:p>
      <w:pPr>
        <w:pStyle w:val="BodyText"/>
        <w:numPr>
          <w:ilvl w:val="0"/>
          <w:numId w:val="4"/>
        </w:numPr>
        <w:spacing w:lineRule="auto" w:line="480"/>
        <w:rPr/>
      </w:pPr>
      <w:r>
        <w:rPr>
          <w:lang w:val="en-US"/>
        </w:rPr>
        <w:t>WDC — Wyoming Dinosaur Center, Thermopolis, Wyoming, USA.</w:t>
      </w:r>
    </w:p>
    <w:p>
      <w:pPr>
        <w:pStyle w:val="BodyText"/>
        <w:numPr>
          <w:ilvl w:val="0"/>
          <w:numId w:val="4"/>
        </w:numPr>
        <w:spacing w:lineRule="auto" w:line="480"/>
        <w:rPr/>
      </w:pPr>
      <w:r>
        <w:rPr>
          <w:lang w:val="en-US"/>
        </w:rPr>
        <w:t>YPM — Yale Peabody Museum, New Haven, Connecticut, USA.</w:t>
      </w:r>
    </w:p>
    <w:p>
      <w:pPr>
        <w:pStyle w:val="Heading1"/>
        <w:numPr>
          <w:ilvl w:val="0"/>
          <w:numId w:val="2"/>
        </w:numPr>
        <w:spacing w:lineRule="auto" w:line="480"/>
        <w:rPr/>
      </w:pPr>
      <w:bookmarkStart w:id="5" w:name="__RefHeading___Toc4316_68767826"/>
      <w:bookmarkEnd w:id="5"/>
      <w:r>
        <w:rPr>
          <w:lang w:val="en-US"/>
        </w:rPr>
        <w:t>Historical background</w:t>
      </w:r>
    </w:p>
    <w:p>
      <w:pPr>
        <w:pStyle w:val="BodyText"/>
        <w:spacing w:lineRule="auto" w:line="480"/>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Reed standing next to the femur that showed him slightly taller than it. The article optimistically extrapolated a total length of 130 feet, hip height of 35 feet and shoulder height of 25 feet. </w:t>
      </w:r>
      <w:r>
        <w:rPr>
          <w:lang w:val="en-US"/>
        </w:rPr>
        <w:t>Reed</w:t>
      </w:r>
      <w:r>
        <w:rPr>
          <w:rFonts w:eastAsia="Songti SC" w:cs="Arial Unicode MS"/>
          <w:color w:val="auto"/>
          <w:kern w:val="2"/>
          <w:sz w:val="24"/>
          <w:szCs w:val="24"/>
          <w:lang w:val="en-US" w:eastAsia="zh-CN" w:bidi="hi-IN"/>
        </w:rPr>
        <w:t xml:space="preserve">’s </w:t>
      </w:r>
      <w:r>
        <w:rPr>
          <w:lang w:val="en-US"/>
        </w:rPr>
        <w:t>colleague, Arthur Coggeshall (1951a:238) implies that Reed had a reputation for inflating the sizes of his finds, so it is likely that Jones was merely relaying dimensions relayed to him by Reed.</w:t>
      </w:r>
    </w:p>
    <w:p>
      <w:pPr>
        <w:pStyle w:val="BodyText"/>
        <w:spacing w:lineRule="auto" w:line="480"/>
        <w:rPr/>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 (Figure 3). He sent this to William J. Holland (Figure 2B), director of the Carnegie Museum, and followed it with a cheque for $10,000 (about $380,000 today according to </w:t>
      </w:r>
      <w:hyperlink r:id="rId7">
        <w:r>
          <w:rPr>
            <w:rStyle w:val="Hyperlink"/>
            <w:u w:val="none"/>
            <w:lang w:val="en-US"/>
          </w:rPr>
          <w:t>https://www.in2013dollars.com/</w:t>
        </w:r>
      </w:hyperlink>
      <w:r>
        <w:rPr>
          <w:u w:val="none"/>
          <w:lang w:val="en-US"/>
        </w:rPr>
        <w:t xml:space="preserve">) (Holland 1930:84). (Many accounts — including that of Holland (1930:83) himself — 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pPr>
        <w:pStyle w:val="BodyText"/>
        <w:spacing w:lineRule="auto" w:line="480"/>
        <w:rPr/>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pPr>
        <w:pStyle w:val="BodyText"/>
        <w:spacing w:lineRule="auto" w:line="480"/>
        <w:rPr/>
      </w:pPr>
      <w:r>
        <w:rPr>
          <w:lang w:val="en-US"/>
        </w:rPr>
        <w:t>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1997, Rieppel 2019:8-10).</w:t>
      </w:r>
    </w:p>
    <w:p>
      <w:pPr>
        <w:pStyle w:val="BodyText"/>
        <w:spacing w:lineRule="auto" w:line="480"/>
        <w:rPr/>
      </w:pPr>
      <w:r>
        <w:rPr>
          <w:lang w:val="en-US"/>
        </w:rPr>
        <w:t>On 2 or 3 July 1899, Wortman or possibly Coggeshall (accounts differ) found the first bones of a largely complete sauropod specimen at Sheep Creek in Albany County, Wyoming (Figure 4).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5) collected the skeleton across a period of several months (Hatcher 1901:3–4, Nieuwland 2019:44). This specimen was designated CM 84. It consisted of 14 cervical vertebrae C2–15 (although see Taylor 2022a:8–11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spacing w:lineRule="auto" w:line="480"/>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spacing w:lineRule="auto" w:line="480"/>
        <w:rPr/>
      </w:pPr>
      <w:r>
        <w:rPr>
          <w:lang w:val="en-US"/>
        </w:rPr>
        <w:t xml:space="preserve">Both specimens were prepared out of their matrix by </w:t>
      </w:r>
      <w:bookmarkStart w:id="6" w:name="__DdeLink__1748_1383514131"/>
      <w:r>
        <w:rPr>
          <w:lang w:val="en-US"/>
        </w:rPr>
        <w:t>Arthur S. Coggeshall</w:t>
      </w:r>
      <w:bookmarkEnd w:id="6"/>
      <w:r>
        <w:rPr>
          <w:lang w:val="en-US"/>
        </w:rPr>
        <w:t xml:space="preserve"> (Figure 2D) and his team (Figure 6).</w:t>
      </w:r>
    </w:p>
    <w:p>
      <w:pPr>
        <w:pStyle w:val="BodyText"/>
        <w:spacing w:lineRule="auto" w:line="480"/>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7).</w:t>
      </w:r>
    </w:p>
    <w:p>
      <w:pPr>
        <w:pStyle w:val="BodyText"/>
        <w:spacing w:lineRule="auto" w:line="480"/>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And in Holland’s (1930:84) telling, it was a lead-pencil sketch.</w:t>
      </w:r>
    </w:p>
    <w:p>
      <w:pPr>
        <w:pStyle w:val="BodyText"/>
        <w:spacing w:lineRule="auto" w:line="480"/>
        <w:rPr/>
      </w:pPr>
      <w:r>
        <w:rPr>
          <w:lang w:val="en-US"/>
        </w:rPr>
        <w:t xml:space="preserve">Happily, we were able to resolve these contradictions. Victoria Connor of The Carnegie Club (pers. comm., 2024), which now owns Skibo Castle, informed us that no relevant watercolour or lead-pencil artwork remains in the castle today, and suggested that whatever artwork was involved, the Andrew Carnegie Birthplace Museum might have acquired it. Jennifer Jones of the Birthplace Museum was able to confirm (pers. comm., 2024) that they have no watercolour or lead-pencil artwork of the </w:t>
      </w:r>
      <w:r>
        <w:rPr>
          <w:i/>
          <w:iCs/>
          <w:lang w:val="en-US"/>
        </w:rPr>
        <w:t>Diplodocus</w:t>
      </w:r>
      <w:r>
        <w:rPr>
          <w:lang w:val="en-US"/>
        </w:rPr>
        <w:t>, but that the printed plate in question was donated from Skibo Castle to the Birthplace Museum as part of its founding gift in 1928, along with other items associated with the King’s 1902 visit. The print is accessioned as ACBM 1928/461 and remains at the museum, although it is not currently on display (Figure 8). All evidence therefore suggests that it was this print that the King saw — a print which we have confirmed is identical to that included in Hatcher (1901).</w:t>
      </w:r>
    </w:p>
    <w:p>
      <w:pPr>
        <w:pStyle w:val="BodyText"/>
        <w:spacing w:lineRule="auto" w:line="480"/>
        <w:rPr/>
      </w:pPr>
      <w:r>
        <w:rPr>
          <w:lang w:val="en-US"/>
        </w:rPr>
        <w:t xml:space="preserve">At any rate, the King was impressed by the </w:t>
      </w:r>
      <w:r>
        <w:rPr>
          <w:i/>
          <w:iCs/>
          <w:lang w:val="en-US"/>
        </w:rPr>
        <w:t>Diplodocus</w:t>
      </w:r>
      <w:r>
        <w:rPr>
          <w:lang w:val="en-US"/>
        </w:rPr>
        <w:t xml:space="preserve"> skeletal reconstruction, and requested a specimen for the British Museum (Natural History) in London, of which he was a trustee (Nieuwland 2019:50). Carnegie was part of a peace movement that aspired to put an end to war through the creation of a system of arbitration for the resolution of international conflict. F</w:t>
      </w:r>
      <w:r>
        <w:rPr>
          <w:rFonts w:eastAsia="Songti SC" w:cs="Arial Unicode MS"/>
          <w:color w:val="auto"/>
          <w:kern w:val="2"/>
          <w:sz w:val="24"/>
          <w:szCs w:val="24"/>
          <w:lang w:val="en-US" w:eastAsia="zh-CN" w:bidi="hi-IN"/>
        </w:rPr>
        <w:t>o</w:t>
      </w:r>
      <w:r>
        <w:rPr>
          <w:lang w:val="en-US"/>
        </w:rPr>
        <w:t xml:space="preserve">r this reason, keen to gain favor with men of influence, he happily undertook to provide one as a gift, and on 2 October wrote to Holland to ask him to excavate another </w:t>
      </w:r>
      <w:r>
        <w:rPr>
          <w:i/>
          <w:iCs/>
          <w:lang w:val="en-US"/>
        </w:rPr>
        <w:t>Diplodocus</w:t>
      </w:r>
      <w:r>
        <w:rPr>
          <w:lang w:val="en-US"/>
        </w:rPr>
        <w:t xml:space="preserve"> for the British Museum (Figure 9).</w:t>
      </w:r>
    </w:p>
    <w:p>
      <w:pPr>
        <w:pStyle w:val="BodyText"/>
        <w:spacing w:lineRule="auto" w:line="480"/>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spacing w:lineRule="auto" w:line="480"/>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spacing w:lineRule="auto" w:line="480"/>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Pittsbugh manufacturer of church statuary (Seneff 1947:118). Other members of the Italian crew included Emile Poli and Manno Fabri (Krishtalka 1988:15). The molding and casting process was elaborate, as described by Seneff (1947:118):</w:t>
      </w:r>
    </w:p>
    <w:p>
      <w:pPr>
        <w:pStyle w:val="BlockQuotation"/>
        <w:spacing w:lineRule="auto" w:line="480"/>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spacing w:lineRule="auto" w:line="480"/>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 to thirty-piece molds to capture their complexities (Holland quoted in Nieuwland 2019:63).</w:t>
      </w:r>
    </w:p>
    <w:p>
      <w:pPr>
        <w:pStyle w:val="BodyText"/>
        <w:spacing w:lineRule="auto" w:line="480"/>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spacing w:lineRule="auto" w:line="480"/>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spacing w:lineRule="auto" w:line="480"/>
        <w:rPr/>
      </w:pPr>
      <w:r>
        <w:rPr>
          <w:lang w:val="en-US"/>
        </w:rPr>
        <w:t xml:space="preserve">In the early summer of 1904, the cast created for the British Museum was temporarily mounted as a trial in the Main Hall of the Pittsburgh Exposition Society at The Point in downtown Pittsburgh (Figure 10; </w:t>
      </w:r>
      <w:bookmarkStart w:id="7" w:name="__DdeLink__1838_3070709084"/>
      <w:r>
        <w:rPr>
          <w:lang w:val="en-US"/>
        </w:rPr>
        <w:t>photograph in Nieuwland 2019:figure 3.1</w:t>
      </w:r>
      <w:bookmarkEnd w:id="7"/>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Arthur</w:t>
      </w:r>
      <w:r>
        <w:rPr>
          <w:rFonts w:eastAsia="Songti SC" w:cs="Arial Unicode MS"/>
          <w:color w:val="auto"/>
          <w:kern w:val="2"/>
          <w:sz w:val="24"/>
          <w:szCs w:val="24"/>
          <w:lang w:val="en-US" w:eastAsia="zh-CN" w:bidi="hi-IN"/>
        </w:rPr>
        <w:t xml:space="preserve">’s brother </w:t>
      </w:r>
      <w:r>
        <w:rPr>
          <w:lang w:val="en-US"/>
        </w:rPr>
        <w:t>Louis. S. Coggeshall (Coggeshall 1951b:276).</w:t>
      </w:r>
    </w:p>
    <w:p>
      <w:pPr>
        <w:pStyle w:val="BodyText"/>
        <w:spacing w:lineRule="auto" w:line="480"/>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spacing w:lineRule="auto" w:line="480"/>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spacing w:lineRule="auto" w:line="480"/>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spacing w:lineRule="auto" w:line="480"/>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spacing w:lineRule="auto" w:line="480"/>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spacing w:lineRule="auto" w:line="480"/>
        <w:rPr/>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pPr>
        <w:pStyle w:val="BodyText"/>
        <w:spacing w:lineRule="auto" w:line="480"/>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spacing w:lineRule="auto" w:line="480"/>
        <w:rPr/>
      </w:pPr>
      <w:r>
        <w:rPr>
          <w:lang w:val="en-US"/>
        </w:rPr>
        <w:t xml:space="preserve">By 1906 or perhaps late 1905, work had begun to mount the original </w:t>
      </w:r>
      <w:r>
        <w:rPr>
          <w:i/>
          <w:iCs/>
          <w:lang w:val="en-US"/>
        </w:rPr>
        <w:t>Diplodocus</w:t>
      </w:r>
      <w:r>
        <w:rPr>
          <w:lang w:val="en-US"/>
        </w:rPr>
        <w:t xml:space="preserve"> fossils at the Carnegie Museum — a logistically demanding undertaking. “The work of mounting the original specimen, owing to the great weight of the bones and their extreme brittleness, is a far more difficult task than the work of mounting the replica which is now in the British Museum” (Carnegie Museum, 1906:30). This annual report, published in Spring 1906, expressed an optimistic hope that the mount would be complete by 1 November of that year. The next year’s report said that Arthur and Louis Coggeshall and Agostini “have with remarkable skill and ingenuity completed the mounting of the great skeleton of the </w:t>
      </w:r>
      <w:r>
        <w:rPr>
          <w:i/>
          <w:iCs/>
          <w:lang w:val="en-US"/>
        </w:rPr>
        <w:t>Diplodocus</w:t>
      </w:r>
      <w:r>
        <w:rPr>
          <w:lang w:val="en-US"/>
        </w:rPr>
        <w:t>” (Carnegie Museum, 1907:25), presumably some time before the report’s cut-off date of 31 March.</w:t>
      </w:r>
    </w:p>
    <w:p>
      <w:pPr>
        <w:pStyle w:val="BodyText"/>
        <w:spacing w:lineRule="auto" w:line="480"/>
        <w:rPr/>
      </w:pPr>
      <w:r>
        <w:rPr>
          <w:lang w:val="en-US"/>
        </w:rPr>
        <w:t xml:space="preserve">The mounted skeleton’s public debut was on 11 April 1907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(formerly the Prussian trade minister) and the Frenchman Paul Doumer (formerly President of the Chamber of Deputies),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spacing w:lineRule="auto" w:line="480"/>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spacing w:lineRule="auto" w:line="480"/>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spacing w:lineRule="auto" w:line="480"/>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spacing w:lineRule="auto" w:line="480"/>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spacing w:lineRule="auto" w:line="480"/>
        <w:rPr/>
      </w:pPr>
      <w:r>
        <w:rPr>
          <w:lang w:val="en-US"/>
        </w:rPr>
        <w:t>On 27 October 1909, the last of the original batch of five casts was mounted in Bologna, Italy. While the name of King Victor Emmanuel III was invoked, gratifying Carnegie’s desire to be seen to be responding to requests from heads of state, Giovanni Capellini, the director of the Aldrovandi museum at the university, was the true originator of the request (Nieuwland 2019:227–228). Although previously casts had been erected in only the capital cities of the countries they were donated to, Bologna was considered an appropriate venue, perhaps partly because Università di Bologna is the oldest continuously operating university in the world.</w:t>
      </w:r>
    </w:p>
    <w:p>
      <w:pPr>
        <w:pStyle w:val="BodyText"/>
        <w:spacing w:lineRule="auto" w:line="480"/>
        <w:rPr/>
      </w:pPr>
      <w:r>
        <w:rPr>
          <w:lang w:val="en-US"/>
        </w:rPr>
        <w:t xml:space="preserve">The original casts had now all been given away, but requests kept coming in, which led Carnegie and Holland to have another five casts prepared. The first planned donation, to Rio de Janeiro, was thwarted by the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Coggeshall’s (1951c:313–314) published reminiscences of his work in Russia with </w:t>
      </w:r>
      <w:r>
        <w:rPr>
          <w:i/>
          <w:iCs/>
          <w:lang w:val="en-US"/>
        </w:rPr>
        <w:t>Diplodocus</w:t>
      </w:r>
      <w:r>
        <w:rPr>
          <w:lang w:val="en-US"/>
        </w:rPr>
        <w:t xml:space="preserve"> made no mention at all of this incident, and we considered it apocryphal until Konstantin Rybakov sent us a translated account from a contemporary Russian journal (Vejberg et al. 1911:22) containing the words “this rather difficult work was completed safely, except for a small breakdown of pelvis and several vertebrae that broke off the chains at the first attempt to lift them, which was fixed without much difficulty in a few days”. So Holland’s stories seem to be broadly true, though exaggerated.</w:t>
      </w:r>
    </w:p>
    <w:p>
      <w:pPr>
        <w:pStyle w:val="BodyText"/>
        <w:spacing w:lineRule="auto" w:line="480"/>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Taylor, in prep.).</w:t>
      </w:r>
    </w:p>
    <w:p>
      <w:pPr>
        <w:pStyle w:val="BodyText"/>
        <w:spacing w:lineRule="auto" w:line="480"/>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spacing w:lineRule="auto" w:line="480"/>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spacing w:lineRule="auto" w:line="480"/>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spacing w:lineRule="auto" w:line="480"/>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pPr>
        <w:pStyle w:val="BodyText"/>
        <w:spacing w:lineRule="auto" w:line="480"/>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spacing w:lineRule="auto" w:line="480"/>
        <w:rPr/>
      </w:pPr>
      <w:r>
        <w:rPr>
          <w:lang w:val="en-US"/>
        </w:rPr>
        <w:t xml:space="preserve">The outbreak of World War I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spacing w:lineRule="auto" w:line="480"/>
        <w:rPr/>
      </w:pPr>
      <w:r>
        <w:rPr>
          <w:lang w:val="en-US"/>
        </w:rPr>
        <w:t>By the time of his death, Carnegie had mostly succeeded in giving away his fortune, and it soon became clear that the museum’s previously luxurious financial circumstances were to be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at 12% as much –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p>
    <w:p>
      <w:pPr>
        <w:pStyle w:val="BodyText"/>
        <w:spacing w:lineRule="auto" w:line="480"/>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spacing w:lineRule="auto" w:line="480"/>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Arthur Coggeshall’s brother Louis, to set up his last </w:t>
      </w:r>
      <w:r>
        <w:rPr>
          <w:i/>
          <w:iCs/>
          <w:lang w:val="en-US"/>
        </w:rPr>
        <w:t>Diplodocus</w:t>
      </w:r>
      <w:r>
        <w:rPr>
          <w:lang w:val="en-US"/>
        </w:rPr>
        <w:t xml:space="preserve"> at the Universidad Nacional Autónoma de México, the oldest university in the Western Hemisphere. He was compelled to return home shortly before the mount was completed (Rea 2001:209), and the task was finished by Louis Coggeshall, but there was no formal unveiling ceremony in Holland’s absence. A year and a half later, Holland died of a stroke on 13 December 1932.</w:t>
      </w:r>
    </w:p>
    <w:p>
      <w:pPr>
        <w:pStyle w:val="BodyText"/>
        <w:spacing w:lineRule="auto" w:line="480"/>
        <w:rPr/>
      </w:pPr>
      <w:bookmarkStart w:id="8"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II,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8"/>
      <w:r>
        <w:rPr>
          <w:lang w:val="en-US"/>
        </w:rPr>
        <w:t>ne.</w:t>
      </w:r>
    </w:p>
    <w:p>
      <w:pPr>
        <w:pStyle w:val="BodyText"/>
        <w:spacing w:lineRule="auto" w:line="480"/>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9" w:name="__DdeLink__25488_802501007"/>
      <w:r>
        <w:rPr>
          <w:lang w:val="en-US"/>
        </w:rPr>
        <w:t>Unterm</w:t>
      </w:r>
      <w:bookmarkEnd w:id="9"/>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further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spacing w:lineRule="auto" w:line="480"/>
        <w:rPr/>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the skull CM 11161 attributed to </w:t>
      </w:r>
      <w:r>
        <w:rPr>
          <w:i/>
          <w:iCs/>
          <w:lang w:val="en-US"/>
        </w:rPr>
        <w:t>Diplodocus</w:t>
      </w:r>
      <w:r>
        <w:rPr>
          <w:lang w:val="en-US"/>
        </w:rPr>
        <w:t xml:space="preserve"> (but see below) “whose value and delicate condition required that it be accompanied by museum staff on the trip to Japan” (Duda 1992). Andy Redline (who headed the project) and Norm Wuerthele were the staff members who hand-carried the skull in July 1992. However, on entry into Japan, customs officials opened the boxes containing the skull and mandible without the presence of either staff member. When the skull was returned to them, it had been damaged by inexpert handling. Because of this, it was not used in the exhibition. At some point during the Japanese visit, the armature that had supported this skull and mandible was also lost. When the exhibition period was over, in October 1993, Redline and Wuerthele returned to Japan to collect the skull, and one of us (Henrici) repaired it on its return.</w:t>
      </w:r>
    </w:p>
    <w:p>
      <w:pPr>
        <w:pStyle w:val="BodyText"/>
        <w:spacing w:lineRule="auto" w:line="480"/>
        <w:rPr/>
      </w:pPr>
      <w:r>
        <w:rPr>
          <w:lang w:val="en-US"/>
        </w:rPr>
        <w:t xml:space="preserve">See Table 1 for a summary of all the original Carnegie </w:t>
      </w:r>
      <w:r>
        <w:rPr>
          <w:i/>
          <w:iCs/>
          <w:lang w:val="en-US"/>
        </w:rPr>
        <w:t>Diplodocus</w:t>
      </w:r>
      <w:r>
        <w:rPr>
          <w:lang w:val="en-US"/>
        </w:rPr>
        <w:t xml:space="preserve"> casts and the original mount, in chronological order; see Taylor et al. (2023:table 1) for a summary of all known second-generation casts.</w:t>
      </w:r>
    </w:p>
    <w:p>
      <w:pPr>
        <w:pStyle w:val="Heading1"/>
        <w:numPr>
          <w:ilvl w:val="0"/>
          <w:numId w:val="1"/>
        </w:numPr>
        <w:spacing w:lineRule="auto" w:line="480"/>
        <w:rPr/>
      </w:pPr>
      <w:bookmarkStart w:id="10" w:name="__RefHeading___Toc1836_55120580"/>
      <w:bookmarkEnd w:id="10"/>
      <w:r>
        <w:rPr>
          <w:lang w:val="en-US"/>
        </w:rPr>
        <w:t>Material in the mounted skeleton</w:t>
      </w:r>
    </w:p>
    <w:p>
      <w:pPr>
        <w:pStyle w:val="Heading2"/>
        <w:spacing w:lineRule="auto" w:line="480"/>
        <w:rPr/>
      </w:pPr>
      <w:bookmarkStart w:id="11" w:name="__RefHeading___Toc1838_55120580"/>
      <w:bookmarkEnd w:id="11"/>
      <w:r>
        <w:rPr>
          <w:lang w:val="en-US"/>
        </w:rPr>
        <w:t>The original mount at the Carnegie Museum</w:t>
      </w:r>
    </w:p>
    <w:p>
      <w:pPr>
        <w:pStyle w:val="BodyText"/>
        <w:spacing w:lineRule="auto" w:line="480"/>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spacing w:lineRule="auto" w:line="480"/>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spacing w:lineRule="auto" w:line="480"/>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spacing w:lineRule="auto" w:line="480"/>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spacing w:lineRule="auto" w:line="480"/>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new genus </w:t>
      </w:r>
      <w:r>
        <w:rPr>
          <w:i/>
          <w:iCs/>
          <w:lang w:val="en-US"/>
        </w:rPr>
        <w:t>Galeamopus</w:t>
      </w:r>
      <w:r>
        <w:rPr>
          <w:lang w:val="en-US"/>
        </w:rPr>
        <w:t xml:space="preserve"> (Tschopp et al. 2015:267).</w:t>
      </w:r>
    </w:p>
    <w:p>
      <w:pPr>
        <w:pStyle w:val="BodyText"/>
        <w:numPr>
          <w:ilvl w:val="0"/>
          <w:numId w:val="6"/>
        </w:numPr>
        <w:spacing w:lineRule="auto" w:line="480"/>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spacing w:lineRule="auto" w:line="480"/>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spacing w:lineRule="auto" w:line="480"/>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spacing w:lineRule="auto" w:line="480"/>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11).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spacing w:lineRule="auto" w:line="480"/>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spacing w:lineRule="auto" w:line="480"/>
        <w:rPr/>
      </w:pPr>
      <w:r>
        <w:rPr>
          <w:b/>
          <w:bCs/>
          <w:i/>
          <w:iCs/>
          <w:lang w:val="en-US"/>
        </w:rPr>
        <w:t>Diplodocus carnegii</w:t>
      </w:r>
      <w:r>
        <w:rPr>
          <w:lang w:val="en-US"/>
        </w:rPr>
        <w:t xml:space="preserve"> Hatcher, 1901</w:t>
      </w:r>
    </w:p>
    <w:p>
      <w:pPr>
        <w:pStyle w:val="BlockQuotation"/>
        <w:spacing w:lineRule="auto" w:line="480"/>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2" w:name="__DdeLink__6642_3823776798"/>
      <w:r>
        <w:rPr>
          <w:lang w:val="en-US"/>
        </w:rPr>
        <w:t>right tibia-fibula-pes</w:t>
      </w:r>
      <w:bookmarkEnd w:id="12"/>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spacing w:lineRule="auto" w:line="480"/>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spacing w:lineRule="auto" w:line="480"/>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spacing w:lineRule="auto" w:line="480"/>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at least as regards size.</w:t>
      </w:r>
    </w:p>
    <w:p>
      <w:pPr>
        <w:pStyle w:val="BodyText"/>
        <w:spacing w:lineRule="auto" w:line="480"/>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spacing w:lineRule="auto" w:line="480"/>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spacing w:lineRule="auto" w:line="480"/>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12).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spacing w:lineRule="auto" w:line="480"/>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2022b)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spacing w:lineRule="auto" w:line="480"/>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spacing w:lineRule="auto" w:line="480"/>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spacing w:lineRule="auto" w:line="480"/>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spacing w:lineRule="auto" w:line="480"/>
        <w:rPr/>
      </w:pPr>
      <w:r>
        <w:rPr>
          <w:lang w:val="en-US"/>
        </w:rPr>
        <w:t>Table 2 summarizes the contributions from different specimens to the Carnegie mount (and subsequent modifications, and the casts). Figure 13 shows graphically the contributions of the different specimens to the original mounted skeleton. Figure 14 shows the original mount as it appeared in 1907, and highlights the difference between humeri, that of the left forelimb having been supplied from the camarasaurid specimen CM 21775.</w:t>
      </w:r>
    </w:p>
    <w:p>
      <w:pPr>
        <w:pStyle w:val="Heading2"/>
        <w:spacing w:lineRule="auto" w:line="480"/>
        <w:rPr/>
      </w:pPr>
      <w:bookmarkStart w:id="13" w:name="__RefHeading___Toc3280_55120580"/>
      <w:bookmarkEnd w:id="13"/>
      <w:r>
        <w:rPr>
          <w:lang w:val="en-US"/>
        </w:rPr>
        <w:t>Changes made to the mount at the Carnegie Museum</w:t>
      </w:r>
    </w:p>
    <w:p>
      <w:pPr>
        <w:pStyle w:val="Heading3"/>
        <w:spacing w:lineRule="auto" w:line="480"/>
        <w:rPr/>
      </w:pPr>
      <w:bookmarkStart w:id="14" w:name="__RefHeading___Toc3738_2834848739"/>
      <w:bookmarkEnd w:id="14"/>
      <w:r>
        <w:rPr>
          <w:lang w:val="en-US"/>
        </w:rPr>
        <w:t>Replacement of skull with replica of CM 11161</w:t>
      </w:r>
    </w:p>
    <w:p>
      <w:pPr>
        <w:pStyle w:val="BodyText"/>
        <w:spacing w:lineRule="auto" w:line="480"/>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1981:17).</w:t>
      </w:r>
    </w:p>
    <w:p>
      <w:pPr>
        <w:pStyle w:val="BodyText"/>
        <w:spacing w:lineRule="auto" w:line="480"/>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spacing w:lineRule="auto" w:line="480"/>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(1994:92)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spacing w:lineRule="auto" w:line="480"/>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spacing w:lineRule="auto" w:line="480"/>
        <w:rPr/>
      </w:pPr>
      <w:r>
        <w:rPr>
          <w:lang w:val="en-US"/>
        </w:rPr>
        <w:t>Regarding whether the present skull is a cast or a sculpture: it captures bone texture, including damage, very accurately (Figure 15).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spacing w:lineRule="auto" w:line="480"/>
        <w:rPr/>
      </w:pPr>
      <w:r>
        <w:rPr>
          <w:lang w:val="en-US"/>
        </w:rPr>
        <w:t>It is possible that the atlas was replaced at the same time as the skull (see above).</w:t>
      </w:r>
    </w:p>
    <w:p>
      <w:pPr>
        <w:pStyle w:val="Heading3"/>
        <w:spacing w:lineRule="auto" w:line="480"/>
        <w:rPr/>
      </w:pPr>
      <w:bookmarkStart w:id="15" w:name="__RefHeading___Toc16707_802501007"/>
      <w:bookmarkEnd w:id="15"/>
      <w:r>
        <w:rPr>
          <w:lang w:val="en-US"/>
        </w:rPr>
        <w:t>Suspension of neck</w:t>
      </w:r>
    </w:p>
    <w:p>
      <w:pPr>
        <w:pStyle w:val="BodyText"/>
        <w:spacing w:lineRule="auto" w:line="480"/>
        <w:rPr/>
      </w:pPr>
      <w:r>
        <w:rPr>
          <w:lang w:val="en-US"/>
        </w:rPr>
        <w:t xml:space="preserve">In a photograph of the mounted </w:t>
      </w:r>
      <w:r>
        <w:rPr>
          <w:i/>
          <w:iCs/>
          <w:lang w:val="en-US"/>
        </w:rPr>
        <w:t>Diplodocus</w:t>
      </w:r>
      <w:r>
        <w:rPr>
          <w:lang w:val="en-US"/>
        </w:rPr>
        <w:t xml:space="preserve"> taken some time between 1985 and 1999 (Figure 16), the neck is shown suspended from the ceiling. This is in contrast to older photos in which it is supported from beneath by a tripartite pole (Figure 14). However, the tail remained in its original dragging posture.</w:t>
      </w:r>
    </w:p>
    <w:p>
      <w:pPr>
        <w:pStyle w:val="BodyText"/>
        <w:spacing w:lineRule="auto" w:line="480"/>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16.)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spacing w:lineRule="auto" w:line="480"/>
        <w:rPr/>
      </w:pPr>
      <w:bookmarkStart w:id="16" w:name="__RefHeading___Toc3740_2834848739"/>
      <w:bookmarkEnd w:id="16"/>
      <w:r>
        <w:rPr>
          <w:lang w:val="en-US"/>
        </w:rPr>
        <w:t>1999 replacement of forefeet with CM 662 replicas</w:t>
      </w:r>
    </w:p>
    <w:p>
      <w:pPr>
        <w:pStyle w:val="BodyText"/>
        <w:spacing w:lineRule="auto" w:line="480"/>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14A–B, Figure 17A), although it was already known at the time of mounting that sauropod forefeet had claws on only the first digit (Osborn 1904:181). Nearly a century later, in the second quarter of 1999, these errors were finally remedied, when Norman Wuerthele and one of us (Henrici) made casts of the forefeet of CM 662 (Carnegie Institute 1999:2), which were installed on the mount shortly thereafter (Figure 17C). Although CM 662 was originally a Carnegie Museum specimen, by this point it was at the Houston Museum of Natural Science.</w:t>
      </w:r>
    </w:p>
    <w:p>
      <w:pPr>
        <w:pStyle w:val="Heading3"/>
        <w:spacing w:lineRule="auto" w:line="480"/>
        <w:rPr/>
      </w:pPr>
      <w:bookmarkStart w:id="17" w:name="__RefHeading___Toc6555_802501007"/>
      <w:bookmarkEnd w:id="17"/>
      <w:r>
        <w:rPr>
          <w:lang w:val="en-US"/>
        </w:rPr>
        <w:t>2007–2008 refurbishment of the dinosaur exhibition</w:t>
      </w:r>
    </w:p>
    <w:p>
      <w:pPr>
        <w:pStyle w:val="BodyText"/>
        <w:spacing w:lineRule="auto" w:line="480"/>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spacing w:lineRule="auto" w:line="480"/>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spacing w:lineRule="auto" w:line="480"/>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18), and several changes were made to the materials incorporated in the mount, detailed in the following sections.</w:t>
      </w:r>
    </w:p>
    <w:p>
      <w:pPr>
        <w:pStyle w:val="Heading3"/>
        <w:spacing w:lineRule="auto" w:line="480"/>
        <w:rPr/>
      </w:pPr>
      <w:bookmarkStart w:id="18" w:name="__RefHeading___Toc3742_2834848739"/>
      <w:bookmarkEnd w:id="18"/>
      <w:r>
        <w:rPr>
          <w:lang w:val="en-US"/>
        </w:rPr>
        <w:t xml:space="preserve">Forefeet </w:t>
      </w:r>
      <w:bookmarkStart w:id="19" w:name="__DdeLink__2734_4144573659"/>
      <w:r>
        <w:rPr>
          <w:lang w:val="en-US"/>
        </w:rPr>
        <w:t>WDC-FS001A</w:t>
      </w:r>
      <w:bookmarkEnd w:id="19"/>
    </w:p>
    <w:p>
      <w:pPr>
        <w:pStyle w:val="BodyText"/>
        <w:spacing w:lineRule="auto" w:line="480"/>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cast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17D). At this point the old CM 662-based casts were moved into the collection and given their own catalog number, CM 81786.</w:t>
      </w:r>
    </w:p>
    <w:p>
      <w:pPr>
        <w:pStyle w:val="BodyText"/>
        <w:spacing w:lineRule="auto" w:line="480"/>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spacing w:lineRule="auto" w:line="480"/>
        <w:rPr/>
      </w:pPr>
      <w:bookmarkStart w:id="20" w:name="__RefHeading___Toc3744_2834848739"/>
      <w:bookmarkEnd w:id="20"/>
      <w:r>
        <w:rPr>
          <w:lang w:val="en-US"/>
        </w:rPr>
        <w:t>Forelimb elements from BYU material</w:t>
      </w:r>
    </w:p>
    <w:p>
      <w:pPr>
        <w:pStyle w:val="BodyText"/>
        <w:spacing w:lineRule="auto" w:line="480"/>
        <w:rPr/>
      </w:pPr>
      <w:r>
        <w:rPr>
          <w:lang w:val="en-US"/>
        </w:rPr>
        <w:t>The initial version of the Carnegie mount included the obviously incorrect left humerus, radius, and ulna of the camarasaurid specimen CM 21775 (Figure 14B, E). These remained in place into the 1930s (Figure 14A) and are generally said to have been retained until the 2007 remount (e.g., Tschopp et al. 2019:33). This is most likely correct, but it is notable that in a photograph taken some time between 1985 and 1999 (Figure 16),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spacing w:lineRule="auto" w:line="480"/>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8"/>
        </w:numPr>
        <w:spacing w:lineRule="auto" w:line="480"/>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paleontology department did not have the necessary resources to mold and cast replicas of the required limb bones.</w:t>
      </w:r>
    </w:p>
    <w:p>
      <w:pPr>
        <w:pStyle w:val="BodyText"/>
        <w:numPr>
          <w:ilvl w:val="0"/>
          <w:numId w:val="8"/>
        </w:numPr>
        <w:spacing w:lineRule="auto" w:line="480"/>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8"/>
        </w:numPr>
        <w:spacing w:lineRule="auto" w:line="480"/>
        <w:rPr/>
      </w:pPr>
      <w:r>
        <w:rPr>
          <w:lang w:val="en-US"/>
        </w:rPr>
        <w:t xml:space="preserve">The Wyoming Dinosaur Center had relevant elements but they were all too small (about 60% the size of CM 84). </w:t>
      </w:r>
    </w:p>
    <w:p>
      <w:pPr>
        <w:pStyle w:val="BodyText"/>
        <w:numPr>
          <w:ilvl w:val="0"/>
          <w:numId w:val="8"/>
        </w:numPr>
        <w:spacing w:lineRule="auto" w:line="480"/>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spacing w:lineRule="auto" w:line="480"/>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spacing w:lineRule="auto" w:line="480"/>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xml:space="preserve">. Ray Wilhite (pers. comm., 2024) confirms that the humerus “is part of a partial skeleton of a </w:t>
      </w:r>
      <w:r>
        <w:rPr>
          <w:i/>
          <w:iCs/>
          <w:lang w:val="en-US"/>
        </w:rPr>
        <w:t>Diplodocus</w:t>
      </w:r>
      <w:r>
        <w:rPr>
          <w:i w:val="false"/>
          <w:iCs w:val="false"/>
          <w:lang w:val="en-US"/>
        </w:rPr>
        <w:t xml:space="preserve"> and lacks medially bowed body and medially offset head characteristic of </w:t>
      </w:r>
      <w:r>
        <w:rPr>
          <w:i/>
          <w:iCs/>
          <w:lang w:val="en-US"/>
        </w:rPr>
        <w:t>Camarasaurus</w:t>
      </w:r>
      <w:r>
        <w:rPr>
          <w:i w:val="false"/>
          <w:iCs w:val="false"/>
          <w:lang w:val="en-US"/>
        </w:rPr>
        <w:t>”.</w:t>
      </w:r>
    </w:p>
    <w:p>
      <w:pPr>
        <w:pStyle w:val="BodyText"/>
        <w:spacing w:lineRule="auto" w:line="480"/>
        <w:rPr/>
      </w:pPr>
      <w:r>
        <w:rPr>
          <w:lang w:val="en-US"/>
        </w:rPr>
        <w:t xml:space="preserve">The BYU humerus, radius and ulna respectively measure 61, 47 and 48 cm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spacing w:lineRule="auto" w:line="480"/>
        <w:rPr/>
      </w:pPr>
      <w:bookmarkStart w:id="21" w:name="__RefHeading___Toc3746_2834848739"/>
      <w:bookmarkEnd w:id="21"/>
      <w:r>
        <w:rPr>
          <w:lang w:val="en-US"/>
        </w:rPr>
        <w:t>Caudal vertebrae</w:t>
      </w:r>
    </w:p>
    <w:p>
      <w:pPr>
        <w:pStyle w:val="BodyText"/>
        <w:spacing w:lineRule="auto" w:line="480"/>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spacing w:lineRule="auto" w:line="480"/>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spacing w:lineRule="auto" w:line="480"/>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“doubtless pertain to two or more individuals” (Hatcher 1901:34). Of the 11 unprepared vertebrae, one (field no. 5) was subsequently identified as a cervical, but the other ten are probably all caudals (McIntosh 2005b). This gives us a total of at most 30 caudals from this specimen, 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p>
    <w:p>
      <w:pPr>
        <w:pStyle w:val="BodyText"/>
        <w:spacing w:lineRule="auto" w:line="480"/>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spacing w:lineRule="auto" w:line="480"/>
        <w:rPr/>
      </w:pPr>
      <w:r>
        <w:rPr/>
        <w:t>It seems likely, then, that at least seven of the caudal vertebrae used in the mount in the ranges 13–31 and 33–36 were probably plaster casts.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is possible that first of the two “32nd caudals” in Scott Lucas’s list is the real anteriormost preserved caudal of the sequence from CM 307, and the second is a cast of a CM 94 vertebra.</w:t>
      </w:r>
      <w:r>
        <w:rPr>
          <w:lang w:val="en-US"/>
        </w:rPr>
        <w:t xml:space="preserve"> While it remains possible, then, that the three plaster caudals numbered 33–35 in the list are really those in the designated positions, they are more likely those in positions 34–36. Since the list also mentions a number 36 (i.e., the 37th in sequence) that is real bone, this may indicate that one more CM 94 caudal was incorporated into the mount than Holland (1906:254) had indicated.</w:t>
      </w:r>
    </w:p>
    <w:p>
      <w:pPr>
        <w:pStyle w:val="BodyText"/>
        <w:spacing w:lineRule="auto" w:line="480"/>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spacing w:lineRule="auto" w:line="480"/>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spacing w:lineRule="auto" w:line="480"/>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these boxes, however, so they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 This report does not list caudals 70–73 at all, and it is likely that this is because they were not present.</w:t>
      </w:r>
    </w:p>
    <w:p>
      <w:pPr>
        <w:pStyle w:val="BodyText"/>
        <w:spacing w:lineRule="auto" w:line="480"/>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spacing w:lineRule="auto" w:line="480"/>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spacing w:lineRule="auto" w:line="480"/>
        <w:rPr/>
      </w:pPr>
      <w:r>
        <w:rPr>
          <w:lang w:val="en-US"/>
        </w:rPr>
        <w:t>There are no wooden caudals remaining in the mount today (Henrici and Church, pers. obs., 2023), so as well as reintegrating the 18 fossil caudals photographed by Harris, it is likely that the PFP crew constructed four additional replicas to replace the wooden ones that had themselves replaced those that had been stolen.</w:t>
      </w:r>
    </w:p>
    <w:p>
      <w:pPr>
        <w:pStyle w:val="BodyText"/>
        <w:spacing w:lineRule="auto" w:line="480"/>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19</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spacing w:lineRule="auto" w:line="480"/>
        <w:rPr/>
      </w:pPr>
      <w:r>
        <w:rPr/>
        <w:t>Piecing all this together, it seems that immediately before its disassembly in 2005 the tail of the mounted skeleton was composed as follows:</w:t>
      </w:r>
    </w:p>
    <w:p>
      <w:pPr>
        <w:pStyle w:val="BodyText"/>
        <w:numPr>
          <w:ilvl w:val="0"/>
          <w:numId w:val="9"/>
        </w:numPr>
        <w:spacing w:lineRule="auto" w:line="480"/>
        <w:rPr/>
      </w:pPr>
      <w:r>
        <w:rPr/>
        <w:t>Ca1–Ca12: real fossils for CM 84</w:t>
      </w:r>
    </w:p>
    <w:p>
      <w:pPr>
        <w:pStyle w:val="BodyText"/>
        <w:numPr>
          <w:ilvl w:val="0"/>
          <w:numId w:val="9"/>
        </w:numPr>
        <w:spacing w:lineRule="auto" w:line="480"/>
        <w:rPr/>
      </w:pPr>
      <w:r>
        <w:rPr/>
        <w:t>Ca13–Ca31: mix of real fossils and plaster casts from CM 94</w:t>
      </w:r>
    </w:p>
    <w:p>
      <w:pPr>
        <w:pStyle w:val="BodyText"/>
        <w:numPr>
          <w:ilvl w:val="0"/>
          <w:numId w:val="9"/>
        </w:numPr>
        <w:spacing w:lineRule="auto" w:line="480"/>
        <w:rPr/>
      </w:pPr>
      <w:r>
        <w:rPr/>
        <w:t>Ca32: real fossil from CM 307</w:t>
      </w:r>
    </w:p>
    <w:p>
      <w:pPr>
        <w:pStyle w:val="BodyText"/>
        <w:numPr>
          <w:ilvl w:val="0"/>
          <w:numId w:val="9"/>
        </w:numPr>
        <w:spacing w:lineRule="auto" w:line="480"/>
        <w:rPr/>
      </w:pPr>
      <w:r>
        <w:rPr/>
        <w:t>Ca33–Ca36: mix of real fossil and plaster casts from CM 94</w:t>
      </w:r>
    </w:p>
    <w:p>
      <w:pPr>
        <w:pStyle w:val="BodyText"/>
        <w:numPr>
          <w:ilvl w:val="0"/>
          <w:numId w:val="9"/>
        </w:numPr>
        <w:spacing w:lineRule="auto" w:line="480"/>
        <w:rPr/>
      </w:pPr>
      <w:r>
        <w:rPr/>
        <w:t>Ca37–Ca46: real fossils from CM 307</w:t>
      </w:r>
    </w:p>
    <w:p>
      <w:pPr>
        <w:pStyle w:val="BodyText"/>
        <w:numPr>
          <w:ilvl w:val="0"/>
          <w:numId w:val="9"/>
        </w:numPr>
        <w:spacing w:lineRule="auto" w:line="480"/>
        <w:rPr/>
      </w:pPr>
      <w:r>
        <w:rPr/>
        <w:t>Ca47: probably a real fossil from CM 307</w:t>
      </w:r>
    </w:p>
    <w:p>
      <w:pPr>
        <w:pStyle w:val="BodyText"/>
        <w:numPr>
          <w:ilvl w:val="0"/>
          <w:numId w:val="9"/>
        </w:numPr>
        <w:spacing w:lineRule="auto" w:line="480"/>
        <w:rPr/>
      </w:pPr>
      <w:r>
        <w:rPr/>
        <w:t>Ca48–Ca69: wooden sculptures based on CM 307</w:t>
      </w:r>
    </w:p>
    <w:p>
      <w:pPr>
        <w:pStyle w:val="BodyText"/>
        <w:numPr>
          <w:ilvl w:val="0"/>
          <w:numId w:val="9"/>
        </w:numPr>
        <w:spacing w:lineRule="auto" w:line="480"/>
        <w:rPr/>
      </w:pPr>
      <w:r>
        <w:rPr/>
        <w:t>Ca70–Ca73: missing, having been stolen</w:t>
      </w:r>
    </w:p>
    <w:p>
      <w:pPr>
        <w:pStyle w:val="BodyText"/>
        <w:spacing w:lineRule="auto" w:line="480"/>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spacing w:lineRule="auto" w:line="480"/>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spacing w:lineRule="auto" w:line="480"/>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2" w:name="__DdeLink__1281_802501007"/>
      <w:r>
        <w:rPr>
          <w:lang w:val="en-US"/>
        </w:rPr>
        <w:t>CM 3378</w:t>
      </w:r>
      <w:bookmarkEnd w:id="22"/>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20 shows the provenance of the caudals in the present tail.</w:t>
      </w:r>
    </w:p>
    <w:p>
      <w:pPr>
        <w:pStyle w:val="BodyText"/>
        <w:spacing w:lineRule="auto" w:line="480"/>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21). Since approximately 40% of the tail length is made up of CM 307 vertebrae (Taylor, pers. obs., 2022), increasing that portion by 25% would increase the total tail length by about 10%. The present tail is about 15 m long (see caption to Figure 22A), so this would extend the total length of the animal by 1.5 m, from approximately 26.1 m to approximately 27.6 m (see caption to Figure 22).</w:t>
      </w:r>
    </w:p>
    <w:p>
      <w:pPr>
        <w:pStyle w:val="Heading2"/>
        <w:spacing w:lineRule="auto" w:line="480"/>
        <w:rPr/>
      </w:pPr>
      <w:bookmarkStart w:id="23" w:name="__RefHeading___Toc3282_55120580"/>
      <w:bookmarkEnd w:id="23"/>
      <w:r>
        <w:rPr>
          <w:lang w:val="en-US"/>
        </w:rPr>
        <w:t>The casts made from the Carnegie molds</w:t>
      </w:r>
    </w:p>
    <w:p>
      <w:pPr>
        <w:pStyle w:val="BodyText"/>
        <w:spacing w:lineRule="auto" w:line="480"/>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spacing w:lineRule="auto" w:line="480"/>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spacing w:lineRule="auto" w:line="480"/>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BodyText"/>
        <w:spacing w:lineRule="auto" w:line="480"/>
        <w:rPr/>
      </w:pPr>
      <w:r>
        <w:rPr>
          <w:lang w:val="en-US"/>
        </w:rPr>
        <w:t>Since the mounting of the nine original casts, numerous updates have taken place. These are reviewed by Taylor (in prep). As noted above, the Munich cast was never mounted, and at the time of writing, it remains in that museum’s basement.</w:t>
      </w:r>
    </w:p>
    <w:p>
      <w:pPr>
        <w:pStyle w:val="Heading1"/>
        <w:numPr>
          <w:ilvl w:val="0"/>
          <w:numId w:val="3"/>
        </w:numPr>
        <w:spacing w:lineRule="auto" w:line="480"/>
        <w:rPr/>
      </w:pPr>
      <w:bookmarkStart w:id="24" w:name="__RefHeading___Toc3401_68767826"/>
      <w:bookmarkEnd w:id="24"/>
      <w:r>
        <w:rPr>
          <w:lang w:val="en-US"/>
        </w:rPr>
        <w:t>Discussion</w:t>
      </w:r>
    </w:p>
    <w:p>
      <w:pPr>
        <w:pStyle w:val="Heading2"/>
        <w:spacing w:lineRule="auto" w:line="480"/>
        <w:rPr/>
      </w:pPr>
      <w:bookmarkStart w:id="25" w:name="__RefHeading___Toc3650_2595815751"/>
      <w:bookmarkEnd w:id="25"/>
      <w:r>
        <w:rPr>
          <w:lang w:val="en-US"/>
        </w:rPr>
        <w:t xml:space="preserve">The length of the Carnegie </w:t>
      </w:r>
      <w:r>
        <w:rPr>
          <w:i/>
          <w:iCs/>
          <w:lang w:val="en-US"/>
        </w:rPr>
        <w:t>Diplodocus</w:t>
      </w:r>
    </w:p>
    <w:p>
      <w:pPr>
        <w:pStyle w:val="BodyText"/>
        <w:spacing w:lineRule="auto" w:line="480"/>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spacing w:lineRule="auto" w:line="480"/>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spacing w:lineRule="auto" w:line="480"/>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spacing w:lineRule="auto" w:line="480"/>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spacing w:lineRule="auto" w:line="480"/>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 and Coggeshall (1951a:241) gave the length as “84 feet long over the curves”.</w:t>
      </w:r>
    </w:p>
    <w:p>
      <w:pPr>
        <w:pStyle w:val="BodyText"/>
        <w:spacing w:lineRule="auto" w:line="480"/>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spacing w:lineRule="auto" w:line="480"/>
        <w:rPr/>
      </w:pPr>
      <w:r>
        <w:rPr>
          <w:lang w:val="en-US"/>
        </w:rPr>
        <w:t>Discounting Hatcher’s initial estimate as having been based on an incomplete skeleton, we find good agreement between the measurements of Untermann, Letasi, and Reneleau,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spacing w:lineRule="auto" w:line="480"/>
        <w:rPr/>
      </w:pPr>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spacing w:lineRule="auto" w:line="480"/>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spacing w:lineRule="auto" w:line="480"/>
        <w:rPr/>
      </w:pPr>
      <w:r>
        <w:rPr>
          <w:lang w:val="en-US"/>
        </w:rPr>
        <w:t xml:space="preserve">Instead, Peter Falkingham (pers. comm., 2022)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22).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22B),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spacing w:lineRule="auto" w:line="480"/>
        <w:rPr/>
      </w:pPr>
      <w:r>
        <w:rPr>
          <w:lang w:val="en-US"/>
        </w:rPr>
        <w:t>This is 2.33 m longer than the likely 23.8 m of the original mount. The extra length arises from several sources:</w:t>
      </w:r>
    </w:p>
    <w:p>
      <w:pPr>
        <w:pStyle w:val="BodyText"/>
        <w:numPr>
          <w:ilvl w:val="0"/>
          <w:numId w:val="10"/>
        </w:numPr>
        <w:spacing w:lineRule="auto" w:line="480"/>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0"/>
        </w:numPr>
        <w:spacing w:lineRule="auto" w:line="480"/>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0"/>
        </w:numPr>
        <w:spacing w:lineRule="auto" w:line="480"/>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spacing w:lineRule="auto" w:line="480"/>
        <w:rPr/>
      </w:pPr>
      <w:r>
        <w:rPr>
          <w:lang w:val="en-US"/>
        </w:rPr>
        <w:t>These three changes would account for 1.1 + 0.8 + 0.43 = 2.33 m additional length.</w:t>
      </w:r>
    </w:p>
    <w:p>
      <w:pPr>
        <w:pStyle w:val="BodyText"/>
        <w:spacing w:lineRule="auto" w:line="480"/>
        <w:rPr/>
      </w:pPr>
      <w:r>
        <w:rPr>
          <w:lang w:val="en-US"/>
        </w:rPr>
        <w:t>See Table 3 for a summary of the different length estimates in the literature.</w:t>
      </w:r>
    </w:p>
    <w:p>
      <w:pPr>
        <w:pStyle w:val="BodyText"/>
        <w:spacing w:lineRule="auto" w:line="480"/>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spacing w:lineRule="auto" w:line="480"/>
        <w:rPr/>
      </w:pPr>
      <w:bookmarkStart w:id="26" w:name="__RefHeading___Toc3652_2595815751"/>
      <w:bookmarkEnd w:id="26"/>
      <w:r>
        <w:rPr>
          <w:lang w:val="en-US"/>
        </w:rPr>
        <w:t>Documenting skeletal mounts</w:t>
      </w:r>
    </w:p>
    <w:p>
      <w:pPr>
        <w:pStyle w:val="BodyText"/>
        <w:spacing w:lineRule="auto" w:line="480"/>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spacing w:lineRule="auto" w:line="480"/>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spacing w:lineRule="auto" w:line="480"/>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spacing w:lineRule="auto" w:line="480"/>
        <w:rPr/>
      </w:pPr>
      <w:bookmarkStart w:id="27" w:name="__RefHeading___Toc1833_55120580"/>
      <w:bookmarkEnd w:id="27"/>
      <w:r>
        <w:rPr>
          <w:lang w:val="en-US"/>
        </w:rPr>
        <w:t>Acknowledgments</w:t>
      </w:r>
    </w:p>
    <w:p>
      <w:pPr>
        <w:pStyle w:val="BodyText"/>
        <w:spacing w:lineRule="auto" w:line="480"/>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13). We are grateful to all those who allowed us to use their photographs: Mathew J. Wedel (Western University of Health Sciences) provided the photograph of the Carnegie mount (Figure 1); Ken Carpenter (University of Colorado Museum) provided the photographs of diplodocine mid-caudal vertebrae (Figure 21); Vincent Reneleau (MNHN) provided the photographs of the atlas (Figure 12C) and right forefoot (Figure 17A) of the Paris cast; Joshua Franzos (</w:t>
      </w:r>
      <w:r>
        <w:rPr>
          <w:shd w:fill="auto" w:val="clear"/>
          <w:lang w:val="en-US"/>
        </w:rPr>
        <w:t>unaffiliated</w:t>
      </w:r>
      <w:r>
        <w:rPr>
          <w:lang w:val="en-US"/>
        </w:rPr>
        <w:t xml:space="preserve">) provided the photograph of the cast skull of the Carnegie mount (Figure 15); Verónica Díez Díaz (Museum für Naturkunde Berlin) provided the photograph of the right forefoot of the Berlin mount (Figure 17B); Jeremy Huff (Texas A&amp;M University) provided the photograph of the forefeet of HMNS 175 (formerly CM 662) in Houston (Figure 17C); and Phil Fraley (PFP) provided the photograph of the 2007 </w:t>
      </w:r>
      <w:r>
        <w:rPr>
          <w:i/>
          <w:iCs/>
          <w:lang w:val="en-US"/>
        </w:rPr>
        <w:t>Diplodocus</w:t>
      </w:r>
      <w:r>
        <w:rPr>
          <w:lang w:val="en-US"/>
        </w:rPr>
        <w:t xml:space="preserve"> remount in progress (Figure 18).</w:t>
      </w:r>
    </w:p>
    <w:p>
      <w:pPr>
        <w:pStyle w:val="BodyText"/>
        <w:spacing w:lineRule="auto" w:line="480"/>
        <w:rPr/>
      </w:pPr>
      <w:r>
        <w:rPr>
          <w:lang w:val="en-US"/>
        </w:rPr>
        <w:t>We also appreciate Phil Fraley’s provision of photographs of caudals from the original mount.</w:t>
      </w:r>
    </w:p>
    <w:p>
      <w:pPr>
        <w:pStyle w:val="BodyText"/>
        <w:spacing w:lineRule="auto" w:line="480"/>
        <w:rPr/>
      </w:pPr>
      <w:r>
        <w:rPr>
          <w:lang w:val="en-US"/>
        </w:rPr>
        <w:t>We thank Ken Carpenter, Victoria Connor (The Carnegie Club),  Peter Falkingham (Liverpool John Moores University) Jerry Harris (Utah Tech University) Jennifer Jones (Andrew Carnegie Birthplace Museum), David Letasi (formerly of the Museum of Science and Industry, Tampa), Anthony Maltese (Rocky Mountain Dinosaur Resource Center), Amanda McGee (Cleveland Museum of Natural History), Vincent Reneleau, Daniela Schwarz (Museum für Naturkunde Berlin), Kirby Siber (Sauriermuseum Aathal), Ray Wilhite (Auburn University) and Mathew J. Wedel for permission to cite personal communications.</w:t>
      </w:r>
    </w:p>
    <w:p>
      <w:pPr>
        <w:pStyle w:val="BodyText"/>
        <w:spacing w:lineRule="auto" w:line="480"/>
        <w:rPr/>
      </w:pPr>
      <w:r>
        <w:rPr>
          <w:lang w:val="en-US"/>
        </w:rPr>
        <w:t xml:space="preserve">We are especially grateful to Vincent Reneleau for measuring the Paris cast; to Peter Falkingham for creating the photogrammetric model of the Carnegie mount and using it to measure its total length, and for providing the screenshot for Figure 22A; to Dakota Campbell (Eye-Bot Aerial Solutions) for creating a LIDAR-based model and calculating a second length estimate, and providing the screenshot for Figure 22B; and to Konstantin Rybakov for discovering and translating the original Russian account of the mishap in mounting their </w:t>
      </w:r>
      <w:r>
        <w:rPr>
          <w:i/>
          <w:iCs/>
          <w:lang w:val="en-US"/>
        </w:rPr>
        <w:t>Diplodocus</w:t>
      </w:r>
      <w:r>
        <w:rPr>
          <w:lang w:val="en-US"/>
        </w:rPr>
        <w:t xml:space="preserve"> cast.</w:t>
      </w:r>
    </w:p>
    <w:p>
      <w:pPr>
        <w:pStyle w:val="BodyText"/>
        <w:spacing w:lineRule="auto" w:line="480"/>
        <w:rPr/>
      </w:pPr>
      <w:r>
        <w:rPr>
          <w:lang w:val="en-US"/>
        </w:rPr>
        <w:t>We thank John Wible (Carnegie Museum) for his editorial handling of this manuscript, and Ken Carpenter and a second, anonymous reviewer, for their constructive comments.</w:t>
      </w:r>
    </w:p>
    <w:p>
      <w:pPr>
        <w:pStyle w:val="BodyText"/>
        <w:spacing w:lineRule="auto" w:line="480"/>
        <w:rPr/>
      </w:pPr>
      <w:r>
        <w:rPr>
          <w:lang w:val="en-US"/>
        </w:rPr>
        <w:t>Finally, Mike Taylor thanks his wife, Fiona, for tolerating an obsession with historical sauropod mounts that has consumed many months of his evenings.</w:t>
      </w:r>
    </w:p>
    <w:p>
      <w:pPr>
        <w:pStyle w:val="Heading1"/>
        <w:numPr>
          <w:ilvl w:val="0"/>
          <w:numId w:val="3"/>
        </w:numPr>
        <w:spacing w:lineRule="auto" w:line="480"/>
        <w:rPr/>
      </w:pPr>
      <w:bookmarkStart w:id="28" w:name="__RefHeading___Toc3405_68767826"/>
      <w:bookmarkEnd w:id="28"/>
      <w:r>
        <w:rPr>
          <w:lang w:val="en-US"/>
        </w:rPr>
        <w:t>Literature cited</w:t>
      </w:r>
    </w:p>
    <w:p>
      <w:pPr>
        <w:pStyle w:val="Reference"/>
        <w:spacing w:lineRule="auto" w:line="480"/>
        <w:rPr/>
      </w:pPr>
      <w:r>
        <w:rPr>
          <w:lang w:val="en-US"/>
        </w:rPr>
        <w:t xml:space="preserve">Abel, O. 1910. Die Rekonstruktion des </w:t>
      </w:r>
      <w:r>
        <w:rPr>
          <w:i/>
          <w:iCs/>
          <w:lang w:val="en-US"/>
        </w:rPr>
        <w:t>Diplodocus</w:t>
      </w:r>
      <w:r>
        <w:rPr>
          <w:lang w:val="en-US"/>
        </w:rPr>
        <w:t xml:space="preserve">. </w:t>
      </w:r>
      <w:r>
        <w:rPr>
          <w:i/>
          <w:iCs/>
          <w:lang w:val="en-US"/>
        </w:rPr>
        <w:t>Abhandlungen der K.K. Zoologisch-botanischen Gesellschaft in Wien</w:t>
      </w:r>
      <w:r>
        <w:rPr>
          <w:i w:val="false"/>
          <w:iCs w:val="false"/>
          <w:lang w:val="en-US"/>
        </w:rPr>
        <w:t>,</w:t>
      </w:r>
      <w:r>
        <w:rPr>
          <w:lang w:val="en-US"/>
        </w:rPr>
        <w:t xml:space="preserve"> </w:t>
      </w:r>
      <w:r>
        <w:rPr>
          <w:b/>
          <w:bCs/>
          <w:lang w:val="en-US"/>
        </w:rPr>
        <w:t>5(3)</w:t>
      </w:r>
      <w:r>
        <w:rPr>
          <w:lang w:val="en-US"/>
        </w:rPr>
        <w:t>:1–59.</w:t>
      </w:r>
    </w:p>
    <w:p>
      <w:pPr>
        <w:pStyle w:val="Reference"/>
        <w:spacing w:lineRule="auto" w:line="480"/>
        <w:rPr/>
      </w:pPr>
      <w:r>
        <w:rPr>
          <w:lang w:val="en-US"/>
        </w:rPr>
        <w:t xml:space="preserve">Anonymous. 1898a. The Dinosaur of Wyoming. </w:t>
      </w:r>
      <w:r>
        <w:rPr>
          <w:i/>
          <w:iCs/>
          <w:lang w:val="en-US"/>
        </w:rPr>
        <w:t>New York Post</w:t>
      </w:r>
      <w:r>
        <w:rPr>
          <w:lang w:val="en-US"/>
        </w:rPr>
        <w:t>, 1 December 1898.</w:t>
      </w:r>
    </w:p>
    <w:p>
      <w:pPr>
        <w:pStyle w:val="Reference"/>
        <w:spacing w:lineRule="auto" w:line="480"/>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8">
        <w:r>
          <w:rPr>
            <w:rStyle w:val="Hyperlink"/>
            <w:lang w:val="en-US"/>
          </w:rPr>
          <w:t>https://www.loc.gov/resource/sn83030180/1898-12-11/ed-1/?sp=33&amp;r=-0.061,-0.031,0.196,0.117,0</w:t>
        </w:r>
      </w:hyperlink>
    </w:p>
    <w:p>
      <w:pPr>
        <w:pStyle w:val="Reference"/>
        <w:spacing w:lineRule="auto" w:line="480"/>
        <w:rPr/>
      </w:pPr>
      <w:r>
        <w:rPr>
          <w:lang w:val="en-US"/>
        </w:rPr>
        <w:t xml:space="preserve">Anonymous. 1907. A </w:t>
      </w:r>
      <w:r>
        <w:rPr>
          <w:i/>
          <w:iCs/>
          <w:lang w:val="en-US"/>
        </w:rPr>
        <w:t>Diplodocus</w:t>
      </w:r>
      <w:r>
        <w:rPr>
          <w:lang w:val="en-US"/>
        </w:rPr>
        <w:t xml:space="preserve"> for Frankfurt Museum. </w:t>
      </w:r>
      <w:r>
        <w:rPr>
          <w:i/>
          <w:iCs/>
          <w:lang w:val="en-US"/>
        </w:rPr>
        <w:t>American Museum Journal</w:t>
      </w:r>
      <w:r>
        <w:rPr>
          <w:i w:val="false"/>
          <w:iCs w:val="false"/>
          <w:lang w:val="en-US"/>
        </w:rPr>
        <w:t>,</w:t>
      </w:r>
      <w:r>
        <w:rPr>
          <w:lang w:val="en-US"/>
        </w:rPr>
        <w:t xml:space="preserve"> </w:t>
      </w:r>
      <w:r>
        <w:rPr>
          <w:b/>
          <w:bCs/>
          <w:lang w:val="en-US"/>
        </w:rPr>
        <w:t>7</w:t>
      </w:r>
      <w:r>
        <w:rPr>
          <w:lang w:val="en-US"/>
        </w:rPr>
        <w:t xml:space="preserve">:98–100. </w:t>
      </w:r>
      <w:hyperlink r:id="rId9">
        <w:r>
          <w:rPr>
            <w:rStyle w:val="Hyperlink"/>
            <w:lang w:val="en-US"/>
          </w:rPr>
          <w:t>https://digitallibrary.amnh.org/handle/2246/6331</w:t>
        </w:r>
      </w:hyperlink>
    </w:p>
    <w:p>
      <w:pPr>
        <w:pStyle w:val="Reference"/>
        <w:spacing w:lineRule="auto" w:line="480"/>
        <w:rPr/>
      </w:pPr>
      <w:r>
        <w:rPr>
          <w:lang w:val="en-US"/>
        </w:rPr>
        <w:t xml:space="preserve">Barrett, P.M., P. Parry, and S.D. Chapman. 2010. </w:t>
      </w:r>
      <w:r>
        <w:rPr>
          <w:i/>
          <w:iCs/>
          <w:lang w:val="en-US"/>
        </w:rPr>
        <w:t>Dippy: The Tale of a Museum Icon</w:t>
      </w:r>
      <w:r>
        <w:rPr>
          <w:lang w:val="en-US"/>
        </w:rPr>
        <w:t>. The Natural History Museum, London, United Kingdom. 48 pages.</w:t>
      </w:r>
    </w:p>
    <w:p>
      <w:pPr>
        <w:pStyle w:val="Reference"/>
        <w:spacing w:lineRule="auto" w:line="480"/>
        <w:rPr/>
      </w:pPr>
      <w:r>
        <w:rPr>
          <w:lang w:val="en-US"/>
        </w:rPr>
        <w:t xml:space="preserve">Bedell, M.W., Jr., and D.L. Trexler. 2005. First articulated manus of </w:t>
      </w:r>
      <w:r>
        <w:rPr>
          <w:i/>
          <w:iCs/>
          <w:lang w:val="en-US"/>
        </w:rPr>
        <w:t>Diplodocus carnegii</w:t>
      </w:r>
      <w:r>
        <w:rPr>
          <w:lang w:val="en-US"/>
        </w:rPr>
        <w:t xml:space="preserve">. Pp. 302–320, in </w:t>
      </w:r>
      <w:r>
        <w:rPr>
          <w:i/>
          <w:iCs/>
          <w:lang w:val="en-US"/>
        </w:rPr>
        <w:t>Thunder Lizards: The Sauropodomorph Dinosaurs</w:t>
      </w:r>
      <w:r>
        <w:rPr>
          <w:lang w:val="en-US"/>
        </w:rPr>
        <w:t xml:space="preserve"> (V. Tidwell and K. Carpenter, eds.). Indiana University Press, Bloomington, Indiana. 495 pp.</w:t>
      </w:r>
    </w:p>
    <w:p>
      <w:pPr>
        <w:pStyle w:val="Reference"/>
        <w:spacing w:lineRule="auto" w:line="480"/>
        <w:rPr/>
      </w:pPr>
      <w:r>
        <w:rPr>
          <w:lang w:val="en-US"/>
        </w:rPr>
        <w:t xml:space="preserve">Berman, D.S., and J.S. McIntosh. 1994. The recapitation of </w:t>
      </w:r>
      <w:r>
        <w:rPr>
          <w:i/>
          <w:iCs/>
          <w:lang w:val="en-US"/>
        </w:rPr>
        <w:t>Apatosaurus</w:t>
      </w:r>
      <w:r>
        <w:rPr>
          <w:lang w:val="en-US"/>
        </w:rPr>
        <w:t xml:space="preserve">. </w:t>
      </w:r>
      <w:r>
        <w:rPr>
          <w:i/>
          <w:iCs/>
          <w:lang w:val="en-US"/>
        </w:rPr>
        <w:t>Paleontological Society Special Publications</w:t>
      </w:r>
      <w:r>
        <w:rPr>
          <w:i w:val="false"/>
          <w:iCs w:val="false"/>
          <w:lang w:val="en-US"/>
        </w:rPr>
        <w:t>,</w:t>
      </w:r>
      <w:r>
        <w:rPr>
          <w:lang w:val="en-US"/>
        </w:rPr>
        <w:t xml:space="preserve"> </w:t>
      </w:r>
      <w:r>
        <w:rPr>
          <w:b/>
          <w:bCs/>
          <w:lang w:val="en-US"/>
        </w:rPr>
        <w:t>7</w:t>
      </w:r>
      <w:r>
        <w:rPr>
          <w:lang w:val="en-US"/>
        </w:rPr>
        <w:t>:83–98.</w:t>
      </w:r>
    </w:p>
    <w:p>
      <w:pPr>
        <w:pStyle w:val="Reference"/>
        <w:spacing w:lineRule="auto" w:line="480"/>
        <w:rPr/>
      </w:pPr>
      <w:r>
        <w:rPr>
          <w:lang w:val="en-US"/>
        </w:rPr>
        <w:t xml:space="preserve">Bonnan, M.F. 2007. Linear and geometric morphometric analysis of long bone scaling patterns in Jurassic neosauropod dinosaurs: their functional and paleobiological implications. </w:t>
      </w:r>
      <w:r>
        <w:rPr>
          <w:i/>
          <w:iCs/>
          <w:lang w:val="en-US"/>
        </w:rPr>
        <w:t>The Anatomical Record</w:t>
      </w:r>
      <w:r>
        <w:rPr>
          <w:i w:val="false"/>
          <w:iCs w:val="false"/>
          <w:lang w:val="en-US"/>
        </w:rPr>
        <w:t>,</w:t>
      </w:r>
      <w:r>
        <w:rPr>
          <w:lang w:val="en-US"/>
        </w:rPr>
        <w:t xml:space="preserve"> </w:t>
      </w:r>
      <w:r>
        <w:rPr>
          <w:b/>
          <w:bCs/>
          <w:lang w:val="en-US"/>
        </w:rPr>
        <w:t>290</w:t>
      </w:r>
      <w:r>
        <w:rPr>
          <w:lang w:val="en-US"/>
        </w:rPr>
        <w:t>:1089–1111. doi:10.1002/ar.20578</w:t>
      </w:r>
    </w:p>
    <w:p>
      <w:pPr>
        <w:pStyle w:val="Reference"/>
        <w:spacing w:lineRule="auto" w:line="480"/>
        <w:rPr/>
      </w:pPr>
      <w:r>
        <w:rPr>
          <w:lang w:val="en-US"/>
        </w:rPr>
        <w:t xml:space="preserve">Brinkman, P.D. 2010. The second Jurassic dinosaur rush and the dawn of dinomania. </w:t>
      </w:r>
      <w:r>
        <w:rPr>
          <w:i/>
          <w:iCs/>
          <w:lang w:val="en-US"/>
        </w:rPr>
        <w:t>Endeavour</w:t>
      </w:r>
      <w:r>
        <w:rPr>
          <w:i w:val="false"/>
          <w:iCs w:val="false"/>
          <w:lang w:val="en-US"/>
        </w:rPr>
        <w:t>,</w:t>
      </w:r>
      <w:r>
        <w:rPr>
          <w:lang w:val="en-US"/>
        </w:rPr>
        <w:t xml:space="preserve"> </w:t>
      </w:r>
      <w:r>
        <w:rPr>
          <w:b/>
          <w:bCs/>
          <w:lang w:val="en-US"/>
        </w:rPr>
        <w:t>34(3)</w:t>
      </w:r>
      <w:r>
        <w:rPr>
          <w:lang w:val="en-US"/>
        </w:rPr>
        <w:t>:104–111. doi:10.1016/j.endeavour.2010.06.004</w:t>
      </w:r>
    </w:p>
    <w:p>
      <w:pPr>
        <w:pStyle w:val="Reference"/>
        <w:spacing w:lineRule="auto" w:line="480"/>
        <w:rPr/>
      </w:pPr>
      <w:r>
        <w:rPr>
          <w:lang w:val="en-US"/>
        </w:rPr>
        <w:t>Carnegie, A. 1903. Letter to W.J. Holland, 4 August 1903.</w:t>
      </w:r>
    </w:p>
    <w:p>
      <w:pPr>
        <w:pStyle w:val="Reference"/>
        <w:spacing w:lineRule="auto" w:line="480"/>
        <w:rPr/>
      </w:pPr>
      <w:bookmarkStart w:id="29"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29"/>
    </w:p>
    <w:p>
      <w:pPr>
        <w:pStyle w:val="Reference"/>
        <w:spacing w:lineRule="auto" w:line="480"/>
        <w:rPr/>
      </w:pPr>
      <w:r>
        <w:rPr>
          <w:lang w:val="en-US"/>
        </w:rPr>
        <w:t xml:space="preserve">Carnegie Institute. 1999. </w:t>
      </w:r>
      <w:r>
        <w:rPr>
          <w:i/>
          <w:iCs/>
          <w:lang w:val="en-US"/>
        </w:rPr>
        <w:t>Section of vertebrate paleontology report for April 1–June 30, 1999</w:t>
      </w:r>
      <w:r>
        <w:rPr>
          <w:lang w:val="en-US"/>
        </w:rPr>
        <w:t>. 7 pages.</w:t>
      </w:r>
    </w:p>
    <w:p>
      <w:pPr>
        <w:pStyle w:val="Reference"/>
        <w:spacing w:lineRule="auto" w:line="480"/>
        <w:rPr/>
      </w:pPr>
      <w:r>
        <w:rPr>
          <w:lang w:val="en-US"/>
        </w:rPr>
        <w:t xml:space="preserve">Carnegie Museum. 1906. </w:t>
      </w:r>
      <w:r>
        <w:rPr>
          <w:i/>
          <w:iCs/>
          <w:lang w:val="en-US"/>
        </w:rPr>
        <w:t>Annual report of the director for the year ending March 31, 1906</w:t>
      </w:r>
      <w:r>
        <w:rPr>
          <w:lang w:val="en-US"/>
        </w:rPr>
        <w:t>. Publications of the Carnegie Museum: Serial No. 43.</w:t>
      </w:r>
    </w:p>
    <w:p>
      <w:pPr>
        <w:pStyle w:val="Reference"/>
        <w:spacing w:lineRule="auto" w:line="480"/>
        <w:rPr/>
      </w:pPr>
      <w:r>
        <w:rPr>
          <w:lang w:val="en-US"/>
        </w:rPr>
        <w:t xml:space="preserve">Carnegie Museum. 1907. </w:t>
      </w:r>
      <w:r>
        <w:rPr>
          <w:i/>
          <w:iCs/>
          <w:lang w:val="en-US"/>
        </w:rPr>
        <w:t>Twelfth annual report of the director for the year ending March 31, 1907</w:t>
      </w:r>
      <w:r>
        <w:rPr>
          <w:lang w:val="en-US"/>
        </w:rPr>
        <w:t>. Publications of the Carnegie Museum: Serial No. 48.</w:t>
      </w:r>
    </w:p>
    <w:p>
      <w:pPr>
        <w:pStyle w:val="Reference"/>
        <w:spacing w:lineRule="auto" w:line="480"/>
        <w:rPr/>
      </w:pPr>
      <w:r>
        <w:rPr>
          <w:lang w:val="en-US"/>
        </w:rPr>
        <w:t xml:space="preserve">Carpenter, K. 2018. Rocky start of Dinosaur National Monument (USA), the world’s first dinosaur geoconservation site. </w:t>
      </w:r>
      <w:r>
        <w:rPr>
          <w:i/>
          <w:iCs/>
          <w:lang w:val="en-US"/>
        </w:rPr>
        <w:t>Geoconservation Research</w:t>
      </w:r>
      <w:r>
        <w:rPr>
          <w:i w:val="false"/>
          <w:iCs w:val="false"/>
          <w:lang w:val="en-US"/>
        </w:rPr>
        <w:t>,</w:t>
      </w:r>
      <w:r>
        <w:rPr>
          <w:lang w:val="en-US"/>
        </w:rPr>
        <w:t xml:space="preserve"> </w:t>
      </w:r>
      <w:r>
        <w:rPr>
          <w:b/>
          <w:bCs/>
          <w:lang w:val="en-US"/>
        </w:rPr>
        <w:t>1(1)</w:t>
      </w:r>
      <w:r>
        <w:rPr>
          <w:lang w:val="en-US"/>
        </w:rPr>
        <w:t>:1–20.</w:t>
      </w:r>
    </w:p>
    <w:p>
      <w:pPr>
        <w:pStyle w:val="Reference"/>
        <w:spacing w:lineRule="auto" w:line="480"/>
        <w:rPr/>
      </w:pPr>
      <w:r>
        <w:rPr>
          <w:lang w:val="en-US"/>
        </w:rPr>
        <w:t xml:space="preserve">Coggeshall, A.S. 1951a. How “Dippy” came to Pittsburgh. </w:t>
      </w:r>
      <w:r>
        <w:rPr>
          <w:i/>
          <w:iCs/>
          <w:lang w:val="en-US"/>
        </w:rPr>
        <w:t>Carnegie Magazine</w:t>
      </w:r>
      <w:r>
        <w:rPr>
          <w:i w:val="false"/>
          <w:iCs w:val="false"/>
          <w:lang w:val="en-US"/>
        </w:rPr>
        <w:t>,</w:t>
      </w:r>
      <w:r>
        <w:rPr>
          <w:lang w:val="en-US"/>
        </w:rPr>
        <w:t xml:space="preserve"> </w:t>
      </w:r>
      <w:r>
        <w:rPr>
          <w:b/>
          <w:bCs/>
          <w:lang w:val="en-US"/>
        </w:rPr>
        <w:t>25(7)</w:t>
      </w:r>
      <w:r>
        <w:rPr>
          <w:lang w:val="en-US"/>
        </w:rPr>
        <w:t xml:space="preserve">:238–241. </w:t>
      </w:r>
      <w:hyperlink r:id="rId10">
        <w:r>
          <w:rPr>
            <w:rStyle w:val="Hyperlink"/>
            <w:lang w:val="en-US"/>
          </w:rPr>
          <w:t>https://archive.org/details/sim_carnegie_1951-09_25_7/page/238/mode/2up</w:t>
        </w:r>
      </w:hyperlink>
    </w:p>
    <w:p>
      <w:pPr>
        <w:pStyle w:val="Reference"/>
        <w:spacing w:lineRule="auto" w:line="480"/>
        <w:rPr/>
      </w:pPr>
      <w:r>
        <w:rPr>
          <w:lang w:val="en-US"/>
        </w:rPr>
        <w:t xml:space="preserve">Coggeshall, A.S. 1951b. “Dippy” crashes royalty. </w:t>
      </w:r>
      <w:r>
        <w:rPr>
          <w:i/>
          <w:iCs/>
          <w:lang w:val="en-US"/>
        </w:rPr>
        <w:t>Carnegie Magazine</w:t>
      </w:r>
      <w:r>
        <w:rPr>
          <w:i w:val="false"/>
          <w:iCs w:val="false"/>
          <w:lang w:val="en-US"/>
        </w:rPr>
        <w:t>,</w:t>
      </w:r>
      <w:r>
        <w:rPr>
          <w:lang w:val="en-US"/>
        </w:rPr>
        <w:t xml:space="preserve"> </w:t>
      </w:r>
      <w:r>
        <w:rPr>
          <w:b/>
          <w:bCs/>
          <w:lang w:val="en-US"/>
        </w:rPr>
        <w:t>25(8)</w:t>
      </w:r>
      <w:r>
        <w:rPr>
          <w:lang w:val="en-US"/>
        </w:rPr>
        <w:t xml:space="preserve">:276–278. </w:t>
      </w:r>
      <w:hyperlink r:id="rId11">
        <w:r>
          <w:rPr>
            <w:rStyle w:val="Style5"/>
            <w:color w:val="800000"/>
            <w:u w:val="single"/>
            <w:lang w:val="en-US"/>
          </w:rPr>
          <w:t>https://archive.org/details/sim_carnegie_1951-10_25_8/page/276/mode/2up</w:t>
        </w:r>
      </w:hyperlink>
    </w:p>
    <w:p>
      <w:pPr>
        <w:pStyle w:val="Reference"/>
        <w:spacing w:lineRule="auto" w:line="480"/>
        <w:rPr/>
      </w:pPr>
      <w:r>
        <w:rPr>
          <w:lang w:val="en-US"/>
        </w:rPr>
        <w:t xml:space="preserve">Coggeshall, A.S. 1951c. More about “Dippy” and royalty. </w:t>
      </w:r>
      <w:r>
        <w:rPr>
          <w:i/>
          <w:iCs/>
          <w:lang w:val="en-US"/>
        </w:rPr>
        <w:t>Carnegie Magazine</w:t>
      </w:r>
      <w:r>
        <w:rPr>
          <w:i w:val="false"/>
          <w:iCs w:val="false"/>
          <w:lang w:val="en-US"/>
        </w:rPr>
        <w:t>,</w:t>
      </w:r>
      <w:r>
        <w:rPr>
          <w:lang w:val="en-US"/>
        </w:rPr>
        <w:t xml:space="preserve"> </w:t>
      </w:r>
      <w:r>
        <w:rPr>
          <w:b/>
          <w:bCs/>
          <w:lang w:val="en-US"/>
        </w:rPr>
        <w:t>25(9)</w:t>
      </w:r>
      <w:r>
        <w:rPr>
          <w:lang w:val="en-US"/>
        </w:rPr>
        <w:t xml:space="preserve">:312–315. </w:t>
      </w:r>
      <w:hyperlink r:id="rId12">
        <w:r>
          <w:rPr>
            <w:rStyle w:val="Hyperlink"/>
            <w:lang w:val="en-US"/>
          </w:rPr>
          <w:t>https://archive.org/details/sim_carnegie_1951-11_25_9/page/312/mode/2up</w:t>
        </w:r>
      </w:hyperlink>
    </w:p>
    <w:p>
      <w:pPr>
        <w:pStyle w:val="Reference"/>
        <w:spacing w:lineRule="auto" w:line="480"/>
        <w:rPr/>
      </w:pPr>
      <w:r>
        <w:rPr>
          <w:lang w:val="en-US"/>
        </w:rPr>
        <w:t xml:space="preserve">Curtice B.D. 1996. </w:t>
      </w:r>
      <w:r>
        <w:rPr>
          <w:i/>
          <w:iCs/>
          <w:lang w:val="en-US"/>
        </w:rPr>
        <w:t>Codex of Diplodocid Caudal Vertebrae from the Dry Mesa Dinosaur Quarry</w:t>
      </w:r>
      <w:r>
        <w:rPr>
          <w:lang w:val="en-US"/>
        </w:rPr>
        <w:t>. Unpublished Master’s Thesis, Department of Geology, Brigham Young University, Provo, Utah.</w:t>
      </w:r>
    </w:p>
    <w:p>
      <w:pPr>
        <w:pStyle w:val="Reference"/>
        <w:spacing w:lineRule="auto" w:line="480"/>
        <w:rPr/>
      </w:pPr>
      <w:r>
        <w:rPr>
          <w:lang w:val="en-US"/>
        </w:rPr>
        <w:t xml:space="preserve">Duda, K.M. 1992. Our dinosaurs visit Japan. </w:t>
      </w:r>
      <w:r>
        <w:rPr>
          <w:i/>
          <w:iCs/>
          <w:lang w:val="en-US"/>
        </w:rPr>
        <w:t>Carnegie Magazine</w:t>
      </w:r>
      <w:r>
        <w:rPr>
          <w:i w:val="false"/>
          <w:iCs w:val="false"/>
          <w:lang w:val="en-US"/>
        </w:rPr>
        <w:t>,</w:t>
      </w:r>
      <w:r>
        <w:rPr>
          <w:lang w:val="en-US"/>
        </w:rPr>
        <w:t xml:space="preserve"> </w:t>
      </w:r>
      <w:r>
        <w:rPr>
          <w:b/>
          <w:bCs/>
          <w:shd w:fill="auto" w:val="clear"/>
          <w:lang w:val="en-US"/>
        </w:rPr>
        <w:t>61(6)</w:t>
      </w:r>
      <w:r>
        <w:rPr>
          <w:lang w:val="en-US"/>
        </w:rPr>
        <w:t>:8.</w:t>
      </w:r>
    </w:p>
    <w:p>
      <w:pPr>
        <w:pStyle w:val="Reference"/>
        <w:spacing w:lineRule="auto" w:line="480"/>
        <w:rPr/>
      </w:pPr>
      <w:r>
        <w:rPr>
          <w:lang w:val="en-US"/>
        </w:rPr>
        <w:t xml:space="preserve">Gangewere, R.J. 2011. Palace of culture — </w:t>
      </w:r>
      <w:r>
        <w:rPr>
          <w:i/>
          <w:iCs/>
          <w:lang w:val="en-US"/>
        </w:rPr>
        <w:t>Andrew Carnegie's Museums and Library in Pittsburgh</w:t>
      </w:r>
      <w:r>
        <w:rPr>
          <w:lang w:val="en-US"/>
        </w:rPr>
        <w:t>. University of Pittsburgh Press, Pennsylvania, 360 p.</w:t>
      </w:r>
    </w:p>
    <w:p>
      <w:pPr>
        <w:pStyle w:val="Reference"/>
        <w:spacing w:lineRule="auto" w:line="480"/>
        <w:rPr/>
      </w:pPr>
      <w:r>
        <w:rPr>
          <w:lang w:val="en-US"/>
        </w:rPr>
        <w:t xml:space="preserve">Gilmore, C.W.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i w:val="false"/>
          <w:iCs w:val="false"/>
          <w:lang w:val="en-US"/>
        </w:rPr>
        <w:t>,</w:t>
      </w:r>
      <w:r>
        <w:rPr>
          <w:lang w:val="en-US"/>
        </w:rPr>
        <w:t xml:space="preserve"> </w:t>
      </w:r>
      <w:r>
        <w:rPr>
          <w:b/>
          <w:bCs/>
          <w:lang w:val="en-US"/>
        </w:rPr>
        <w:t>81</w:t>
      </w:r>
      <w:r>
        <w:rPr>
          <w:lang w:val="en-US"/>
        </w:rPr>
        <w:t>:1–21.</w:t>
      </w:r>
    </w:p>
    <w:p>
      <w:pPr>
        <w:pStyle w:val="Reference"/>
        <w:spacing w:lineRule="auto" w:line="480"/>
        <w:rPr/>
      </w:pPr>
      <w:r>
        <w:rPr>
          <w:lang w:val="en-US"/>
        </w:rPr>
        <w:t xml:space="preserve">Gilmore, C.W. 1936. Osteology of </w:t>
      </w:r>
      <w:r>
        <w:rPr>
          <w:i/>
          <w:iCs/>
          <w:lang w:val="en-US"/>
        </w:rPr>
        <w:t>Apatosaurus</w:t>
      </w:r>
      <w:r>
        <w:rPr>
          <w:lang w:val="en-US"/>
        </w:rPr>
        <w:t xml:space="preserve"> with special reference to specimens in the Carnegie Museum. </w:t>
      </w:r>
      <w:r>
        <w:rPr>
          <w:i/>
          <w:iCs/>
          <w:lang w:val="en-US"/>
        </w:rPr>
        <w:t>Memoirs of the Carnegie Museum</w:t>
      </w:r>
      <w:r>
        <w:rPr>
          <w:i w:val="false"/>
          <w:iCs w:val="false"/>
          <w:lang w:val="en-US"/>
        </w:rPr>
        <w:t>,</w:t>
      </w:r>
      <w:r>
        <w:rPr>
          <w:lang w:val="en-US"/>
        </w:rPr>
        <w:t xml:space="preserve"> </w:t>
      </w:r>
      <w:r>
        <w:rPr>
          <w:b/>
          <w:bCs/>
          <w:lang w:val="en-US"/>
        </w:rPr>
        <w:t>11</w:t>
      </w:r>
      <w:r>
        <w:rPr>
          <w:lang w:val="en-US"/>
        </w:rPr>
        <w:t>:175–300 and plates XXI–XXXIV.</w:t>
      </w:r>
    </w:p>
    <w:p>
      <w:pPr>
        <w:pStyle w:val="Reference"/>
        <w:spacing w:lineRule="auto" w:line="480"/>
        <w:rPr/>
      </w:pPr>
      <w:r>
        <w:rPr>
          <w:lang w:val="en-US"/>
        </w:rPr>
        <w:t xml:space="preserve">Harris, J.D.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i w:val="false"/>
          <w:iCs w:val="false"/>
          <w:lang w:val="en-US"/>
        </w:rPr>
        <w:t>,</w:t>
      </w:r>
      <w:r>
        <w:rPr>
          <w:lang w:val="en-US"/>
        </w:rPr>
        <w:t xml:space="preserve"> </w:t>
      </w:r>
      <w:r>
        <w:rPr>
          <w:b/>
          <w:bCs/>
          <w:lang w:val="en-US"/>
        </w:rPr>
        <w:t>49(5)</w:t>
      </w:r>
      <w:r>
        <w:rPr>
          <w:lang w:val="en-US"/>
        </w:rPr>
        <w:t>:1091–1121.</w:t>
      </w:r>
    </w:p>
    <w:p>
      <w:pPr>
        <w:pStyle w:val="Reference"/>
        <w:spacing w:lineRule="auto" w:line="480"/>
        <w:rPr/>
      </w:pPr>
      <w:r>
        <w:rPr>
          <w:lang w:val="en-US"/>
        </w:rPr>
        <w:t xml:space="preserve">Hatcher, J.B.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i w:val="false"/>
          <w:iCs w:val="false"/>
          <w:lang w:val="en-US"/>
        </w:rPr>
        <w:t>,</w:t>
      </w:r>
      <w:r>
        <w:rPr>
          <w:lang w:val="en-US"/>
        </w:rPr>
        <w:t xml:space="preserve"> </w:t>
      </w:r>
      <w:r>
        <w:rPr>
          <w:b/>
          <w:bCs/>
          <w:lang w:val="en-US"/>
        </w:rPr>
        <w:t>1</w:t>
      </w:r>
      <w:r>
        <w:rPr>
          <w:lang w:val="en-US"/>
        </w:rPr>
        <w:t>:1–63 and plates I–XIII.</w:t>
      </w:r>
    </w:p>
    <w:p>
      <w:pPr>
        <w:pStyle w:val="Reference"/>
        <w:spacing w:lineRule="auto" w:line="480"/>
        <w:rPr/>
      </w:pPr>
      <w:r>
        <w:rPr>
          <w:lang w:val="en-US"/>
        </w:rPr>
        <w:t xml:space="preserve">Hatcher, J.B. 1903. Additional remarks on </w:t>
      </w:r>
      <w:r>
        <w:rPr>
          <w:i/>
          <w:iCs/>
          <w:lang w:val="en-US"/>
        </w:rPr>
        <w:t>Diplodocus</w:t>
      </w:r>
      <w:r>
        <w:rPr>
          <w:lang w:val="en-US"/>
        </w:rPr>
        <w:t xml:space="preserve">. </w:t>
      </w:r>
      <w:r>
        <w:rPr>
          <w:i/>
          <w:iCs/>
          <w:lang w:val="en-US"/>
        </w:rPr>
        <w:t>Memoirs of the Carnegie Museum</w:t>
      </w:r>
      <w:r>
        <w:rPr>
          <w:i w:val="false"/>
          <w:iCs w:val="false"/>
          <w:lang w:val="en-US"/>
        </w:rPr>
        <w:t>,</w:t>
      </w:r>
      <w:r>
        <w:rPr>
          <w:lang w:val="en-US"/>
        </w:rPr>
        <w:t xml:space="preserve"> </w:t>
      </w:r>
      <w:r>
        <w:rPr>
          <w:b/>
          <w:bCs/>
          <w:lang w:val="en-US"/>
        </w:rPr>
        <w:t>2</w:t>
      </w:r>
      <w:r>
        <w:rPr>
          <w:lang w:val="en-US"/>
        </w:rPr>
        <w:t>:72–75 and plate F.</w:t>
      </w:r>
    </w:p>
    <w:p>
      <w:pPr>
        <w:pStyle w:val="Reference"/>
        <w:spacing w:lineRule="auto" w:line="480"/>
        <w:rPr/>
      </w:pPr>
      <w:r>
        <w:rPr>
          <w:lang w:val="en-US"/>
        </w:rPr>
        <w:t>Hatcher, J.B. 1904a. Letter to W.H. Utterback, 4 June 1904.</w:t>
      </w:r>
    </w:p>
    <w:p>
      <w:pPr>
        <w:pStyle w:val="Reference"/>
        <w:spacing w:lineRule="auto" w:line="480"/>
        <w:rPr/>
      </w:pPr>
      <w:r>
        <w:rPr>
          <w:lang w:val="en-US"/>
        </w:rPr>
        <w:t>Hatcher, J.B. 1904b. Letter to W.H. Utterback, 14 June 1904.</w:t>
      </w:r>
    </w:p>
    <w:p>
      <w:pPr>
        <w:pStyle w:val="Reference"/>
        <w:spacing w:lineRule="auto" w:line="480"/>
        <w:rPr/>
      </w:pPr>
      <w:r>
        <w:rPr>
          <w:lang w:val="en-US"/>
        </w:rPr>
        <w:t xml:space="preserve">Hay, O.P. 1908. On the habits and the pose of the sauropodous dinosaurs, especially of </w:t>
      </w:r>
      <w:r>
        <w:rPr>
          <w:i/>
          <w:iCs/>
          <w:lang w:val="en-US"/>
        </w:rPr>
        <w:t>Diplodocus</w:t>
      </w:r>
      <w:r>
        <w:rPr>
          <w:lang w:val="en-US"/>
        </w:rPr>
        <w:t xml:space="preserve">. </w:t>
      </w:r>
      <w:r>
        <w:rPr>
          <w:i/>
          <w:iCs/>
          <w:lang w:val="en-US"/>
        </w:rPr>
        <w:t>The American Naturalist</w:t>
      </w:r>
      <w:r>
        <w:rPr>
          <w:i w:val="false"/>
          <w:iCs w:val="false"/>
          <w:lang w:val="en-US"/>
        </w:rPr>
        <w:t>,</w:t>
      </w:r>
      <w:r>
        <w:rPr>
          <w:lang w:val="en-US"/>
        </w:rPr>
        <w:t xml:space="preserve"> </w:t>
      </w:r>
      <w:r>
        <w:rPr>
          <w:b/>
          <w:bCs/>
          <w:lang w:val="en-US"/>
        </w:rPr>
        <w:t>42</w:t>
      </w:r>
      <w:r>
        <w:rPr>
          <w:lang w:val="en-US"/>
        </w:rPr>
        <w:t>:672–681.</w:t>
      </w:r>
    </w:p>
    <w:p>
      <w:pPr>
        <w:pStyle w:val="Reference"/>
        <w:spacing w:lineRule="auto" w:line="480"/>
        <w:rPr/>
      </w:pPr>
      <w:r>
        <w:rPr>
          <w:lang w:val="en-US"/>
        </w:rPr>
        <w:t xml:space="preserve">Hay, O.P.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i w:val="false"/>
          <w:iCs w:val="false"/>
          <w:lang w:val="en-US"/>
        </w:rPr>
        <w:t>,</w:t>
      </w:r>
      <w:r>
        <w:rPr>
          <w:lang w:val="en-US"/>
        </w:rPr>
        <w:t xml:space="preserve"> </w:t>
      </w:r>
      <w:r>
        <w:rPr>
          <w:b/>
          <w:bCs/>
          <w:lang w:val="en-US"/>
        </w:rPr>
        <w:t>12</w:t>
      </w:r>
      <w:r>
        <w:rPr>
          <w:lang w:val="en-US"/>
        </w:rPr>
        <w:t>:1–25.</w:t>
      </w:r>
    </w:p>
    <w:p>
      <w:pPr>
        <w:pStyle w:val="Reference"/>
        <w:spacing w:lineRule="auto" w:line="480"/>
        <w:rPr/>
      </w:pPr>
      <w:r>
        <w:rPr>
          <w:lang w:val="en-US"/>
        </w:rPr>
        <w:t xml:space="preserve">Hay, O.P. 1911. Further observations on the pose of the sauropodous dinosaurs. </w:t>
      </w:r>
      <w:r>
        <w:rPr>
          <w:i/>
          <w:iCs/>
          <w:lang w:val="en-US"/>
        </w:rPr>
        <w:t>The American Naturalist</w:t>
      </w:r>
      <w:r>
        <w:rPr>
          <w:i w:val="false"/>
          <w:iCs w:val="false"/>
          <w:lang w:val="en-US"/>
        </w:rPr>
        <w:t>,</w:t>
      </w:r>
      <w:r>
        <w:rPr>
          <w:lang w:val="en-US"/>
        </w:rPr>
        <w:t xml:space="preserve"> </w:t>
      </w:r>
      <w:r>
        <w:rPr>
          <w:b/>
          <w:bCs/>
          <w:lang w:val="en-US"/>
        </w:rPr>
        <w:t>45</w:t>
      </w:r>
      <w:r>
        <w:rPr>
          <w:lang w:val="en-US"/>
        </w:rPr>
        <w:t>:396–412.</w:t>
      </w:r>
    </w:p>
    <w:p>
      <w:pPr>
        <w:pStyle w:val="Reference"/>
        <w:spacing w:lineRule="auto" w:line="480"/>
        <w:rPr/>
      </w:pPr>
      <w:r>
        <w:rPr/>
        <w:t xml:space="preserve">Hill, A.P. 1980. Early postmortem damage to the remains of some contemporary east African mammals. pp. 131–152 </w:t>
      </w:r>
      <w:r>
        <w:rPr>
          <w:lang w:val="en-US"/>
        </w:rPr>
        <w:t xml:space="preserve">in </w:t>
      </w:r>
      <w:r>
        <w:rPr>
          <w:i/>
          <w:iCs/>
          <w:lang w:val="en-US"/>
        </w:rPr>
        <w:t>Fossils in the Making: Vertebrate Taphonomy and Paleoecology</w:t>
      </w:r>
      <w:r>
        <w:rPr>
          <w:lang w:val="en-US"/>
        </w:rPr>
        <w:t xml:space="preserve"> (A.K. Behrensmeyer and A.P. Hill, eds.). University of Chicago Press, Chicago, Illinois.</w:t>
      </w:r>
    </w:p>
    <w:p>
      <w:pPr>
        <w:pStyle w:val="Reference"/>
        <w:spacing w:lineRule="auto" w:line="480"/>
        <w:rPr/>
      </w:pPr>
      <w:r>
        <w:rPr>
          <w:lang w:val="en-US"/>
        </w:rPr>
        <w:t xml:space="preserve">Holland, W.J. 1903. Letter to A. Carnegie, 31 January 1903. </w:t>
      </w:r>
      <w:hyperlink r:id="rId13">
        <w:r>
          <w:rPr>
            <w:rStyle w:val="Hyperlink"/>
            <w:lang w:val="en-US"/>
          </w:rPr>
          <w:t>http://digitalcollections.powerlibrary.org/cdm/compoundobject/collection/acamu-acarc/id/13522/rec/1</w:t>
        </w:r>
      </w:hyperlink>
    </w:p>
    <w:p>
      <w:pPr>
        <w:pStyle w:val="Reference"/>
        <w:spacing w:lineRule="auto" w:line="480"/>
        <w:rPr/>
      </w:pPr>
      <w:r>
        <w:rPr>
          <w:lang w:val="en-US"/>
        </w:rPr>
        <w:t>Holland, W.J. 1904a. Letter to E.R. Lankester, 10 June 1904. Reproduced in part in Barrett et al. (2010:24–25).</w:t>
      </w:r>
    </w:p>
    <w:p>
      <w:pPr>
        <w:pStyle w:val="Reference"/>
        <w:spacing w:lineRule="auto" w:line="480"/>
        <w:rPr/>
      </w:pPr>
      <w:r>
        <w:rPr>
          <w:lang w:val="en-US"/>
        </w:rPr>
        <w:t>Holland, W.J. 1904b. Letter to A. Carnegie (as “My Dear Lord Rector”), 10 June 1904.</w:t>
      </w:r>
    </w:p>
    <w:p>
      <w:pPr>
        <w:pStyle w:val="Reference"/>
        <w:spacing w:lineRule="auto" w:line="480"/>
        <w:rPr/>
      </w:pPr>
      <w:r>
        <w:rPr>
          <w:lang w:val="en-US"/>
        </w:rPr>
        <w:t xml:space="preserve">Holland, W.J.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i w:val="false"/>
          <w:iCs w:val="false"/>
          <w:lang w:val="en-US"/>
        </w:rPr>
        <w:t>,</w:t>
      </w:r>
      <w:r>
        <w:rPr>
          <w:lang w:val="en-US"/>
        </w:rPr>
        <w:t xml:space="preserve"> </w:t>
      </w:r>
      <w:r>
        <w:rPr>
          <w:b/>
          <w:bCs/>
          <w:lang w:val="en-US"/>
        </w:rPr>
        <w:t>3(3)</w:t>
      </w:r>
      <w:r>
        <w:rPr>
          <w:lang w:val="en-US"/>
        </w:rPr>
        <w:t>:443–452 and plates XVII–XVIII.</w:t>
      </w:r>
    </w:p>
    <w:p>
      <w:pPr>
        <w:pStyle w:val="Reference"/>
        <w:spacing w:lineRule="auto" w:line="480"/>
        <w:rPr/>
      </w:pPr>
      <w:r>
        <w:rPr>
          <w:lang w:val="en-US"/>
        </w:rPr>
        <w:t xml:space="preserve">Holland, W.J.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i w:val="false"/>
          <w:iCs w:val="false"/>
          <w:lang w:val="en-US"/>
        </w:rPr>
        <w:t>,</w:t>
      </w:r>
      <w:r>
        <w:rPr>
          <w:lang w:val="en-US"/>
        </w:rPr>
        <w:t xml:space="preserve"> </w:t>
      </w:r>
      <w:r>
        <w:rPr>
          <w:b/>
          <w:bCs/>
          <w:lang w:val="en-US"/>
        </w:rPr>
        <w:t>2(6)</w:t>
      </w:r>
      <w:r>
        <w:rPr>
          <w:lang w:val="en-US"/>
        </w:rPr>
        <w:t>:225–278.</w:t>
      </w:r>
    </w:p>
    <w:p>
      <w:pPr>
        <w:pStyle w:val="Reference"/>
        <w:spacing w:lineRule="auto" w:line="480"/>
        <w:rPr/>
      </w:pPr>
      <w:r>
        <w:rPr>
          <w:lang w:val="en-US"/>
        </w:rPr>
        <w:t>Holland, W.J. 1907. Letter to A. Brauer, 8 November 1907.</w:t>
      </w:r>
    </w:p>
    <w:p>
      <w:pPr>
        <w:pStyle w:val="Reference"/>
        <w:spacing w:lineRule="auto" w:line="480"/>
        <w:rPr/>
      </w:pPr>
      <w:r>
        <w:rPr>
          <w:lang w:val="en-US"/>
        </w:rPr>
        <w:t xml:space="preserve">Holland, W.J.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i w:val="false"/>
          <w:iCs w:val="false"/>
          <w:lang w:val="en-US"/>
        </w:rPr>
        <w:t>,</w:t>
      </w:r>
      <w:r>
        <w:rPr>
          <w:lang w:val="en-US"/>
        </w:rPr>
        <w:t xml:space="preserve"> </w:t>
      </w:r>
      <w:r>
        <w:rPr>
          <w:b/>
          <w:bCs/>
          <w:lang w:val="en-US"/>
        </w:rPr>
        <w:t>44</w:t>
      </w:r>
      <w:r>
        <w:rPr>
          <w:lang w:val="en-US"/>
        </w:rPr>
        <w:t>:259–283.</w:t>
      </w:r>
    </w:p>
    <w:p>
      <w:pPr>
        <w:pStyle w:val="Reference"/>
        <w:spacing w:lineRule="auto" w:line="480"/>
        <w:rPr/>
      </w:pPr>
      <w:r>
        <w:rPr>
          <w:lang w:val="en-US"/>
        </w:rPr>
        <w:t>Holland, W.J. 1910b. Letter to A. Carnegie, 5 July 1910. Reproduced in part in Nieuwland (2019:233).</w:t>
      </w:r>
    </w:p>
    <w:p>
      <w:pPr>
        <w:pStyle w:val="Reference"/>
        <w:spacing w:lineRule="auto" w:line="480"/>
        <w:rPr/>
      </w:pPr>
      <w:r>
        <w:rPr>
          <w:lang w:val="en-US"/>
        </w:rPr>
        <w:t xml:space="preserve">Holland, W.J. 1910c. Letter to T. Tschernyschew, 3 January 1910. </w:t>
      </w:r>
      <w:hyperlink r:id="rId14">
        <w:r>
          <w:rPr>
            <w:rStyle w:val="Style5"/>
            <w:color w:val="800000"/>
            <w:u w:val="single"/>
            <w:lang w:val="en-US"/>
          </w:rPr>
          <w:t>https://digitalcollections.library.cmu.edu/node/86801</w:t>
        </w:r>
      </w:hyperlink>
    </w:p>
    <w:p>
      <w:pPr>
        <w:pStyle w:val="Reference"/>
        <w:spacing w:lineRule="auto" w:line="480"/>
        <w:rPr/>
      </w:pPr>
      <w:r>
        <w:rPr>
          <w:lang w:val="en-US"/>
        </w:rPr>
        <w:t xml:space="preserve">Holland, W.J. 1910d. Letter to A. Carnegie, 5 July 1910. </w:t>
      </w:r>
      <w:hyperlink r:id="rId15">
        <w:r>
          <w:rPr>
            <w:rStyle w:val="Hyperlink"/>
            <w:lang w:val="en-US"/>
          </w:rPr>
          <w:t>http://digitalcollections.powerlibrary.org/cdm/compoundobject/collection/acamu-acarc/id/14064/rec/1</w:t>
        </w:r>
      </w:hyperlink>
    </w:p>
    <w:p>
      <w:pPr>
        <w:pStyle w:val="Reference"/>
        <w:spacing w:lineRule="auto" w:line="480"/>
        <w:rPr/>
      </w:pPr>
      <w:r>
        <w:rPr>
          <w:lang w:val="en-US"/>
        </w:rPr>
        <w:t xml:space="preserve">Holland, W.J. 1911. Letter to A. Carnegie, 22 November 2011. </w:t>
      </w:r>
      <w:hyperlink r:id="rId16">
        <w:r>
          <w:rPr>
            <w:rStyle w:val="Hyperlink"/>
            <w:lang w:val="en-US"/>
          </w:rPr>
          <w:t>https://digitalcollections.library.cmu.edu/node/86474</w:t>
        </w:r>
      </w:hyperlink>
    </w:p>
    <w:p>
      <w:pPr>
        <w:pStyle w:val="Reference"/>
        <w:spacing w:lineRule="auto" w:line="480"/>
        <w:rPr/>
      </w:pPr>
      <w:r>
        <w:rPr>
          <w:lang w:val="en-US"/>
        </w:rPr>
        <w:t xml:space="preserve">Holland, W.J. 1913. </w:t>
      </w:r>
      <w:r>
        <w:rPr>
          <w:i/>
          <w:iCs/>
          <w:lang w:val="en-US"/>
        </w:rPr>
        <w:t>To the River Plate and Back. The Narrative of a Scientific Mission to South America, with Observations upon Things Seen and Suggested</w:t>
      </w:r>
      <w:r>
        <w:rPr>
          <w:lang w:val="en-US"/>
        </w:rPr>
        <w:t>. G.P. Putnam’s Sons, New York, New York.</w:t>
      </w:r>
    </w:p>
    <w:p>
      <w:pPr>
        <w:pStyle w:val="Reference"/>
        <w:spacing w:lineRule="auto" w:line="480"/>
        <w:rPr/>
      </w:pPr>
      <w:r>
        <w:rPr>
          <w:lang w:val="en-US"/>
        </w:rPr>
        <w:t xml:space="preserve">Holland, W.J. 1924. The skull of </w:t>
      </w:r>
      <w:r>
        <w:rPr>
          <w:i/>
          <w:iCs/>
          <w:lang w:val="en-US"/>
        </w:rPr>
        <w:t>Diplodocus</w:t>
      </w:r>
      <w:r>
        <w:rPr>
          <w:lang w:val="en-US"/>
        </w:rPr>
        <w:t xml:space="preserve">. </w:t>
      </w:r>
      <w:r>
        <w:rPr>
          <w:i/>
          <w:iCs/>
          <w:lang w:val="en-US"/>
        </w:rPr>
        <w:t>Memoirs of the Carnegie Museum</w:t>
      </w:r>
      <w:r>
        <w:rPr>
          <w:i w:val="false"/>
          <w:iCs w:val="false"/>
          <w:lang w:val="en-US"/>
        </w:rPr>
        <w:t>,</w:t>
      </w:r>
      <w:r>
        <w:rPr>
          <w:lang w:val="en-US"/>
        </w:rPr>
        <w:t xml:space="preserve"> </w:t>
      </w:r>
      <w:r>
        <w:rPr>
          <w:b/>
          <w:bCs/>
          <w:lang w:val="en-US"/>
        </w:rPr>
        <w:t>9(3)</w:t>
      </w:r>
      <w:r>
        <w:rPr>
          <w:lang w:val="en-US"/>
        </w:rPr>
        <w:t>:379–403.</w:t>
      </w:r>
    </w:p>
    <w:p>
      <w:pPr>
        <w:pStyle w:val="Reference"/>
        <w:spacing w:lineRule="auto" w:line="480"/>
        <w:rPr/>
      </w:pPr>
      <w:r>
        <w:rPr>
          <w:lang w:val="en-US"/>
        </w:rPr>
        <w:t>Holland, W.J. 1928. Letter to L. Carnegie, 23 October 1928.</w:t>
      </w:r>
    </w:p>
    <w:p>
      <w:pPr>
        <w:pStyle w:val="Reference"/>
        <w:spacing w:lineRule="auto" w:line="480"/>
        <w:rPr/>
      </w:pPr>
      <w:r>
        <w:rPr>
          <w:lang w:val="en-US"/>
        </w:rPr>
        <w:t xml:space="preserve">Holland, W.J. 1930. The </w:t>
      </w:r>
      <w:r>
        <w:rPr>
          <w:i/>
          <w:iCs/>
          <w:lang w:val="en-US"/>
        </w:rPr>
        <w:t>Diplodocus</w:t>
      </w:r>
      <w:r>
        <w:rPr>
          <w:i w:val="false"/>
          <w:iCs w:val="false"/>
          <w:lang w:val="en-US"/>
        </w:rPr>
        <w:t xml:space="preserve"> </w:t>
      </w:r>
      <w:r>
        <w:rPr>
          <w:lang w:val="en-US"/>
        </w:rPr>
        <w:t xml:space="preserve">goes to Mexico. </w:t>
      </w:r>
      <w:r>
        <w:rPr>
          <w:i/>
          <w:iCs/>
          <w:lang w:val="en-US"/>
        </w:rPr>
        <w:t>Carnegie Magazine</w:t>
      </w:r>
      <w:r>
        <w:rPr>
          <w:i w:val="false"/>
          <w:iCs w:val="false"/>
          <w:lang w:val="en-US"/>
        </w:rPr>
        <w:t>,</w:t>
      </w:r>
      <w:r>
        <w:rPr>
          <w:lang w:val="en-US"/>
        </w:rPr>
        <w:t xml:space="preserve"> </w:t>
      </w:r>
      <w:r>
        <w:rPr>
          <w:b/>
          <w:bCs/>
          <w:lang w:val="en-US"/>
        </w:rPr>
        <w:t>4</w:t>
      </w:r>
      <w:r>
        <w:rPr>
          <w:lang w:val="en-US"/>
        </w:rPr>
        <w:t>:83–86.</w:t>
      </w:r>
    </w:p>
    <w:p>
      <w:pPr>
        <w:pStyle w:val="Reference"/>
        <w:spacing w:lineRule="auto" w:line="480"/>
        <w:rPr/>
      </w:pPr>
      <w:r>
        <w:rPr>
          <w:lang w:val="en-US"/>
        </w:rPr>
        <w:t xml:space="preserve">Hopey, D., and T. McNulty. 2007. Meet the key players who brought the Carnegie’s new dinosaur hall to life. </w:t>
      </w:r>
      <w:r>
        <w:rPr>
          <w:i/>
          <w:iCs/>
          <w:lang w:val="en-US"/>
        </w:rPr>
        <w:t>Pittsburgh Post-Gazette</w:t>
      </w:r>
      <w:r>
        <w:rPr>
          <w:lang w:val="en-US"/>
        </w:rPr>
        <w:t>, 18 November 2007.</w:t>
      </w:r>
    </w:p>
    <w:p>
      <w:pPr>
        <w:pStyle w:val="Reference"/>
        <w:spacing w:lineRule="auto" w:line="480"/>
        <w:rPr/>
      </w:pPr>
      <w:r>
        <w:rPr>
          <w:lang w:val="en-US"/>
        </w:rPr>
        <w:t xml:space="preserve">Horne, J. 2005. Dino’s last dance. </w:t>
      </w:r>
      <w:r>
        <w:rPr>
          <w:i/>
          <w:iCs/>
          <w:lang w:val="en-US"/>
        </w:rPr>
        <w:t>Pittsburgh Tribune-Review</w:t>
      </w:r>
      <w:r>
        <w:rPr>
          <w:lang w:val="en-US"/>
        </w:rPr>
        <w:t>, 14 March 2005.</w:t>
      </w:r>
    </w:p>
    <w:p>
      <w:pPr>
        <w:pStyle w:val="Reference"/>
        <w:spacing w:lineRule="auto" w:line="480"/>
        <w:rPr/>
      </w:pPr>
      <w:r>
        <w:rPr>
          <w:lang w:val="en-US"/>
        </w:rPr>
        <w:t xml:space="preserve">Janensch, W.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spacing w:lineRule="auto" w:line="480"/>
        <w:rPr/>
      </w:pPr>
      <w:r>
        <w:rPr>
          <w:lang w:val="en-US"/>
        </w:rPr>
        <w:t xml:space="preserve">Jones, G..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val="false"/>
          <w:bCs w:val="false"/>
          <w:lang w:val="en-US"/>
        </w:rPr>
        <w:t>Sunday 27 Nov 1898</w:t>
      </w:r>
      <w:r>
        <w:rPr>
          <w:lang w:val="en-US"/>
        </w:rPr>
        <w:t xml:space="preserve">:38. </w:t>
      </w:r>
      <w:hyperlink r:id="rId17">
        <w:r>
          <w:rPr>
            <w:rStyle w:val="Hyperlink"/>
            <w:lang w:val="en-US"/>
          </w:rPr>
          <w:t>https://www.newspapers.com/article/st-louis-globe-democrat-wyoming-dinosau/146581997/</w:t>
        </w:r>
      </w:hyperlink>
    </w:p>
    <w:p>
      <w:pPr>
        <w:pStyle w:val="Reference"/>
        <w:spacing w:lineRule="auto" w:line="480"/>
        <w:rPr/>
      </w:pPr>
      <w:r>
        <w:rPr>
          <w:lang w:val="en-US"/>
        </w:rPr>
        <w:t xml:space="preserve">Krishtalka, L. 1988. Body double: duplicating dinosaurs. </w:t>
      </w:r>
      <w:r>
        <w:rPr>
          <w:i/>
          <w:iCs/>
          <w:lang w:val="en-US"/>
        </w:rPr>
        <w:t>Carnegie Magazine</w:t>
      </w:r>
      <w:r>
        <w:rPr>
          <w:i w:val="false"/>
          <w:iCs w:val="false"/>
          <w:lang w:val="en-US"/>
        </w:rPr>
        <w:t>,</w:t>
      </w:r>
      <w:r>
        <w:rPr>
          <w:lang w:val="en-US"/>
        </w:rPr>
        <w:t xml:space="preserve"> </w:t>
      </w:r>
      <w:r>
        <w:rPr>
          <w:b/>
          <w:bCs/>
          <w:lang w:val="en-US"/>
        </w:rPr>
        <w:t>59(4)</w:t>
      </w:r>
      <w:r>
        <w:rPr>
          <w:lang w:val="en-US"/>
        </w:rPr>
        <w:t>:12–20.</w:t>
      </w:r>
    </w:p>
    <w:p>
      <w:pPr>
        <w:pStyle w:val="Reference"/>
        <w:spacing w:lineRule="auto" w:line="480"/>
        <w:rPr/>
      </w:pPr>
      <w:r>
        <w:rPr>
          <w:lang w:val="en-US"/>
        </w:rPr>
        <w:t xml:space="preserve">Lindsay, W. 1992. </w:t>
      </w:r>
      <w:r>
        <w:rPr>
          <w:i/>
          <w:iCs/>
          <w:lang w:val="en-US"/>
        </w:rPr>
        <w:t>Barosaurus: On the Trail of the Gigantic Plant-Eating Dinosaur</w:t>
      </w:r>
      <w:r>
        <w:rPr>
          <w:lang w:val="en-US"/>
        </w:rPr>
        <w:t xml:space="preserve"> (Dinosaur Spotter’s Guides series). Dorling Kindersley, London. 32 pages.</w:t>
      </w:r>
    </w:p>
    <w:p>
      <w:pPr>
        <w:pStyle w:val="Reference"/>
        <w:spacing w:lineRule="auto" w:line="480"/>
        <w:rPr/>
      </w:pPr>
      <w:r>
        <w:rPr>
          <w:lang w:val="en-US"/>
        </w:rPr>
        <w:t xml:space="preserve">Madsen, J.H.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spacing w:lineRule="auto" w:line="480"/>
        <w:rPr/>
      </w:pPr>
      <w:r>
        <w:rPr>
          <w:lang w:val="en-US"/>
        </w:rPr>
        <w:t xml:space="preserve">Maier, G. 2003. </w:t>
      </w:r>
      <w:r>
        <w:rPr>
          <w:i/>
          <w:iCs/>
          <w:lang w:val="en-US"/>
        </w:rPr>
        <w:t>African Dinosaurs Unearthed: The Tendaguru Expeditions</w:t>
      </w:r>
      <w:r>
        <w:rPr>
          <w:lang w:val="en-US"/>
        </w:rPr>
        <w:t>. Indiana University Press, Bloomington and Indianapolis, Indiana. 380 pages.</w:t>
      </w:r>
    </w:p>
    <w:p>
      <w:pPr>
        <w:pStyle w:val="Reference"/>
        <w:spacing w:lineRule="auto" w:line="480"/>
        <w:rPr/>
      </w:pPr>
      <w:r>
        <w:rPr>
          <w:lang w:val="en-US"/>
        </w:rPr>
        <w:t xml:space="preserve">Marsh, O.C.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spacing w:lineRule="auto" w:line="480"/>
        <w:rPr/>
      </w:pPr>
      <w:r>
        <w:rPr>
          <w:lang w:val="en-US"/>
        </w:rPr>
        <w:t xml:space="preserve">Matthew, W.D. 1905. The mounted skeleton of </w:t>
      </w:r>
      <w:r>
        <w:rPr>
          <w:i/>
          <w:iCs/>
          <w:lang w:val="en-US"/>
        </w:rPr>
        <w:t>Brontosaurus</w:t>
      </w:r>
      <w:r>
        <w:rPr>
          <w:lang w:val="en-US"/>
        </w:rPr>
        <w:t xml:space="preserve">. </w:t>
      </w:r>
      <w:r>
        <w:rPr>
          <w:i/>
          <w:iCs/>
          <w:lang w:val="en-US"/>
        </w:rPr>
        <w:t>American Museum Journal</w:t>
      </w:r>
      <w:r>
        <w:rPr>
          <w:i w:val="false"/>
          <w:iCs w:val="false"/>
          <w:lang w:val="en-US"/>
        </w:rPr>
        <w:t>,</w:t>
      </w:r>
      <w:r>
        <w:rPr>
          <w:lang w:val="en-US"/>
        </w:rPr>
        <w:t xml:space="preserve"> </w:t>
      </w:r>
      <w:r>
        <w:rPr>
          <w:b/>
          <w:bCs/>
          <w:lang w:val="en-US"/>
        </w:rPr>
        <w:t>5</w:t>
      </w:r>
      <w:r>
        <w:rPr>
          <w:lang w:val="en-US"/>
        </w:rPr>
        <w:t>:62–70.</w:t>
      </w:r>
    </w:p>
    <w:p>
      <w:pPr>
        <w:pStyle w:val="Reference"/>
        <w:spacing w:lineRule="auto" w:line="480"/>
        <w:rPr/>
      </w:pPr>
      <w:r>
        <w:rPr>
          <w:lang w:val="en-US"/>
        </w:rPr>
        <w:t xml:space="preserve">Matthew, W.D. 1910. The pose of sauropodous dinosaurs. </w:t>
      </w:r>
      <w:r>
        <w:rPr>
          <w:i/>
          <w:iCs/>
          <w:lang w:val="en-US"/>
        </w:rPr>
        <w:t>The American Naturalist</w:t>
      </w:r>
      <w:r>
        <w:rPr>
          <w:i w:val="false"/>
          <w:iCs w:val="false"/>
          <w:lang w:val="en-US"/>
        </w:rPr>
        <w:t>,</w:t>
      </w:r>
      <w:r>
        <w:rPr>
          <w:lang w:val="en-US"/>
        </w:rPr>
        <w:t xml:space="preserve"> </w:t>
      </w:r>
      <w:r>
        <w:rPr>
          <w:b/>
          <w:bCs/>
          <w:lang w:val="en-US"/>
        </w:rPr>
        <w:t>44(525)</w:t>
      </w:r>
      <w:r>
        <w:rPr>
          <w:lang w:val="en-US"/>
        </w:rPr>
        <w:t>:547–560.</w:t>
      </w:r>
    </w:p>
    <w:p>
      <w:pPr>
        <w:pStyle w:val="Reference"/>
        <w:spacing w:lineRule="auto" w:line="480"/>
        <w:rPr/>
      </w:pPr>
      <w:r>
        <w:rPr>
          <w:lang w:val="en-US"/>
        </w:rPr>
        <w:t xml:space="preserve">McIntosh, J.S. 1981. Annotated catalogue of the dinosaurs (Reptilia, Archosauria) in the collections of Carnegie Museum of Natural History. </w:t>
      </w:r>
      <w:r>
        <w:rPr>
          <w:i/>
          <w:iCs/>
          <w:lang w:val="en-US"/>
        </w:rPr>
        <w:t>Bulletin of the Carnegie Museum</w:t>
      </w:r>
      <w:r>
        <w:rPr>
          <w:i w:val="false"/>
          <w:iCs w:val="false"/>
          <w:lang w:val="en-US"/>
        </w:rPr>
        <w:t>,</w:t>
      </w:r>
      <w:r>
        <w:rPr>
          <w:lang w:val="en-US"/>
        </w:rPr>
        <w:t xml:space="preserve"> </w:t>
      </w:r>
      <w:r>
        <w:rPr>
          <w:b/>
          <w:bCs/>
          <w:lang w:val="en-US"/>
        </w:rPr>
        <w:t>18</w:t>
      </w:r>
      <w:r>
        <w:rPr>
          <w:lang w:val="en-US"/>
        </w:rPr>
        <w:t>:1–67.</w:t>
      </w:r>
    </w:p>
    <w:p>
      <w:pPr>
        <w:pStyle w:val="Reference"/>
        <w:spacing w:lineRule="auto" w:line="480"/>
        <w:rPr/>
      </w:pPr>
      <w:r>
        <w:rPr>
          <w:lang w:val="en-US"/>
        </w:rPr>
        <w:t xml:space="preserve">McIntosh, J.S. 2005a. The genus </w:t>
      </w:r>
      <w:r>
        <w:rPr>
          <w:i/>
          <w:iCs/>
          <w:lang w:val="en-US"/>
        </w:rPr>
        <w:t>Barosaurus</w:t>
      </w:r>
      <w:r>
        <w:rPr>
          <w:lang w:val="en-US"/>
        </w:rPr>
        <w:t xml:space="preserve"> Marsh (Sauropoda, Diplodocidae). Pp. 38–77 in </w:t>
      </w:r>
      <w:r>
        <w:rPr>
          <w:i/>
          <w:iCs/>
          <w:lang w:val="en-US"/>
        </w:rPr>
        <w:t>Thunder Lizards: The Sauropodomorph Dinosaurs</w:t>
      </w:r>
      <w:r>
        <w:rPr>
          <w:lang w:val="en-US"/>
        </w:rPr>
        <w:t xml:space="preserve"> (Virginia Tidwell and Ken Carpenter, eds.). Indiana University Press, Bloomington, Indiana. 495 pp.</w:t>
      </w:r>
    </w:p>
    <w:p>
      <w:pPr>
        <w:pStyle w:val="Reference"/>
        <w:spacing w:lineRule="auto" w:line="480"/>
        <w:rPr/>
      </w:pPr>
      <w:r>
        <w:rPr>
          <w:lang w:val="en-US"/>
        </w:rPr>
        <w:t xml:space="preserve">McIntosh, J.S. 2005b. </w:t>
      </w:r>
      <w:r>
        <w:rPr>
          <w:i/>
          <w:iCs/>
          <w:lang w:val="en-US"/>
        </w:rPr>
        <w:t>Diplodocus</w:t>
      </w:r>
      <w:r>
        <w:rPr>
          <w:lang w:val="en-US"/>
        </w:rPr>
        <w:t xml:space="preserve"> tail (email to M.C. Lamanna, 14 July 2005).</w:t>
      </w:r>
    </w:p>
    <w:p>
      <w:pPr>
        <w:pStyle w:val="Reference"/>
        <w:spacing w:lineRule="auto" w:line="480"/>
        <w:rPr/>
      </w:pPr>
      <w:r>
        <w:rPr>
          <w:lang w:val="en-US"/>
        </w:rPr>
        <w:t xml:space="preserve">McIntosh, J.S, and M.E.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i w:val="false"/>
          <w:iCs w:val="false"/>
          <w:lang w:val="en-US"/>
        </w:rPr>
        <w:t>,</w:t>
      </w:r>
      <w:r>
        <w:rPr>
          <w:lang w:val="en-US"/>
        </w:rPr>
        <w:t xml:space="preserve"> </w:t>
      </w:r>
      <w:r>
        <w:rPr>
          <w:b/>
          <w:bCs/>
          <w:lang w:val="en-US"/>
        </w:rPr>
        <w:t>43</w:t>
      </w:r>
      <w:r>
        <w:rPr>
          <w:lang w:val="en-US"/>
        </w:rPr>
        <w:t>:3–26.</w:t>
      </w:r>
    </w:p>
    <w:p>
      <w:pPr>
        <w:pStyle w:val="Reference"/>
        <w:spacing w:lineRule="auto" w:line="480"/>
        <w:rPr/>
      </w:pPr>
      <w:r>
        <w:rPr>
          <w:lang w:val="en-US"/>
        </w:rPr>
        <w:t xml:space="preserve">McNulty, T. 2007. Dino Might! Carnegie Museum’s new exhibit has more dinosaurs, more action. </w:t>
      </w:r>
      <w:r>
        <w:rPr>
          <w:i/>
          <w:iCs/>
          <w:lang w:val="en-US"/>
        </w:rPr>
        <w:t>Pittsburgh Post-Gazette</w:t>
      </w:r>
      <w:r>
        <w:rPr>
          <w:lang w:val="en-US"/>
        </w:rPr>
        <w:t>, Sunday, 18 November 2007.</w:t>
      </w:r>
    </w:p>
    <w:p>
      <w:pPr>
        <w:pStyle w:val="Reference"/>
        <w:spacing w:lineRule="auto" w:line="480"/>
        <w:rPr/>
      </w:pPr>
      <w:r>
        <w:rPr>
          <w:lang w:val="en-US"/>
        </w:rPr>
        <w:t xml:space="preserve">Mook, C.C. 1917. The fore and hind limbs of </w:t>
      </w:r>
      <w:r>
        <w:rPr>
          <w:i/>
          <w:iCs/>
          <w:lang w:val="en-US"/>
        </w:rPr>
        <w:t>Diplodocus</w:t>
      </w:r>
      <w:r>
        <w:rPr>
          <w:lang w:val="en-US"/>
        </w:rPr>
        <w:t xml:space="preserve">. </w:t>
      </w:r>
      <w:r>
        <w:rPr>
          <w:i/>
          <w:iCs/>
          <w:lang w:val="en-US"/>
        </w:rPr>
        <w:t>Bulletin of the American Museum of Natural History</w:t>
      </w:r>
      <w:r>
        <w:rPr>
          <w:i w:val="false"/>
          <w:iCs w:val="false"/>
          <w:lang w:val="en-US"/>
        </w:rPr>
        <w:t>,</w:t>
      </w:r>
      <w:r>
        <w:rPr>
          <w:lang w:val="en-US"/>
        </w:rPr>
        <w:t xml:space="preserve"> </w:t>
      </w:r>
      <w:r>
        <w:rPr>
          <w:b/>
          <w:bCs/>
          <w:lang w:val="en-US"/>
        </w:rPr>
        <w:t>37</w:t>
      </w:r>
      <w:r>
        <w:rPr>
          <w:lang w:val="en-US"/>
        </w:rPr>
        <w:t>:815–819.</w:t>
      </w:r>
    </w:p>
    <w:p>
      <w:pPr>
        <w:pStyle w:val="Reference"/>
        <w:spacing w:lineRule="auto" w:line="480"/>
        <w:rPr/>
      </w:pPr>
      <w:r>
        <w:rPr>
          <w:lang w:val="en-US"/>
        </w:rPr>
        <w:t xml:space="preserve">Nieuwland, I. 2019. </w:t>
      </w:r>
      <w:r>
        <w:rPr>
          <w:i/>
          <w:iCs/>
          <w:lang w:val="en-US"/>
        </w:rPr>
        <w:t xml:space="preserve">American Dinosaur Abroad: A Cultural History of Carnegie’s Plaster </w:t>
      </w:r>
      <w:r>
        <w:rPr>
          <w:lang w:val="en-US"/>
        </w:rPr>
        <w:t>Diplodocus. University of Pittsburgh Press, Pittsburgh, Pennsylvania. ISBN: 978-0822945574. doi:10.2307/j.ctvh4zh5n</w:t>
      </w:r>
    </w:p>
    <w:p>
      <w:pPr>
        <w:pStyle w:val="Reference"/>
        <w:spacing w:lineRule="auto" w:line="480"/>
        <w:rPr/>
      </w:pPr>
      <w:r>
        <w:rPr>
          <w:lang w:val="en-US"/>
        </w:rPr>
        <w:t xml:space="preserve">Nopcsa, F.,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i w:val="false"/>
          <w:iCs w:val="false"/>
          <w:lang w:val="en-US"/>
        </w:rPr>
        <w:t>,</w:t>
      </w:r>
      <w:r>
        <w:rPr>
          <w:lang w:val="en-US"/>
        </w:rPr>
        <w:t xml:space="preserve"> </w:t>
      </w:r>
      <w:r>
        <w:rPr>
          <w:b/>
          <w:bCs/>
          <w:lang w:val="en-US"/>
        </w:rPr>
        <w:t>XIX (II, part I)</w:t>
      </w:r>
      <w:r>
        <w:rPr>
          <w:lang w:val="en-US"/>
        </w:rPr>
        <w:t>:289–294.</w:t>
      </w:r>
    </w:p>
    <w:p>
      <w:pPr>
        <w:pStyle w:val="Reference"/>
        <w:spacing w:lineRule="auto" w:line="480"/>
        <w:rPr/>
      </w:pPr>
      <w:r>
        <w:rPr>
          <w:lang w:val="en-US"/>
        </w:rPr>
        <w:t xml:space="preserve">Norman, D.B. 1985. </w:t>
      </w:r>
      <w:r>
        <w:rPr>
          <w:i/>
          <w:iCs/>
          <w:lang w:val="en-US"/>
        </w:rPr>
        <w:t>The Illustrated Encyclopedia of Dinosaurs</w:t>
      </w:r>
      <w:r>
        <w:rPr>
          <w:lang w:val="en-US"/>
        </w:rPr>
        <w:t>. Salamander Books, London. 208 pages.</w:t>
      </w:r>
    </w:p>
    <w:p>
      <w:pPr>
        <w:pStyle w:val="Reference"/>
        <w:spacing w:lineRule="auto" w:line="480"/>
        <w:rPr/>
      </w:pPr>
      <w:r>
        <w:rPr>
          <w:lang w:val="en-US"/>
        </w:rPr>
        <w:t xml:space="preserve">Osborn, H.F. 1899. A skeleton of </w:t>
      </w:r>
      <w:r>
        <w:rPr>
          <w:i/>
          <w:iCs/>
          <w:lang w:val="en-US"/>
        </w:rPr>
        <w:t>Diplodocus</w:t>
      </w:r>
      <w:r>
        <w:rPr>
          <w:lang w:val="en-US"/>
        </w:rPr>
        <w:t xml:space="preserve">. </w:t>
      </w:r>
      <w:r>
        <w:rPr>
          <w:i/>
          <w:iCs/>
          <w:lang w:val="en-US"/>
        </w:rPr>
        <w:t>Memoirs of the American Museum of Natural History</w:t>
      </w:r>
      <w:r>
        <w:rPr>
          <w:i w:val="false"/>
          <w:iCs w:val="false"/>
          <w:lang w:val="en-US"/>
        </w:rPr>
        <w:t>,</w:t>
      </w:r>
      <w:r>
        <w:rPr>
          <w:lang w:val="en-US"/>
        </w:rPr>
        <w:t xml:space="preserve"> </w:t>
      </w:r>
      <w:r>
        <w:rPr>
          <w:b/>
          <w:bCs/>
          <w:lang w:val="en-US"/>
        </w:rPr>
        <w:t>1</w:t>
      </w:r>
      <w:r>
        <w:rPr>
          <w:lang w:val="en-US"/>
        </w:rPr>
        <w:t>:191–214 and plates XXIV–XXVIII.</w:t>
      </w:r>
    </w:p>
    <w:p>
      <w:pPr>
        <w:pStyle w:val="Reference"/>
        <w:spacing w:lineRule="auto" w:line="480"/>
        <w:rPr/>
      </w:pPr>
      <w:r>
        <w:rPr>
          <w:lang w:val="en-US"/>
        </w:rPr>
        <w:t xml:space="preserve">Osborn, H.F. 1904. Manus, sacrum, and caudals of Sauropoda. </w:t>
      </w:r>
      <w:r>
        <w:rPr>
          <w:i/>
          <w:iCs/>
          <w:lang w:val="en-US"/>
        </w:rPr>
        <w:t>Bulletin of the American Museum of Natural History</w:t>
      </w:r>
      <w:r>
        <w:rPr>
          <w:i w:val="false"/>
          <w:iCs w:val="false"/>
          <w:lang w:val="en-US"/>
        </w:rPr>
        <w:t>,</w:t>
      </w:r>
      <w:r>
        <w:rPr>
          <w:lang w:val="en-US"/>
        </w:rPr>
        <w:t xml:space="preserve"> </w:t>
      </w:r>
      <w:r>
        <w:rPr>
          <w:b/>
          <w:bCs/>
          <w:lang w:val="en-US"/>
        </w:rPr>
        <w:t>20</w:t>
      </w:r>
      <w:r>
        <w:rPr>
          <w:lang w:val="en-US"/>
        </w:rPr>
        <w:t>:181–190.</w:t>
      </w:r>
    </w:p>
    <w:p>
      <w:pPr>
        <w:pStyle w:val="Reference"/>
        <w:spacing w:lineRule="auto" w:line="480"/>
        <w:rPr/>
      </w:pPr>
      <w:r>
        <w:rPr>
          <w:lang w:val="en-US"/>
        </w:rPr>
        <w:t xml:space="preserve">Osborn, H.F., and C.C.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spacing w:lineRule="auto" w:line="480"/>
        <w:rPr/>
      </w:pPr>
      <w:r>
        <w:rPr>
          <w:lang w:val="en-US"/>
        </w:rPr>
        <w:t xml:space="preserve">Otero, A., and Z.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i w:val="false"/>
          <w:iCs w:val="false"/>
          <w:lang w:val="en-US"/>
        </w:rPr>
        <w:t>,</w:t>
      </w:r>
      <w:r>
        <w:rPr>
          <w:lang w:val="en-US"/>
        </w:rPr>
        <w:t xml:space="preserve"> </w:t>
      </w:r>
      <w:r>
        <w:rPr>
          <w:b/>
          <w:bCs/>
          <w:lang w:val="en-US"/>
        </w:rPr>
        <w:t>82(3)</w:t>
      </w:r>
      <w:r>
        <w:rPr>
          <w:lang w:val="en-US"/>
        </w:rPr>
        <w:t>:291–304.</w:t>
      </w:r>
    </w:p>
    <w:p>
      <w:pPr>
        <w:pStyle w:val="Reference"/>
        <w:spacing w:lineRule="auto" w:line="480"/>
        <w:rPr/>
      </w:pPr>
      <w:r>
        <w:rPr>
          <w:rFonts w:cs="Alkes"/>
          <w:kern w:val="0"/>
          <w:lang w:val="en-US" w:bidi="ar-SA"/>
        </w:rPr>
        <w:t xml:space="preserve">Padian, K.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i w:val="false"/>
          <w:iCs w:val="false"/>
          <w:kern w:val="0"/>
          <w:lang w:val="en-US" w:bidi="ar-SA"/>
        </w:rPr>
        <w:t>,</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spacing w:lineRule="auto" w:line="480"/>
        <w:rPr/>
      </w:pPr>
      <w:r>
        <w:rPr>
          <w:rFonts w:cs="Alkes"/>
          <w:kern w:val="0"/>
          <w:lang w:val="en-US" w:bidi="ar-SA"/>
        </w:rPr>
        <w:t xml:space="preserve">Pérez García, A., and B.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i w:val="false"/>
          <w:iCs w:val="false"/>
          <w:kern w:val="0"/>
          <w:lang w:val="en-US" w:bidi="ar-SA"/>
        </w:rPr>
        <w:t>,</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spacing w:lineRule="auto" w:line="480"/>
        <w:rPr/>
      </w:pPr>
      <w:r>
        <w:rPr>
          <w:lang w:val="en-US"/>
        </w:rPr>
        <w:t xml:space="preserve">Rea, T. 2001. </w:t>
      </w:r>
      <w:r>
        <w:rPr>
          <w:i/>
          <w:iCs/>
          <w:lang w:val="en-US"/>
        </w:rPr>
        <w:t>Bone Wars. The Excavation and Celebrity of Andrew Carnegie’s Dinosaur</w:t>
      </w:r>
      <w:r>
        <w:rPr>
          <w:lang w:val="en-US"/>
        </w:rPr>
        <w:t>. University of Pittsburgh Press, Pittsburgh, Pennsylvania.</w:t>
      </w:r>
    </w:p>
    <w:p>
      <w:pPr>
        <w:pStyle w:val="Reference"/>
        <w:spacing w:lineRule="auto" w:line="480"/>
        <w:rPr/>
      </w:pPr>
      <w:r>
        <w:rPr>
          <w:lang w:val="en-US"/>
        </w:rPr>
        <w:t xml:space="preserve">Remes, K., D.M. Unwin, N. Klein, W.-D. Heinrich, and O. Hampe. 2011. Skeletal reconstruction of </w:t>
      </w:r>
      <w:r>
        <w:rPr>
          <w:i/>
          <w:iCs/>
          <w:lang w:val="en-US"/>
        </w:rPr>
        <w:t>Brachiosaurus brancai</w:t>
      </w:r>
      <w:r>
        <w:rPr>
          <w:lang w:val="en-US"/>
        </w:rPr>
        <w:t xml:space="preserve"> in the Museum für Naturkunde, Berlin: summarizing 70 years of sauropod research. Pp. 305–316 in </w:t>
      </w:r>
      <w:r>
        <w:rPr>
          <w:i/>
          <w:iCs/>
          <w:lang w:val="en-US"/>
        </w:rPr>
        <w:t>Biology of the Sauropod Dinosaurs: Understanding the Life of Giants</w:t>
      </w:r>
      <w:r>
        <w:rPr>
          <w:lang w:val="en-US"/>
        </w:rPr>
        <w:t xml:space="preserve"> (N. Klein, K. Remes, C.T. Gee, and M.P. Sander, eds.), Indiana University Press, Bloomington, Indiana.</w:t>
      </w:r>
    </w:p>
    <w:p>
      <w:pPr>
        <w:pStyle w:val="Reference"/>
        <w:spacing w:lineRule="auto" w:line="480"/>
        <w:rPr/>
      </w:pPr>
      <w:r>
        <w:rPr>
          <w:lang w:val="en-US"/>
        </w:rPr>
        <w:t xml:space="preserve">Ridley, J. 2013. </w:t>
      </w:r>
      <w:r>
        <w:rPr>
          <w:i/>
          <w:iCs/>
          <w:lang w:val="en-US"/>
        </w:rPr>
        <w:t>The Heir Apparent: A Life of Edward VII, the Playboy Prince</w:t>
      </w:r>
      <w:r>
        <w:rPr>
          <w:lang w:val="en-US"/>
        </w:rPr>
        <w:t>. Random House, New York, New York.</w:t>
      </w:r>
    </w:p>
    <w:p>
      <w:pPr>
        <w:pStyle w:val="Reference"/>
        <w:spacing w:lineRule="auto" w:line="480"/>
        <w:rPr/>
      </w:pPr>
      <w:r>
        <w:rPr/>
        <w:t xml:space="preserve">Rieppel, L. 2019. </w:t>
      </w:r>
      <w:r>
        <w:rPr>
          <w:i/>
          <w:iCs/>
        </w:rPr>
        <w:t>Assembling the Dinosaur: Fossil Hunters, Tycoons and the Making of a Spectacle</w:t>
      </w:r>
      <w:r>
        <w:rPr/>
        <w:t>. Harvard University Press, Cambridge, Massachusetts.</w:t>
      </w:r>
    </w:p>
    <w:p>
      <w:pPr>
        <w:pStyle w:val="Reference"/>
        <w:spacing w:lineRule="auto" w:line="480"/>
        <w:rPr/>
      </w:pPr>
      <w:r>
        <w:rPr>
          <w:lang w:val="en-US"/>
        </w:rPr>
        <w:t xml:space="preserve">Roddy, D.B. 2007. Starting at 6 a.m., crowds get first look at Carnegie’s new dinosaur exhibit. </w:t>
      </w:r>
      <w:r>
        <w:rPr>
          <w:i/>
          <w:iCs/>
          <w:lang w:val="en-US"/>
        </w:rPr>
        <w:t>Pittsburgh Post-Gazette</w:t>
      </w:r>
      <w:r>
        <w:rPr>
          <w:lang w:val="en-US"/>
        </w:rPr>
        <w:t>, 18 November 2007.</w:t>
      </w:r>
    </w:p>
    <w:p>
      <w:pPr>
        <w:pStyle w:val="Reference"/>
        <w:spacing w:lineRule="auto" w:line="480"/>
        <w:rPr/>
      </w:pPr>
      <w:r>
        <w:rPr>
          <w:lang w:val="en-US"/>
        </w:rPr>
        <w:t xml:space="preserve">Sarti, C. 2012. 1860–2010: 150 years of the Capellini Museum (University of Bologna), the most ancient Italian geo-paleontological museum. </w:t>
      </w:r>
      <w:r>
        <w:rPr>
          <w:i/>
          <w:iCs/>
          <w:lang w:val="en-US"/>
        </w:rPr>
        <w:t>GeoActa</w:t>
      </w:r>
      <w:r>
        <w:rPr>
          <w:i w:val="false"/>
          <w:iCs w:val="false"/>
          <w:lang w:val="en-US"/>
        </w:rPr>
        <w:t>,</w:t>
      </w:r>
      <w:r>
        <w:rPr>
          <w:lang w:val="en-US"/>
        </w:rPr>
        <w:t xml:space="preserve"> </w:t>
      </w:r>
      <w:r>
        <w:rPr>
          <w:b/>
          <w:bCs/>
          <w:lang w:val="en-US"/>
        </w:rPr>
        <w:t>11</w:t>
      </w:r>
      <w:r>
        <w:rPr>
          <w:lang w:val="en-US"/>
        </w:rPr>
        <w:t>:1–26.</w:t>
      </w:r>
    </w:p>
    <w:p>
      <w:pPr>
        <w:pStyle w:val="Reference"/>
        <w:spacing w:lineRule="auto" w:line="480"/>
        <w:rPr/>
      </w:pPr>
      <w:r>
        <w:rPr>
          <w:lang w:val="en-US"/>
        </w:rPr>
        <w:t>Scheetz, R. 2006. Cactus Park Diplo (email to M.C. Lamanna, 18 January 2006).</w:t>
      </w:r>
    </w:p>
    <w:p>
      <w:pPr>
        <w:pStyle w:val="Reference"/>
        <w:spacing w:lineRule="auto" w:line="480"/>
        <w:rPr/>
      </w:pPr>
      <w:r>
        <w:rPr>
          <w:lang w:val="en-US" w:bidi="ar-SA"/>
        </w:rPr>
        <w:t xml:space="preserve">Schuchert, C. and LeVene, C.M. 1940. </w:t>
      </w:r>
      <w:r>
        <w:rPr>
          <w:i/>
          <w:iCs/>
          <w:lang w:val="en-US" w:bidi="ar-SA"/>
        </w:rPr>
        <w:t>O. C. Marsh, Pioneer in Paleontology</w:t>
      </w:r>
      <w:r>
        <w:rPr>
          <w:lang w:val="en-US" w:bidi="ar-SA"/>
        </w:rPr>
        <w:t>. Yale University Press, New Haven, Connecticut. 541 pp.</w:t>
      </w:r>
    </w:p>
    <w:p>
      <w:pPr>
        <w:pStyle w:val="Reference"/>
        <w:spacing w:lineRule="auto" w:line="480"/>
        <w:rPr/>
      </w:pPr>
      <w:r>
        <w:rPr/>
        <w:t xml:space="preserve">Semonin, P. 1997. Empire and extinction: the dinosaur as a metaphor for dominance in prehistoric nature. </w:t>
      </w:r>
      <w:r>
        <w:rPr>
          <w:i/>
          <w:iCs/>
        </w:rPr>
        <w:t>Leonardo</w:t>
      </w:r>
      <w:r>
        <w:rPr>
          <w:i w:val="false"/>
          <w:iCs w:val="false"/>
        </w:rPr>
        <w:t>,</w:t>
      </w:r>
      <w:r>
        <w:rPr/>
        <w:t xml:space="preserve"> </w:t>
      </w:r>
      <w:r>
        <w:rPr>
          <w:b/>
          <w:bCs/>
        </w:rPr>
        <w:t>30</w:t>
      </w:r>
      <w:r>
        <w:rPr/>
        <w:t>:171–82.</w:t>
      </w:r>
    </w:p>
    <w:p>
      <w:pPr>
        <w:pStyle w:val="Reference"/>
        <w:spacing w:lineRule="auto" w:line="480"/>
        <w:rPr/>
      </w:pPr>
      <w:r>
        <w:rPr/>
        <w:t xml:space="preserve">Seneff, J.F. 1947. Fossils are his business. </w:t>
      </w:r>
      <w:r>
        <w:rPr>
          <w:i/>
          <w:iCs/>
        </w:rPr>
        <w:t>Carnegie Magazine</w:t>
      </w:r>
      <w:r>
        <w:rPr>
          <w:i w:val="false"/>
          <w:iCs w:val="false"/>
        </w:rPr>
        <w:t>,</w:t>
      </w:r>
      <w:r>
        <w:rPr/>
        <w:t xml:space="preserve"> </w:t>
      </w:r>
      <w:r>
        <w:rPr>
          <w:b/>
          <w:bCs/>
        </w:rPr>
        <w:t>21(4)</w:t>
      </w:r>
      <w:r>
        <w:rPr/>
        <w:t>:117–119.</w:t>
      </w:r>
    </w:p>
    <w:p>
      <w:pPr>
        <w:pStyle w:val="Reference"/>
        <w:spacing w:lineRule="auto" w:line="480"/>
        <w:rPr/>
      </w:pPr>
      <w:r>
        <w:rPr/>
        <w:t xml:space="preserve">Siemers, E. 2007. Dinosaur Hall’s evolution mapped. </w:t>
      </w:r>
      <w:r>
        <w:rPr>
          <w:i/>
          <w:iCs/>
        </w:rPr>
        <w:t>Pittsburgh Tribune-Review</w:t>
      </w:r>
      <w:r>
        <w:rPr/>
        <w:t>, 12 April 2002.</w:t>
      </w:r>
    </w:p>
    <w:p>
      <w:pPr>
        <w:pStyle w:val="Reference"/>
        <w:spacing w:lineRule="auto" w:line="480"/>
        <w:rPr/>
      </w:pPr>
      <w:r>
        <w:rPr>
          <w:lang w:val="en-US"/>
        </w:rPr>
        <w:t xml:space="preserve">Taylor, M.P. 2022a. </w:t>
      </w:r>
      <w:r>
        <w:rPr>
          <w:i w:val="false"/>
          <w:iCs w:val="false"/>
          <w:lang w:val="en-US"/>
        </w:rPr>
        <w:t>Almost all known sauropod necks are incomplete and distorted</w:t>
      </w:r>
      <w:r>
        <w:rPr>
          <w:lang w:val="en-US"/>
        </w:rPr>
        <w:t xml:space="preserve">. </w:t>
      </w:r>
      <w:r>
        <w:rPr>
          <w:i/>
          <w:iCs/>
          <w:lang w:val="en-US"/>
        </w:rPr>
        <w:t>PeerJ</w:t>
      </w:r>
      <w:r>
        <w:rPr>
          <w:i w:val="false"/>
          <w:iCs w:val="false"/>
          <w:lang w:val="en-US"/>
        </w:rPr>
        <w:t>,</w:t>
      </w:r>
      <w:r>
        <w:rPr>
          <w:lang w:val="en-US"/>
        </w:rPr>
        <w:t xml:space="preserve"> </w:t>
      </w:r>
      <w:r>
        <w:rPr>
          <w:b/>
          <w:bCs/>
          <w:lang w:val="en-US"/>
        </w:rPr>
        <w:t>10</w:t>
      </w:r>
      <w:r>
        <w:rPr>
          <w:lang w:val="en-US"/>
        </w:rPr>
        <w:t xml:space="preserve">:e12810. </w:t>
      </w:r>
      <w:hyperlink r:id="rId18">
        <w:r>
          <w:rPr>
            <w:rStyle w:val="Hyperlink"/>
            <w:lang w:val="en-US"/>
          </w:rPr>
          <w:t>doi:10.7717/peerj.12810</w:t>
        </w:r>
      </w:hyperlink>
    </w:p>
    <w:p>
      <w:pPr>
        <w:pStyle w:val="Reference"/>
        <w:spacing w:lineRule="auto" w:line="480"/>
        <w:rPr/>
      </w:pPr>
      <w:r>
        <w:rPr>
          <w:lang w:val="en-US"/>
        </w:rPr>
        <w:t xml:space="preserve">Taylor, M.P. 2022b. Putative atlantal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19">
        <w:r>
          <w:rPr>
            <w:rStyle w:val="Hyperlink"/>
            <w:lang w:val="en-US"/>
          </w:rPr>
          <w:t>doi:10.59350/h5xm3-0q551</w:t>
        </w:r>
      </w:hyperlink>
      <w:r>
        <w:rPr>
          <w:lang w:val="en-US"/>
        </w:rPr>
        <w:t xml:space="preserve"> — </w:t>
      </w:r>
      <w:hyperlink r:id="rId20">
        <w:r>
          <w:rPr>
            <w:rStyle w:val="Hyperlink"/>
            <w:lang w:val="en-US"/>
          </w:rPr>
          <w:t>https://svpow.com/2022/11/23/putative-atlantal-ribs-of-diplodocus/</w:t>
        </w:r>
      </w:hyperlink>
      <w:r>
        <w:rPr>
          <w:lang w:val="en-US"/>
        </w:rPr>
        <w:t xml:space="preserve">, archived at </w:t>
      </w:r>
      <w:hyperlink r:id="rId21">
        <w:r>
          <w:rPr>
            <w:rStyle w:val="Hyperlink"/>
            <w:lang w:val="en-US"/>
          </w:rPr>
          <w:t>https://web.archive.org/web/20240506151716/https://svpow.com/2022/11/23/putative-atlantal-ribs-of-diplodocus/</w:t>
        </w:r>
      </w:hyperlink>
    </w:p>
    <w:p>
      <w:pPr>
        <w:pStyle w:val="Reference"/>
        <w:spacing w:lineRule="auto" w:line="480"/>
        <w:rPr/>
      </w:pPr>
      <w:r>
        <w:rPr>
          <w:lang w:val="en-US"/>
        </w:rPr>
        <w:t xml:space="preserve">Taylor, M.P.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22">
        <w:r>
          <w:rPr>
            <w:rStyle w:val="Hyperlink"/>
            <w:lang w:val="en-US"/>
          </w:rPr>
          <w:t>https://svpow.com/2024/04/27/atlantal-ribs-of-the-carnegie-diplodocus-moscow-and-vienna-casts/</w:t>
        </w:r>
      </w:hyperlink>
      <w:r>
        <w:rPr>
          <w:lang w:val="en-US"/>
        </w:rPr>
        <w:t xml:space="preserve">, archived at </w:t>
      </w:r>
      <w:hyperlink r:id="rId23">
        <w:r>
          <w:rPr>
            <w:rStyle w:val="Hyperlink"/>
            <w:lang w:val="en-US"/>
          </w:rPr>
          <w:t>https://web.archive.org/web/20240427225340/https://svpow.com/2024/04/27/atlantal-ribs-of-the-carnegie-diplodocus-moscow-and-vienna-casts/</w:t>
        </w:r>
      </w:hyperlink>
    </w:p>
    <w:p>
      <w:pPr>
        <w:pStyle w:val="Reference"/>
        <w:spacing w:lineRule="auto" w:line="480"/>
        <w:rPr/>
      </w:pPr>
      <w:r>
        <w:rPr>
          <w:lang w:val="en-US"/>
        </w:rPr>
        <w:t xml:space="preserve">Taylor, M.P. In prep. The history of the mounted cast skeletons of the Carnegie </w:t>
      </w:r>
      <w:r>
        <w:rPr>
          <w:i/>
          <w:iCs/>
          <w:lang w:val="en-US"/>
        </w:rPr>
        <w:t>Diplodocus</w:t>
      </w:r>
      <w:r>
        <w:rPr>
          <w:lang w:val="en-US"/>
        </w:rPr>
        <w:t xml:space="preserve">. </w:t>
      </w:r>
      <w:hyperlink r:id="rId24">
        <w:r>
          <w:rPr>
            <w:rStyle w:val="Hyperlink"/>
            <w:lang w:val="en-US"/>
          </w:rPr>
          <w:t>https://github.com/MikeTaylor/palaeo-casts</w:t>
        </w:r>
      </w:hyperlink>
    </w:p>
    <w:p>
      <w:pPr>
        <w:pStyle w:val="Reference"/>
        <w:spacing w:lineRule="auto" w:line="480"/>
        <w:rPr/>
      </w:pPr>
      <w:r>
        <w:rPr>
          <w:lang w:val="en-US"/>
        </w:rPr>
        <w:t xml:space="preserve">Taylor, M.P. and D. Naish. 2007. An unusual new neosauropod dinosaur from the Lower Cretaceous Hastings Beds Group of East Sussex, England. </w:t>
      </w:r>
      <w:r>
        <w:rPr>
          <w:i/>
          <w:iCs/>
          <w:lang w:val="en-US"/>
        </w:rPr>
        <w:t>Palaeontology</w:t>
      </w:r>
      <w:r>
        <w:rPr>
          <w:i w:val="false"/>
          <w:iCs w:val="false"/>
          <w:lang w:val="en-US"/>
        </w:rPr>
        <w:t>,</w:t>
      </w:r>
      <w:r>
        <w:rPr>
          <w:lang w:val="en-US"/>
        </w:rPr>
        <w:t xml:space="preserve"> </w:t>
      </w:r>
      <w:r>
        <w:rPr>
          <w:b/>
          <w:bCs/>
          <w:lang w:val="en-US"/>
        </w:rPr>
        <w:t>50(6)</w:t>
      </w:r>
      <w:r>
        <w:rPr>
          <w:lang w:val="en-US"/>
        </w:rPr>
        <w:t>:1547–1564. doi:10.1111/j.1475-4983.2007.00728.x</w:t>
      </w:r>
    </w:p>
    <w:p>
      <w:pPr>
        <w:pStyle w:val="Reference"/>
        <w:spacing w:lineRule="auto" w:line="480"/>
        <w:rPr/>
      </w:pPr>
      <w:r>
        <w:rPr>
          <w:lang w:val="en-US"/>
        </w:rPr>
        <w:t xml:space="preserve">Taylor, M.P., M.J. Wedel, and D. Naish. 2009. Head and neck posture in sauropod dinosaurs inferred from extant animals. </w:t>
      </w:r>
      <w:r>
        <w:rPr>
          <w:i/>
          <w:iCs/>
          <w:lang w:val="en-US"/>
        </w:rPr>
        <w:t>Acta Palaeontologica Polonica</w:t>
      </w:r>
      <w:r>
        <w:rPr>
          <w:i w:val="false"/>
          <w:iCs w:val="false"/>
          <w:lang w:val="en-US"/>
        </w:rPr>
        <w:t>,</w:t>
      </w:r>
      <w:r>
        <w:rPr>
          <w:lang w:val="en-US"/>
        </w:rPr>
        <w:t xml:space="preserve"> </w:t>
      </w:r>
      <w:r>
        <w:rPr>
          <w:b/>
          <w:bCs/>
          <w:lang w:val="en-US"/>
        </w:rPr>
        <w:t>54(2)</w:t>
      </w:r>
      <w:r>
        <w:rPr>
          <w:lang w:val="en-US"/>
        </w:rPr>
        <w:t xml:space="preserve">:213–230. </w:t>
      </w:r>
    </w:p>
    <w:p>
      <w:pPr>
        <w:pStyle w:val="Reference"/>
        <w:spacing w:lineRule="auto" w:line="480"/>
        <w:rPr/>
      </w:pPr>
      <w:r>
        <w:rPr/>
        <w:t xml:space="preserve">Taylor, M.P., S.D. Sroka, and K. Carpenter. 2023. The concrete </w:t>
      </w:r>
      <w:r>
        <w:rPr>
          <w:i/>
          <w:iCs/>
        </w:rPr>
        <w:t>Diplodocus</w:t>
      </w:r>
      <w:r>
        <w:rPr/>
        <w:t xml:space="preserve"> of Vernal — a cultural icon of Utah. </w:t>
      </w:r>
      <w:r>
        <w:rPr>
          <w:i/>
          <w:iCs/>
        </w:rPr>
        <w:t>Geology of the Intermountain West</w:t>
      </w:r>
      <w:r>
        <w:rPr>
          <w:i w:val="false"/>
          <w:iCs w:val="false"/>
        </w:rPr>
        <w:t>,</w:t>
      </w:r>
      <w:r>
        <w:rPr/>
        <w:t xml:space="preserve"> </w:t>
      </w:r>
      <w:r>
        <w:rPr>
          <w:b/>
          <w:bCs/>
        </w:rPr>
        <w:t>10</w:t>
      </w:r>
      <w:r>
        <w:rPr/>
        <w:t>:65-91. doi:10.31711/giw.v10.pp65-91</w:t>
      </w:r>
    </w:p>
    <w:p>
      <w:pPr>
        <w:pStyle w:val="Reference"/>
        <w:spacing w:lineRule="auto" w:line="480"/>
        <w:rPr/>
      </w:pPr>
      <w:r>
        <w:rPr>
          <w:lang w:val="en-US"/>
        </w:rPr>
        <w:t xml:space="preserve">Taylor, M.P., P. May, L. Dingus, E.S. Gaffney, M.A. Norell, and J.S. McIntosh. In prep. The skeletal reconstruction of </w:t>
      </w:r>
      <w:r>
        <w:rPr>
          <w:i/>
          <w:iCs/>
          <w:lang w:val="en-US"/>
        </w:rPr>
        <w:t>Barosaurus lentus</w:t>
      </w:r>
      <w:r>
        <w:rPr>
          <w:lang w:val="en-US"/>
        </w:rPr>
        <w:t xml:space="preserve"> in the American Museum of Natural History. </w:t>
      </w:r>
      <w:hyperlink r:id="rId25">
        <w:r>
          <w:rPr>
            <w:rStyle w:val="Hyperlink"/>
            <w:lang w:val="en-US"/>
          </w:rPr>
          <w:t>https://github.com/MikeTaylor/palaeo-baromount</w:t>
        </w:r>
      </w:hyperlink>
      <w:r>
        <w:rPr>
          <w:lang w:val="en-US"/>
        </w:rPr>
        <w:t xml:space="preserve"> </w:t>
      </w:r>
    </w:p>
    <w:p>
      <w:pPr>
        <w:pStyle w:val="Reference"/>
        <w:spacing w:lineRule="auto" w:line="480"/>
        <w:rPr/>
      </w:pPr>
      <w:r>
        <w:rPr>
          <w:lang w:val="en-US"/>
        </w:rPr>
        <w:t xml:space="preserve">Tornier, G. 1909. Wie war der </w:t>
      </w:r>
      <w:r>
        <w:rPr>
          <w:i/>
          <w:iCs/>
          <w:lang w:val="en-US"/>
        </w:rPr>
        <w:t>Diplodocus carnegii</w:t>
      </w:r>
      <w:r>
        <w:rPr>
          <w:lang w:val="en-US"/>
        </w:rPr>
        <w:t xml:space="preserve"> wirklich gebaut? </w:t>
      </w:r>
      <w:r>
        <w:rPr>
          <w:i/>
          <w:iCs/>
          <w:lang w:val="en-US"/>
        </w:rPr>
        <w:t>Sitzungsbericht der Gesellschaft naturforschender Freunde zu Berlin</w:t>
      </w:r>
      <w:r>
        <w:rPr>
          <w:i w:val="false"/>
          <w:iCs w:val="false"/>
          <w:lang w:val="en-US"/>
        </w:rPr>
        <w:t>,</w:t>
      </w:r>
      <w:r>
        <w:rPr>
          <w:lang w:val="en-US"/>
        </w:rPr>
        <w:t xml:space="preserve"> </w:t>
      </w:r>
      <w:r>
        <w:rPr>
          <w:b/>
          <w:bCs/>
          <w:lang w:val="en-US"/>
        </w:rPr>
        <w:t>4</w:t>
      </w:r>
      <w:r>
        <w:rPr>
          <w:lang w:val="en-US"/>
        </w:rPr>
        <w:t>:193–209.</w:t>
      </w:r>
    </w:p>
    <w:p>
      <w:pPr>
        <w:pStyle w:val="Reference"/>
        <w:spacing w:lineRule="auto" w:line="480"/>
        <w:rPr/>
      </w:pPr>
      <w:r>
        <w:rPr>
          <w:lang w:val="en-US"/>
        </w:rPr>
        <w:t xml:space="preserve">Tschopp, E., and O. Mateus. 2012. Clavicles, interclavicles, gastralia, and sternal ribs in sauropod dinosaurs: new reports from Diplodocidae and their morphological, functional and evolutionary implications. </w:t>
      </w:r>
      <w:r>
        <w:rPr>
          <w:i/>
          <w:iCs/>
          <w:lang w:val="en-US"/>
        </w:rPr>
        <w:t>Journal of Anatomy</w:t>
      </w:r>
      <w:r>
        <w:rPr>
          <w:i w:val="false"/>
          <w:iCs w:val="false"/>
          <w:lang w:val="en-US"/>
        </w:rPr>
        <w:t>,</w:t>
      </w:r>
      <w:r>
        <w:rPr>
          <w:lang w:val="en-US"/>
        </w:rPr>
        <w:t xml:space="preserve"> </w:t>
      </w:r>
      <w:r>
        <w:rPr>
          <w:b/>
          <w:bCs/>
          <w:lang w:val="en-US"/>
        </w:rPr>
        <w:t>222(3)</w:t>
      </w:r>
      <w:r>
        <w:rPr>
          <w:lang w:val="en-US"/>
        </w:rPr>
        <w:t>:321–340. doi:10.1111/joa.12012</w:t>
      </w:r>
    </w:p>
    <w:p>
      <w:pPr>
        <w:pStyle w:val="Reference"/>
        <w:spacing w:lineRule="auto" w:line="480"/>
        <w:rPr/>
      </w:pPr>
      <w:r>
        <w:rPr>
          <w:lang w:val="en-US"/>
        </w:rPr>
        <w:t xml:space="preserve">Tschopp, E., O. Mateus, and R.B.J. Benson. 2015. A specimen-level phylogenetic analysis and taxonomic revision of Diplodocidae (Dinosauria, Sauropoda). </w:t>
      </w:r>
      <w:r>
        <w:rPr>
          <w:i/>
          <w:iCs/>
          <w:lang w:val="en-US"/>
        </w:rPr>
        <w:t>PeerJ</w:t>
      </w:r>
      <w:r>
        <w:rPr>
          <w:i w:val="false"/>
          <w:iCs w:val="false"/>
          <w:lang w:val="en-US"/>
        </w:rPr>
        <w:t>,</w:t>
      </w:r>
      <w:r>
        <w:rPr>
          <w:lang w:val="en-US"/>
        </w:rPr>
        <w:t xml:space="preserve"> </w:t>
      </w:r>
      <w:r>
        <w:rPr>
          <w:b/>
          <w:bCs/>
          <w:lang w:val="en-US"/>
        </w:rPr>
        <w:t>2</w:t>
      </w:r>
      <w:r>
        <w:rPr>
          <w:lang w:val="en-US"/>
        </w:rPr>
        <w:t>:e857. doi:10.7717/peerj.857</w:t>
      </w:r>
    </w:p>
    <w:p>
      <w:pPr>
        <w:pStyle w:val="Reference"/>
        <w:spacing w:lineRule="auto" w:line="480"/>
        <w:rPr/>
      </w:pPr>
      <w:r>
        <w:rPr>
          <w:lang w:val="en-US"/>
        </w:rPr>
        <w:t xml:space="preserve">Tschopp, E., S.C.R. Maidment, M.C. Lamanna, and M.A. Norell. 2019. Reassessment of a historical collection of sauropod dinosaurs from the northern Morrison Formation of Wyoming, with implications for sauropod biogeography. </w:t>
      </w:r>
      <w:r>
        <w:rPr>
          <w:i/>
          <w:iCs/>
          <w:lang w:val="en-US"/>
        </w:rPr>
        <w:t>Bulletin of the American Museum of Natural History</w:t>
      </w:r>
      <w:r>
        <w:rPr>
          <w:i w:val="false"/>
          <w:iCs w:val="false"/>
          <w:lang w:val="en-US"/>
        </w:rPr>
        <w:t>,</w:t>
      </w:r>
      <w:r>
        <w:rPr>
          <w:lang w:val="en-US"/>
        </w:rPr>
        <w:t xml:space="preserve"> </w:t>
      </w:r>
      <w:r>
        <w:rPr>
          <w:b/>
          <w:bCs/>
          <w:lang w:val="en-US"/>
        </w:rPr>
        <w:t>437</w:t>
      </w:r>
      <w:r>
        <w:rPr>
          <w:lang w:val="en-US"/>
        </w:rPr>
        <w:t>:1–79. 31 figures, 22 tables.</w:t>
      </w:r>
    </w:p>
    <w:p>
      <w:pPr>
        <w:pStyle w:val="Reference"/>
        <w:spacing w:lineRule="auto" w:line="480"/>
        <w:rPr/>
      </w:pPr>
      <w:r>
        <w:rPr>
          <w:lang w:val="en-US"/>
        </w:rPr>
        <w:t xml:space="preserve">Untermann, G.E. 1952. Moulds for huge dinosaur model arrive from Carnegie Museum. </w:t>
      </w:r>
      <w:r>
        <w:rPr>
          <w:i/>
          <w:iCs/>
          <w:lang w:val="en-US"/>
        </w:rPr>
        <w:t>Express</w:t>
      </w:r>
      <w:r>
        <w:rPr>
          <w:lang w:val="en-US"/>
        </w:rPr>
        <w:t xml:space="preserve"> (Utah Press Association), Thursday, August 8, 195, p1.</w:t>
      </w:r>
    </w:p>
    <w:p>
      <w:pPr>
        <w:pStyle w:val="Reference"/>
        <w:spacing w:lineRule="auto" w:line="480"/>
        <w:rPr/>
      </w:pPr>
      <w:r>
        <w:rPr>
          <w:lang w:val="en-US"/>
        </w:rPr>
        <w:t xml:space="preserve">Untermann, G.E. 1959. A replica of </w:t>
      </w:r>
      <w:r>
        <w:rPr>
          <w:i/>
          <w:iCs/>
          <w:lang w:val="en-US"/>
        </w:rPr>
        <w:t>Diplodocus</w:t>
      </w:r>
      <w:r>
        <w:rPr>
          <w:lang w:val="en-US"/>
        </w:rPr>
        <w:t xml:space="preserve">. </w:t>
      </w:r>
      <w:r>
        <w:rPr>
          <w:i/>
          <w:iCs/>
          <w:lang w:val="en-US"/>
        </w:rPr>
        <w:t>Curator</w:t>
      </w:r>
      <w:r>
        <w:rPr>
          <w:i w:val="false"/>
          <w:iCs w:val="false"/>
          <w:lang w:val="en-US"/>
        </w:rPr>
        <w:t>,</w:t>
      </w:r>
      <w:r>
        <w:rPr>
          <w:lang w:val="en-US"/>
        </w:rPr>
        <w:t xml:space="preserve"> </w:t>
      </w:r>
      <w:r>
        <w:rPr>
          <w:b/>
          <w:bCs/>
          <w:lang w:val="en-US"/>
        </w:rPr>
        <w:t>2(4)</w:t>
      </w:r>
      <w:r>
        <w:rPr>
          <w:lang w:val="en-US"/>
        </w:rPr>
        <w:t>:364–369. doi:10.1111/j.2151-6952.1959.tb00520.x</w:t>
      </w:r>
    </w:p>
    <w:p>
      <w:pPr>
        <w:pStyle w:val="Reference"/>
        <w:spacing w:lineRule="auto" w:line="480"/>
        <w:rPr/>
      </w:pPr>
      <w:r>
        <w:rPr>
          <w:lang w:val="en-US"/>
        </w:rPr>
        <w:t>Utterback, W.H. 1904. Letter to W.J. Holland. 12 July 1904.</w:t>
      </w:r>
    </w:p>
    <w:p>
      <w:pPr>
        <w:pStyle w:val="Reference"/>
        <w:spacing w:lineRule="auto" w:line="480"/>
        <w:rPr/>
      </w:pPr>
      <w:r>
        <w:rPr>
          <w:lang w:val="en-US"/>
        </w:rPr>
        <w:t xml:space="preserve">Vejberg, S., K.A. Nenadkevich, and I.P. Rachkovskij. 1911. Annual report of the Geological Museum for 1910. </w:t>
      </w:r>
      <w:r>
        <w:rPr>
          <w:i/>
          <w:iCs/>
          <w:lang w:val="en-US"/>
        </w:rPr>
        <w:t>Proceedings of the Peter the Great Geological Museum of the Imperial Academy of Sciences</w:t>
      </w:r>
      <w:r>
        <w:rPr>
          <w:lang w:val="en-US"/>
        </w:rPr>
        <w:t xml:space="preserve">, </w:t>
      </w:r>
      <w:r>
        <w:rPr>
          <w:b/>
          <w:bCs/>
          <w:lang w:val="en-US"/>
        </w:rPr>
        <w:t>5(1)</w:t>
      </w:r>
      <w:r>
        <w:rPr>
          <w:lang w:val="en-US"/>
        </w:rPr>
        <w:t xml:space="preserve">:1–36. [In Russian.] </w:t>
      </w:r>
      <w:hyperlink r:id="rId26">
        <w:r>
          <w:rPr>
            <w:rStyle w:val="Hyperlink"/>
            <w:lang w:val="en-US"/>
          </w:rPr>
          <w:t>https://www.geokniga.org/books/18411</w:t>
        </w:r>
      </w:hyperlink>
    </w:p>
    <w:p>
      <w:pPr>
        <w:pStyle w:val="Reference"/>
        <w:spacing w:lineRule="auto" w:line="480"/>
        <w:rPr/>
      </w:pPr>
      <w:r>
        <w:rPr>
          <w:lang w:val="en-US"/>
        </w:rPr>
        <w:t xml:space="preserve">Walker, A.C. 1980. Functional anatomy and taphonomy. Pp. 182–196 in </w:t>
      </w:r>
      <w:r>
        <w:rPr>
          <w:i/>
          <w:iCs/>
          <w:lang w:val="en-US"/>
        </w:rPr>
        <w:t>Fossils in the Making: Vertebrate Taphonomy and Paleoecology</w:t>
      </w:r>
      <w:r>
        <w:rPr>
          <w:lang w:val="en-US"/>
        </w:rPr>
        <w:t xml:space="preserve"> (A.K. Behrensmeyer and A.P. Hill, eds.). University of Chicago Press, Chicago, Illinois.</w:t>
      </w:r>
    </w:p>
    <w:p>
      <w:pPr>
        <w:pStyle w:val="Reference"/>
        <w:spacing w:lineRule="auto" w:line="480"/>
        <w:rPr/>
      </w:pPr>
      <w:r>
        <w:rPr>
          <w:lang w:val="en-US"/>
        </w:rPr>
        <w:t xml:space="preserve">Wedel, M.J. 2007. </w:t>
      </w:r>
      <w:r>
        <w:rPr>
          <w:i/>
          <w:iCs/>
          <w:lang w:val="en-US"/>
        </w:rPr>
        <w:t>Postcranial Pneumaticity in Dinosaurs and the Origin of the Avian Lung</w:t>
      </w:r>
      <w:r>
        <w:rPr>
          <w:lang w:val="en-US"/>
        </w:rPr>
        <w:t>. Unpublished Ph.D Dissertation, Department of Integrative Biology, University of California, Berkeley, California. Advisors: Kevin Padian and William Clemens. 290 pages.</w:t>
      </w:r>
    </w:p>
    <w:p>
      <w:pPr>
        <w:pStyle w:val="Reference"/>
        <w:spacing w:lineRule="auto" w:line="480"/>
        <w:rPr/>
      </w:pPr>
      <w:r>
        <w:rPr>
          <w:lang w:val="en-US"/>
        </w:rPr>
        <w:t xml:space="preserve">Wedel, M.J. 2009. MYDD! [Measure Your Damned Dinosaur!]. Sauropod Vertebra Picture of the Week, 23 April 2009. </w:t>
      </w:r>
      <w:hyperlink r:id="rId27">
        <w:r>
          <w:rPr>
            <w:rStyle w:val="Hyperlink"/>
            <w:lang w:val="en-US"/>
          </w:rPr>
          <w:t>doi:10.59350/emdw8-96f96</w:t>
        </w:r>
      </w:hyperlink>
      <w:r>
        <w:rPr>
          <w:lang w:val="en-US"/>
        </w:rPr>
        <w:t xml:space="preserve"> — </w:t>
      </w:r>
      <w:hyperlink r:id="rId28">
        <w:r>
          <w:rPr>
            <w:rStyle w:val="Hyperlink"/>
            <w:lang w:val="en-US"/>
          </w:rPr>
          <w:t>https://svpow.com/2009/04/23/mydd/</w:t>
        </w:r>
      </w:hyperlink>
      <w:r>
        <w:rPr>
          <w:lang w:val="en-US"/>
        </w:rPr>
        <w:t xml:space="preserve">, archived at </w:t>
      </w:r>
      <w:hyperlink r:id="rId29">
        <w:r>
          <w:rPr>
            <w:rStyle w:val="Hyperlink"/>
            <w:lang w:val="en-US"/>
          </w:rPr>
          <w:t>https://web.archive.org/web/20220805065019/https://svpow.com/2009/04/23/mydd/</w:t>
        </w:r>
      </w:hyperlink>
    </w:p>
    <w:p>
      <w:pPr>
        <w:pStyle w:val="Reference"/>
        <w:spacing w:lineRule="auto" w:line="480"/>
        <w:rPr/>
      </w:pPr>
      <w:r>
        <w:rPr>
          <w:lang w:val="en-US"/>
        </w:rPr>
        <w:t xml:space="preserve">Wedel, M.J.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30">
        <w:r>
          <w:rPr>
            <w:rStyle w:val="Hyperlink"/>
            <w:lang w:val="en-US"/>
          </w:rPr>
          <w:t>doi:10.59350/ffywx-13m34</w:t>
        </w:r>
      </w:hyperlink>
      <w:r>
        <w:rPr>
          <w:lang w:val="en-US"/>
        </w:rPr>
        <w:t xml:space="preserve"> — </w:t>
      </w:r>
      <w:hyperlink r:id="rId31">
        <w:r>
          <w:rPr>
            <w:rStyle w:val="Hyperlink"/>
            <w:lang w:val="en-US"/>
          </w:rPr>
          <w:t>https://svpow.com/2019/11/04/dystylosaurus-reminds-you-to-beware-of-taking-measurements-from-casts/</w:t>
        </w:r>
      </w:hyperlink>
      <w:r>
        <w:rPr>
          <w:lang w:val="en-US"/>
        </w:rPr>
        <w:t xml:space="preserve">, archived at </w:t>
      </w:r>
      <w:hyperlink r:id="rId32">
        <w:r>
          <w:rPr>
            <w:rStyle w:val="Hyperlink"/>
            <w:lang w:val="en-US"/>
          </w:rPr>
          <w:t>https://web.archive.org/web/2/https://svpow.com/2019/11/04/dystylosaurus-reminds-you-to-beware-of-taking-measurements-from-casts/</w:t>
        </w:r>
      </w:hyperlink>
    </w:p>
    <w:p>
      <w:pPr>
        <w:pStyle w:val="Reference"/>
        <w:spacing w:lineRule="auto" w:line="480"/>
        <w:rPr/>
      </w:pPr>
      <w:r>
        <w:rPr>
          <w:lang w:val="en-US"/>
        </w:rPr>
        <w:t xml:space="preserve">Wilhite, D.R. 2003. </w:t>
      </w:r>
      <w:r>
        <w:rPr>
          <w:i/>
          <w:iCs/>
          <w:lang w:val="en-US"/>
        </w:rPr>
        <w:t>Biomechanical Reconstruction of the Appendicular Skeleton in Three North American Jurassic Sauropods.</w:t>
      </w:r>
      <w:r>
        <w:rPr>
          <w:lang w:val="en-US"/>
        </w:rPr>
        <w:t xml:space="preserve"> Unpublished Ph.D. Dissertation, Louisiana State University, Baton Rouge, Louisiana.</w:t>
      </w:r>
    </w:p>
    <w:p>
      <w:pPr>
        <w:pStyle w:val="Reference"/>
        <w:spacing w:lineRule="auto" w:line="480"/>
        <w:rPr/>
      </w:pPr>
      <w:r>
        <w:rPr>
          <w:lang w:val="en-US"/>
        </w:rPr>
        <w:t xml:space="preserve">Wuerthele, N., and A.C. Henrici. 2005. </w:t>
      </w:r>
      <w:r>
        <w:rPr>
          <w:i/>
          <w:iCs/>
          <w:lang w:val="en-US"/>
        </w:rPr>
        <w:t>Diplodocus carnegii</w:t>
      </w:r>
      <w:r>
        <w:rPr>
          <w:lang w:val="en-US"/>
        </w:rPr>
        <w:t xml:space="preserve"> (composite skeleton). Internal report, Carnegie Museum of Natural History.</w:t>
      </w:r>
      <w:r>
        <w:br w:type="page"/>
      </w:r>
    </w:p>
    <w:p>
      <w:pPr>
        <w:pStyle w:val="Heading1"/>
        <w:spacing w:lineRule="auto" w:line="480" w:before="0" w:after="142"/>
        <w:rPr/>
      </w:pPr>
      <w:bookmarkStart w:id="30" w:name="__RefHeading___Toc4163_3033613513"/>
      <w:bookmarkEnd w:id="30"/>
      <w:r>
        <w:rPr>
          <w:lang w:val="en-US"/>
        </w:rPr>
        <w:t>Tables</w:t>
      </w:r>
    </w:p>
    <w:p>
      <w:pPr>
        <w:pStyle w:val="Reference"/>
        <w:spacing w:lineRule="auto" w:line="480"/>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bookmarkStart w:id="31" w:name="__DdeLink__2464_3009427828"/>
            <w:r>
              <w:rPr>
                <w:rFonts w:ascii="Liberation Serif" w:hAnsi="Liberation Serif"/>
                <w:color w:val="000000"/>
                <w:lang w:val="en-US"/>
              </w:rPr>
              <w:t>King Alfonso XIII</w:t>
            </w:r>
            <w:bookmarkEnd w:id="31"/>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lineRule="auto" w:line="480" w:before="0" w:after="142"/>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6 June 1957</w:t>
            </w:r>
          </w:p>
        </w:tc>
      </w:tr>
    </w:tbl>
    <w:p>
      <w:pPr>
        <w:pStyle w:val="BodyText"/>
        <w:spacing w:lineRule="auto" w:line="480"/>
        <w:rPr>
          <w:lang w:val="en-US"/>
        </w:rPr>
      </w:pPr>
      <w:r>
        <w:rPr>
          <w:lang w:val="en-US"/>
        </w:rPr>
      </w:r>
      <w:r>
        <w:br w:type="page"/>
      </w:r>
    </w:p>
    <w:p>
      <w:pPr>
        <w:pStyle w:val="Reference"/>
        <w:spacing w:lineRule="auto" w:line="480" w:before="0" w:after="142"/>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spacing w:lineRule="auto" w:line="480"/>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spacing w:lineRule="auto" w:line="480"/>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spacing w:lineRule="auto" w:line="480"/>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spacing w:lineRule="auto" w:line="480"/>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662 (S) +</w:t>
            </w:r>
          </w:p>
          <w:p>
            <w:pPr>
              <w:pStyle w:val="TableContents"/>
              <w:widowControl w:val="false"/>
              <w:spacing w:lineRule="auto" w:line="480"/>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spacing w:lineRule="auto" w:line="480"/>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spacing w:lineRule="auto" w:line="480"/>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662 (S);</w:t>
              <w:br/>
              <w:t>replaced again by</w:t>
            </w:r>
          </w:p>
          <w:p>
            <w:pPr>
              <w:pStyle w:val="TableContents"/>
              <w:widowControl w:val="false"/>
              <w:spacing w:lineRule="auto" w:line="480"/>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bl>
    <w:p>
      <w:pPr>
        <w:pStyle w:val="Reference"/>
        <w:spacing w:lineRule="auto" w:line="480"/>
        <w:rPr>
          <w:b/>
          <w:bCs/>
          <w:lang w:val="en-US"/>
        </w:rPr>
      </w:pPr>
      <w:r>
        <w:rPr>
          <w:b/>
          <w:bCs/>
          <w:lang w:val="en-US"/>
        </w:rPr>
      </w:r>
      <w:r>
        <w:br w:type="page"/>
      </w:r>
    </w:p>
    <w:p>
      <w:pPr>
        <w:pStyle w:val="Reference"/>
        <w:spacing w:lineRule="auto" w:line="480" w:before="0" w:after="142"/>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69"/>
        <w:gridCol w:w="1474"/>
        <w:gridCol w:w="1538"/>
        <w:gridCol w:w="3306"/>
      </w:tblGrid>
      <w:tr>
        <w:trPr/>
        <w:tc>
          <w:tcPr>
            <w:tcW w:w="3369" w:type="dxa"/>
            <w:tcBorders/>
          </w:tcPr>
          <w:p>
            <w:pPr>
              <w:pStyle w:val="TableContents"/>
              <w:widowControl w:val="false"/>
              <w:spacing w:lineRule="auto" w:line="480"/>
              <w:rPr/>
            </w:pPr>
            <w:r>
              <w:rPr>
                <w:b/>
                <w:bCs/>
                <w:lang w:val="en-US"/>
              </w:rPr>
              <w:t>Reference</w:t>
            </w:r>
          </w:p>
        </w:tc>
        <w:tc>
          <w:tcPr>
            <w:tcW w:w="1474" w:type="dxa"/>
            <w:tcBorders/>
          </w:tcPr>
          <w:p>
            <w:pPr>
              <w:pStyle w:val="TableContents"/>
              <w:widowControl w:val="false"/>
              <w:spacing w:lineRule="auto" w:line="480"/>
              <w:rPr/>
            </w:pPr>
            <w:r>
              <w:rPr>
                <w:b/>
                <w:bCs/>
                <w:lang w:val="en-US"/>
              </w:rPr>
              <w:t>Length</w:t>
              <w:br/>
              <w:t>(feet)</w:t>
            </w:r>
          </w:p>
        </w:tc>
        <w:tc>
          <w:tcPr>
            <w:tcW w:w="1538" w:type="dxa"/>
            <w:tcBorders/>
          </w:tcPr>
          <w:p>
            <w:pPr>
              <w:pStyle w:val="TableContents"/>
              <w:widowControl w:val="false"/>
              <w:spacing w:lineRule="auto" w:line="480"/>
              <w:rPr/>
            </w:pPr>
            <w:r>
              <w:rPr>
                <w:b/>
                <w:bCs/>
                <w:lang w:val="en-US"/>
              </w:rPr>
              <w:t>Length</w:t>
              <w:br/>
              <w:t>(m)</w:t>
            </w:r>
          </w:p>
        </w:tc>
        <w:tc>
          <w:tcPr>
            <w:tcW w:w="3306" w:type="dxa"/>
            <w:tcBorders/>
          </w:tcPr>
          <w:p>
            <w:pPr>
              <w:pStyle w:val="TableContents"/>
              <w:widowControl w:val="false"/>
              <w:spacing w:lineRule="auto" w:line="480"/>
              <w:rPr/>
            </w:pPr>
            <w:r>
              <w:rPr>
                <w:b/>
                <w:bCs/>
                <w:lang w:val="en-US"/>
              </w:rPr>
              <w:t>Notes</w:t>
            </w:r>
          </w:p>
        </w:tc>
      </w:tr>
      <w:tr>
        <w:trPr/>
        <w:tc>
          <w:tcPr>
            <w:tcW w:w="3369" w:type="dxa"/>
            <w:tcBorders/>
          </w:tcPr>
          <w:p>
            <w:pPr>
              <w:pStyle w:val="TableContents"/>
              <w:widowControl w:val="false"/>
              <w:spacing w:lineRule="auto" w:line="480"/>
              <w:rPr/>
            </w:pPr>
            <w:r>
              <w:rPr>
                <w:lang w:val="en-US"/>
              </w:rPr>
              <w:t>Hatcher (1901:39)</w:t>
            </w:r>
          </w:p>
        </w:tc>
        <w:tc>
          <w:tcPr>
            <w:tcW w:w="1474" w:type="dxa"/>
            <w:tcBorders/>
          </w:tcPr>
          <w:p>
            <w:pPr>
              <w:pStyle w:val="TableContents"/>
              <w:widowControl w:val="false"/>
              <w:spacing w:lineRule="auto" w:line="480"/>
              <w:rPr/>
            </w:pPr>
            <w:r>
              <w:rPr>
                <w:lang w:val="en-US"/>
              </w:rPr>
              <w:t>68 feet *</w:t>
            </w:r>
          </w:p>
        </w:tc>
        <w:tc>
          <w:tcPr>
            <w:tcW w:w="1538" w:type="dxa"/>
            <w:tcBorders/>
          </w:tcPr>
          <w:p>
            <w:pPr>
              <w:pStyle w:val="TableContents"/>
              <w:widowControl w:val="false"/>
              <w:spacing w:lineRule="auto" w:line="480"/>
              <w:rPr/>
            </w:pPr>
            <w:r>
              <w:rPr>
                <w:lang w:val="en-US"/>
              </w:rPr>
              <w:t>20.7 m</w:t>
            </w:r>
          </w:p>
        </w:tc>
        <w:tc>
          <w:tcPr>
            <w:tcW w:w="3306" w:type="dxa"/>
            <w:tcBorders/>
          </w:tcPr>
          <w:p>
            <w:pPr>
              <w:pStyle w:val="TableContents"/>
              <w:widowControl w:val="false"/>
              <w:spacing w:lineRule="auto" w:line="480"/>
              <w:rPr/>
            </w:pPr>
            <w:r>
              <w:rPr>
                <w:lang w:val="en-US"/>
              </w:rPr>
              <w:t>Along axial column from tip of snout to end of caudal 37</w:t>
            </w:r>
          </w:p>
        </w:tc>
      </w:tr>
      <w:tr>
        <w:trPr/>
        <w:tc>
          <w:tcPr>
            <w:tcW w:w="3369" w:type="dxa"/>
            <w:tcBorders/>
          </w:tcPr>
          <w:p>
            <w:pPr>
              <w:pStyle w:val="TableContents"/>
              <w:widowControl w:val="false"/>
              <w:spacing w:lineRule="auto" w:line="480"/>
              <w:rPr/>
            </w:pPr>
            <w:r>
              <w:rPr>
                <w:lang w:val="en-US"/>
              </w:rPr>
              <w:t>Holland (1904a)</w:t>
            </w:r>
          </w:p>
        </w:tc>
        <w:tc>
          <w:tcPr>
            <w:tcW w:w="1474" w:type="dxa"/>
            <w:tcBorders/>
          </w:tcPr>
          <w:p>
            <w:pPr>
              <w:pStyle w:val="TableContents"/>
              <w:widowControl w:val="false"/>
              <w:spacing w:lineRule="auto" w:line="480"/>
              <w:rPr/>
            </w:pPr>
            <w:r>
              <w:rPr>
                <w:lang w:val="en-US"/>
              </w:rPr>
              <w:t>78–80 feet *</w:t>
            </w:r>
          </w:p>
        </w:tc>
        <w:tc>
          <w:tcPr>
            <w:tcW w:w="1538" w:type="dxa"/>
            <w:tcBorders/>
          </w:tcPr>
          <w:p>
            <w:pPr>
              <w:pStyle w:val="TableContents"/>
              <w:widowControl w:val="false"/>
              <w:spacing w:lineRule="auto" w:line="480"/>
              <w:rPr/>
            </w:pPr>
            <w:r>
              <w:rPr>
                <w:lang w:val="en-US"/>
              </w:rPr>
              <w:t>21.3–24.4 m</w:t>
            </w:r>
          </w:p>
        </w:tc>
        <w:tc>
          <w:tcPr>
            <w:tcW w:w="3306" w:type="dxa"/>
            <w:tcBorders/>
          </w:tcPr>
          <w:p>
            <w:pPr>
              <w:pStyle w:val="TableContents"/>
              <w:widowControl w:val="false"/>
              <w:spacing w:lineRule="auto" w:line="480"/>
              <w:rPr/>
            </w:pPr>
            <w:r>
              <w:rPr>
                <w:lang w:val="en-US"/>
              </w:rPr>
              <w:t>London mount, predicted</w:t>
            </w:r>
          </w:p>
        </w:tc>
      </w:tr>
      <w:tr>
        <w:trPr/>
        <w:tc>
          <w:tcPr>
            <w:tcW w:w="3369" w:type="dxa"/>
            <w:tcBorders/>
          </w:tcPr>
          <w:p>
            <w:pPr>
              <w:pStyle w:val="TableContents"/>
              <w:widowControl w:val="false"/>
              <w:spacing w:lineRule="auto" w:line="480"/>
              <w:rPr/>
            </w:pPr>
            <w:r>
              <w:rPr>
                <w:lang w:val="en-US"/>
              </w:rPr>
              <w:t>Holland (1904b)</w:t>
            </w:r>
          </w:p>
        </w:tc>
        <w:tc>
          <w:tcPr>
            <w:tcW w:w="1474" w:type="dxa"/>
            <w:tcBorders/>
          </w:tcPr>
          <w:p>
            <w:pPr>
              <w:pStyle w:val="TableContents"/>
              <w:widowControl w:val="false"/>
              <w:spacing w:lineRule="auto" w:line="480"/>
              <w:rPr/>
            </w:pPr>
            <w:r>
              <w:rPr>
                <w:lang w:val="en-US"/>
              </w:rPr>
              <w:t>84–85 feet *</w:t>
            </w:r>
          </w:p>
        </w:tc>
        <w:tc>
          <w:tcPr>
            <w:tcW w:w="1538" w:type="dxa"/>
            <w:tcBorders/>
          </w:tcPr>
          <w:p>
            <w:pPr>
              <w:pStyle w:val="TableContents"/>
              <w:widowControl w:val="false"/>
              <w:spacing w:lineRule="auto" w:line="480"/>
              <w:rPr/>
            </w:pPr>
            <w:r>
              <w:rPr>
                <w:lang w:val="en-US"/>
              </w:rPr>
              <w:t>25.6–25.9 m</w:t>
            </w:r>
          </w:p>
        </w:tc>
        <w:tc>
          <w:tcPr>
            <w:tcW w:w="3306" w:type="dxa"/>
            <w:tcBorders/>
          </w:tcPr>
          <w:p>
            <w:pPr>
              <w:pStyle w:val="TableContents"/>
              <w:widowControl w:val="false"/>
              <w:spacing w:lineRule="auto" w:line="480"/>
              <w:rPr/>
            </w:pPr>
            <w:r>
              <w:rPr>
                <w:lang w:val="en-US"/>
              </w:rPr>
              <w:t>London mount, from tip of snout to tip of tail when vertebral column is laid down horizontally</w:t>
            </w:r>
          </w:p>
        </w:tc>
      </w:tr>
      <w:tr>
        <w:trPr/>
        <w:tc>
          <w:tcPr>
            <w:tcW w:w="3369" w:type="dxa"/>
            <w:tcBorders/>
          </w:tcPr>
          <w:p>
            <w:pPr>
              <w:pStyle w:val="TableContents"/>
              <w:widowControl w:val="false"/>
              <w:spacing w:lineRule="auto" w:line="480"/>
              <w:rPr/>
            </w:pPr>
            <w:r>
              <w:rPr>
                <w:lang w:val="en-US"/>
              </w:rPr>
              <w:t>Holland (1904b)</w:t>
            </w:r>
          </w:p>
        </w:tc>
        <w:tc>
          <w:tcPr>
            <w:tcW w:w="1474" w:type="dxa"/>
            <w:tcBorders/>
          </w:tcPr>
          <w:p>
            <w:pPr>
              <w:pStyle w:val="TableContents"/>
              <w:widowControl w:val="false"/>
              <w:spacing w:lineRule="auto" w:line="480"/>
              <w:rPr/>
            </w:pPr>
            <w:r>
              <w:rPr>
                <w:lang w:val="en-US"/>
              </w:rPr>
              <w:t>78–80 feet *</w:t>
            </w:r>
          </w:p>
        </w:tc>
        <w:tc>
          <w:tcPr>
            <w:tcW w:w="1538" w:type="dxa"/>
            <w:tcBorders/>
          </w:tcPr>
          <w:p>
            <w:pPr>
              <w:pStyle w:val="TableContents"/>
              <w:widowControl w:val="false"/>
              <w:spacing w:lineRule="auto" w:line="480"/>
              <w:rPr/>
            </w:pPr>
            <w:r>
              <w:rPr>
                <w:lang w:val="en-US"/>
              </w:rPr>
              <w:t>21.3–24.4 m</w:t>
            </w:r>
          </w:p>
        </w:tc>
        <w:tc>
          <w:tcPr>
            <w:tcW w:w="3306" w:type="dxa"/>
            <w:tcBorders/>
          </w:tcPr>
          <w:p>
            <w:pPr>
              <w:pStyle w:val="TableContents"/>
              <w:widowControl w:val="false"/>
              <w:spacing w:lineRule="auto" w:line="480"/>
              <w:rPr/>
            </w:pPr>
            <w:r>
              <w:rPr>
                <w:lang w:val="en-US"/>
              </w:rPr>
              <w:t>London mount, when mounted [...] with necessary curvature</w:t>
            </w:r>
          </w:p>
        </w:tc>
      </w:tr>
      <w:tr>
        <w:trPr/>
        <w:tc>
          <w:tcPr>
            <w:tcW w:w="3369" w:type="dxa"/>
            <w:tcBorders/>
          </w:tcPr>
          <w:p>
            <w:pPr>
              <w:pStyle w:val="TableContents"/>
              <w:widowControl w:val="false"/>
              <w:spacing w:lineRule="auto" w:line="480"/>
              <w:rPr/>
            </w:pPr>
            <w:r>
              <w:rPr>
                <w:lang w:val="en-US"/>
              </w:rPr>
              <w:t>Holland (1905:448)</w:t>
            </w:r>
          </w:p>
        </w:tc>
        <w:tc>
          <w:tcPr>
            <w:tcW w:w="1474" w:type="dxa"/>
            <w:tcBorders/>
          </w:tcPr>
          <w:p>
            <w:pPr>
              <w:pStyle w:val="TableContents"/>
              <w:widowControl w:val="false"/>
              <w:spacing w:lineRule="auto" w:line="480"/>
              <w:rPr/>
            </w:pPr>
            <w:r>
              <w:rPr>
                <w:lang w:val="en-US"/>
              </w:rPr>
              <w:t>84 feet *</w:t>
            </w:r>
          </w:p>
        </w:tc>
        <w:tc>
          <w:tcPr>
            <w:tcW w:w="1538" w:type="dxa"/>
            <w:tcBorders/>
          </w:tcPr>
          <w:p>
            <w:pPr>
              <w:pStyle w:val="TableContents"/>
              <w:widowControl w:val="false"/>
              <w:spacing w:lineRule="auto" w:line="480"/>
              <w:rPr/>
            </w:pPr>
            <w:r>
              <w:rPr>
                <w:lang w:val="en-US"/>
              </w:rPr>
              <w:t>25.6 m</w:t>
            </w:r>
          </w:p>
        </w:tc>
        <w:tc>
          <w:tcPr>
            <w:tcW w:w="3306" w:type="dxa"/>
            <w:tcBorders/>
          </w:tcPr>
          <w:p>
            <w:pPr>
              <w:pStyle w:val="TableContents"/>
              <w:widowControl w:val="false"/>
              <w:spacing w:lineRule="auto" w:line="480"/>
              <w:rPr/>
            </w:pPr>
            <w:r>
              <w:rPr>
                <w:lang w:val="en-US"/>
              </w:rPr>
              <w:t>London mount</w:t>
            </w:r>
          </w:p>
        </w:tc>
      </w:tr>
      <w:tr>
        <w:trPr/>
        <w:tc>
          <w:tcPr>
            <w:tcW w:w="3369" w:type="dxa"/>
            <w:tcBorders/>
          </w:tcPr>
          <w:p>
            <w:pPr>
              <w:pStyle w:val="TableContents"/>
              <w:widowControl w:val="false"/>
              <w:spacing w:lineRule="auto" w:line="480"/>
              <w:rPr/>
            </w:pPr>
            <w:r>
              <w:rPr>
                <w:lang w:val="en-US"/>
              </w:rPr>
              <w:t>Holland (1907)</w:t>
            </w:r>
          </w:p>
        </w:tc>
        <w:tc>
          <w:tcPr>
            <w:tcW w:w="1474" w:type="dxa"/>
            <w:tcBorders/>
          </w:tcPr>
          <w:p>
            <w:pPr>
              <w:pStyle w:val="TableContents"/>
              <w:widowControl w:val="false"/>
              <w:spacing w:lineRule="auto" w:line="480"/>
              <w:rPr/>
            </w:pPr>
            <w:r>
              <w:rPr>
                <w:lang w:val="en-US"/>
              </w:rPr>
              <w:t>78.5 feet</w:t>
            </w:r>
          </w:p>
        </w:tc>
        <w:tc>
          <w:tcPr>
            <w:tcW w:w="1538" w:type="dxa"/>
            <w:tcBorders/>
          </w:tcPr>
          <w:p>
            <w:pPr>
              <w:pStyle w:val="TableContents"/>
              <w:widowControl w:val="false"/>
              <w:spacing w:lineRule="auto" w:line="480"/>
              <w:rPr/>
            </w:pPr>
            <w:r>
              <w:rPr>
                <w:lang w:val="en-US"/>
              </w:rPr>
              <w:t>23.94 m *</w:t>
            </w:r>
          </w:p>
        </w:tc>
        <w:tc>
          <w:tcPr>
            <w:tcW w:w="3306" w:type="dxa"/>
            <w:tcBorders/>
          </w:tcPr>
          <w:p>
            <w:pPr>
              <w:pStyle w:val="TableContents"/>
              <w:widowControl w:val="false"/>
              <w:spacing w:lineRule="auto" w:line="480"/>
              <w:rPr/>
            </w:pPr>
            <w:r>
              <w:rPr>
                <w:lang w:val="en-US"/>
              </w:rPr>
              <w:t>Berlin mount</w:t>
            </w:r>
          </w:p>
        </w:tc>
      </w:tr>
      <w:tr>
        <w:trPr/>
        <w:tc>
          <w:tcPr>
            <w:tcW w:w="3369" w:type="dxa"/>
            <w:tcBorders/>
          </w:tcPr>
          <w:p>
            <w:pPr>
              <w:pStyle w:val="TableContents"/>
              <w:widowControl w:val="false"/>
              <w:spacing w:lineRule="auto" w:line="480"/>
              <w:rPr/>
            </w:pPr>
            <w:r>
              <w:rPr>
                <w:lang w:val="en-US"/>
              </w:rPr>
              <w:t>Seneff (1947)</w:t>
            </w:r>
          </w:p>
        </w:tc>
        <w:tc>
          <w:tcPr>
            <w:tcW w:w="1474" w:type="dxa"/>
            <w:tcBorders/>
          </w:tcPr>
          <w:p>
            <w:pPr>
              <w:pStyle w:val="TableContents"/>
              <w:widowControl w:val="false"/>
              <w:spacing w:lineRule="auto" w:line="480"/>
              <w:rPr/>
            </w:pPr>
            <w:r>
              <w:rPr>
                <w:lang w:val="en-US"/>
              </w:rPr>
              <w:t>78 feet *</w:t>
            </w:r>
          </w:p>
        </w:tc>
        <w:tc>
          <w:tcPr>
            <w:tcW w:w="1538" w:type="dxa"/>
            <w:tcBorders/>
          </w:tcPr>
          <w:p>
            <w:pPr>
              <w:pStyle w:val="TableContents"/>
              <w:widowControl w:val="false"/>
              <w:spacing w:lineRule="auto" w:line="480"/>
              <w:rPr/>
            </w:pPr>
            <w:r>
              <w:rPr>
                <w:lang w:val="en-US"/>
              </w:rPr>
              <w:t>23.77</w:t>
            </w:r>
          </w:p>
        </w:tc>
        <w:tc>
          <w:tcPr>
            <w:tcW w:w="3306" w:type="dxa"/>
            <w:tcBorders/>
          </w:tcPr>
          <w:p>
            <w:pPr>
              <w:pStyle w:val="TableContents"/>
              <w:widowControl w:val="false"/>
              <w:spacing w:lineRule="auto" w:line="480"/>
              <w:rPr/>
            </w:pPr>
            <w:r>
              <w:rPr>
                <w:lang w:val="en-US"/>
              </w:rPr>
              <w:t>Original fossil mount</w:t>
            </w:r>
          </w:p>
        </w:tc>
      </w:tr>
      <w:tr>
        <w:trPr/>
        <w:tc>
          <w:tcPr>
            <w:tcW w:w="3369" w:type="dxa"/>
            <w:tcBorders/>
          </w:tcPr>
          <w:p>
            <w:pPr>
              <w:pStyle w:val="TableContents"/>
              <w:widowControl w:val="false"/>
              <w:spacing w:lineRule="auto" w:line="480"/>
              <w:rPr/>
            </w:pPr>
            <w:r>
              <w:rPr>
                <w:lang w:val="en-US"/>
              </w:rPr>
              <w:t>Coggeshall (1951a)</w:t>
            </w:r>
          </w:p>
        </w:tc>
        <w:tc>
          <w:tcPr>
            <w:tcW w:w="1474" w:type="dxa"/>
            <w:tcBorders/>
          </w:tcPr>
          <w:p>
            <w:pPr>
              <w:pStyle w:val="TableContents"/>
              <w:widowControl w:val="false"/>
              <w:spacing w:lineRule="auto" w:line="480"/>
              <w:rPr/>
            </w:pPr>
            <w:r>
              <w:rPr>
                <w:lang w:val="en-US"/>
              </w:rPr>
              <w:t>84 feet *</w:t>
            </w:r>
          </w:p>
        </w:tc>
        <w:tc>
          <w:tcPr>
            <w:tcW w:w="1538" w:type="dxa"/>
            <w:tcBorders/>
          </w:tcPr>
          <w:p>
            <w:pPr>
              <w:pStyle w:val="TableContents"/>
              <w:widowControl w:val="false"/>
              <w:spacing w:lineRule="auto" w:line="480"/>
              <w:rPr/>
            </w:pPr>
            <w:r>
              <w:rPr>
                <w:lang w:val="en-US"/>
              </w:rPr>
              <w:t>25.6 m</w:t>
            </w:r>
          </w:p>
        </w:tc>
        <w:tc>
          <w:tcPr>
            <w:tcW w:w="3306" w:type="dxa"/>
            <w:tcBorders/>
          </w:tcPr>
          <w:p>
            <w:pPr>
              <w:pStyle w:val="TableContents"/>
              <w:widowControl w:val="false"/>
              <w:spacing w:lineRule="auto" w:line="480"/>
              <w:rPr/>
            </w:pPr>
            <w:r>
              <w:rPr>
                <w:lang w:val="en-US"/>
              </w:rPr>
              <w:t>“</w:t>
            </w:r>
            <w:r>
              <w:rPr>
                <w:lang w:val="en-US"/>
              </w:rPr>
              <w:t>over the curves”</w:t>
            </w:r>
          </w:p>
        </w:tc>
      </w:tr>
      <w:tr>
        <w:trPr/>
        <w:tc>
          <w:tcPr>
            <w:tcW w:w="3369" w:type="dxa"/>
            <w:tcBorders/>
          </w:tcPr>
          <w:p>
            <w:pPr>
              <w:pStyle w:val="TableContents"/>
              <w:widowControl w:val="false"/>
              <w:spacing w:lineRule="auto" w:line="480"/>
              <w:rPr/>
            </w:pPr>
            <w:r>
              <w:rPr>
                <w:lang w:val="en-US"/>
              </w:rPr>
              <w:t>Untermann (1959:365)</w:t>
            </w:r>
          </w:p>
        </w:tc>
        <w:tc>
          <w:tcPr>
            <w:tcW w:w="1474" w:type="dxa"/>
            <w:tcBorders/>
          </w:tcPr>
          <w:p>
            <w:pPr>
              <w:pStyle w:val="TableContents"/>
              <w:widowControl w:val="false"/>
              <w:spacing w:lineRule="auto" w:line="480"/>
              <w:rPr/>
            </w:pPr>
            <w:r>
              <w:rPr>
                <w:lang w:val="en-US"/>
              </w:rPr>
              <w:t>76 feet *</w:t>
            </w:r>
          </w:p>
        </w:tc>
        <w:tc>
          <w:tcPr>
            <w:tcW w:w="1538" w:type="dxa"/>
            <w:tcBorders/>
          </w:tcPr>
          <w:p>
            <w:pPr>
              <w:pStyle w:val="TableContents"/>
              <w:widowControl w:val="false"/>
              <w:spacing w:lineRule="auto" w:line="480"/>
              <w:rPr/>
            </w:pPr>
            <w:r>
              <w:rPr>
                <w:lang w:val="en-US"/>
              </w:rPr>
              <w:t>23.2 m</w:t>
            </w:r>
          </w:p>
        </w:tc>
        <w:tc>
          <w:tcPr>
            <w:tcW w:w="3306" w:type="dxa"/>
            <w:tcBorders/>
          </w:tcPr>
          <w:p>
            <w:pPr>
              <w:pStyle w:val="TableContents"/>
              <w:widowControl w:val="false"/>
              <w:spacing w:lineRule="auto" w:line="480"/>
              <w:rPr/>
            </w:pPr>
            <w:r>
              <w:rPr>
                <w:lang w:val="en-US"/>
              </w:rPr>
              <w:t>Vernal mount</w:t>
            </w:r>
          </w:p>
        </w:tc>
      </w:tr>
      <w:tr>
        <w:trPr/>
        <w:tc>
          <w:tcPr>
            <w:tcW w:w="3369" w:type="dxa"/>
            <w:tcBorders/>
          </w:tcPr>
          <w:p>
            <w:pPr>
              <w:pStyle w:val="TableContents"/>
              <w:widowControl w:val="false"/>
              <w:spacing w:lineRule="auto" w:line="480"/>
              <w:rPr/>
            </w:pPr>
            <w:r>
              <w:rPr>
                <w:lang w:val="en-US"/>
              </w:rPr>
              <w:t>Sarti (2012:14)</w:t>
            </w:r>
          </w:p>
        </w:tc>
        <w:tc>
          <w:tcPr>
            <w:tcW w:w="1474" w:type="dxa"/>
            <w:tcBorders/>
          </w:tcPr>
          <w:p>
            <w:pPr>
              <w:pStyle w:val="TableContents"/>
              <w:widowControl w:val="false"/>
              <w:spacing w:lineRule="auto" w:line="480"/>
              <w:rPr/>
            </w:pPr>
            <w:r>
              <w:rPr>
                <w:lang w:val="en-US"/>
              </w:rPr>
              <w:t>88.6 feet</w:t>
            </w:r>
          </w:p>
        </w:tc>
        <w:tc>
          <w:tcPr>
            <w:tcW w:w="1538" w:type="dxa"/>
            <w:tcBorders/>
          </w:tcPr>
          <w:p>
            <w:pPr>
              <w:pStyle w:val="TableContents"/>
              <w:widowControl w:val="false"/>
              <w:spacing w:lineRule="auto" w:line="480"/>
              <w:rPr/>
            </w:pPr>
            <w:r>
              <w:rPr>
                <w:lang w:val="en-US"/>
              </w:rPr>
              <w:t>27 m *</w:t>
            </w:r>
          </w:p>
        </w:tc>
        <w:tc>
          <w:tcPr>
            <w:tcW w:w="3306" w:type="dxa"/>
            <w:tcBorders/>
          </w:tcPr>
          <w:p>
            <w:pPr>
              <w:pStyle w:val="TableContents"/>
              <w:widowControl w:val="false"/>
              <w:spacing w:lineRule="auto" w:line="480"/>
              <w:rPr/>
            </w:pPr>
            <w:r>
              <w:rPr>
                <w:lang w:val="en-US"/>
              </w:rPr>
              <w:t>Bologna mount</w:t>
            </w:r>
          </w:p>
        </w:tc>
      </w:tr>
      <w:tr>
        <w:trPr/>
        <w:tc>
          <w:tcPr>
            <w:tcW w:w="3369" w:type="dxa"/>
            <w:tcBorders/>
          </w:tcPr>
          <w:p>
            <w:pPr>
              <w:pStyle w:val="TableContents"/>
              <w:widowControl w:val="false"/>
              <w:spacing w:lineRule="auto" w:line="480"/>
              <w:rPr/>
            </w:pPr>
            <w:r>
              <w:rPr>
                <w:lang w:val="en-US"/>
              </w:rPr>
              <w:t>Otero and Gasparini (2014:299)</w:t>
            </w:r>
          </w:p>
        </w:tc>
        <w:tc>
          <w:tcPr>
            <w:tcW w:w="1474" w:type="dxa"/>
            <w:tcBorders/>
          </w:tcPr>
          <w:p>
            <w:pPr>
              <w:pStyle w:val="TableContents"/>
              <w:widowControl w:val="false"/>
              <w:spacing w:lineRule="auto" w:line="480"/>
              <w:rPr/>
            </w:pPr>
            <w:r>
              <w:rPr>
                <w:lang w:val="en-US"/>
              </w:rPr>
              <w:t>88.6 feet</w:t>
            </w:r>
          </w:p>
        </w:tc>
        <w:tc>
          <w:tcPr>
            <w:tcW w:w="1538" w:type="dxa"/>
            <w:tcBorders/>
          </w:tcPr>
          <w:p>
            <w:pPr>
              <w:pStyle w:val="TableContents"/>
              <w:widowControl w:val="false"/>
              <w:spacing w:lineRule="auto" w:line="480"/>
              <w:rPr/>
            </w:pPr>
            <w:r>
              <w:rPr>
                <w:lang w:val="en-US"/>
              </w:rPr>
              <w:t>27 m *</w:t>
            </w:r>
          </w:p>
        </w:tc>
        <w:tc>
          <w:tcPr>
            <w:tcW w:w="3306" w:type="dxa"/>
            <w:tcBorders/>
          </w:tcPr>
          <w:p>
            <w:pPr>
              <w:pStyle w:val="TableContents"/>
              <w:widowControl w:val="false"/>
              <w:spacing w:lineRule="auto" w:line="480"/>
              <w:rPr/>
            </w:pPr>
            <w:r>
              <w:rPr>
                <w:lang w:val="en-US"/>
              </w:rPr>
              <w:t>La Plata mount</w:t>
            </w:r>
          </w:p>
        </w:tc>
      </w:tr>
      <w:tr>
        <w:trPr/>
        <w:tc>
          <w:tcPr>
            <w:tcW w:w="3369" w:type="dxa"/>
            <w:tcBorders/>
          </w:tcPr>
          <w:p>
            <w:pPr>
              <w:pStyle w:val="TableContents"/>
              <w:widowControl w:val="false"/>
              <w:spacing w:lineRule="auto" w:line="480"/>
              <w:rPr/>
            </w:pPr>
            <w:r>
              <w:rPr>
                <w:lang w:val="en-US"/>
              </w:rPr>
              <w:t>David Letasi (pers. comm., 2022)</w:t>
            </w:r>
          </w:p>
        </w:tc>
        <w:tc>
          <w:tcPr>
            <w:tcW w:w="1474" w:type="dxa"/>
            <w:tcBorders/>
          </w:tcPr>
          <w:p>
            <w:pPr>
              <w:pStyle w:val="TableContents"/>
              <w:widowControl w:val="false"/>
              <w:spacing w:lineRule="auto" w:line="480"/>
              <w:rPr/>
            </w:pPr>
            <w:r>
              <w:rPr>
                <w:lang w:val="en-US"/>
              </w:rPr>
              <w:t>75 feet *</w:t>
            </w:r>
          </w:p>
        </w:tc>
        <w:tc>
          <w:tcPr>
            <w:tcW w:w="1538" w:type="dxa"/>
            <w:tcBorders/>
          </w:tcPr>
          <w:p>
            <w:pPr>
              <w:pStyle w:val="TableContents"/>
              <w:widowControl w:val="false"/>
              <w:spacing w:lineRule="auto" w:line="480"/>
              <w:rPr/>
            </w:pPr>
            <w:r>
              <w:rPr>
                <w:lang w:val="en-US"/>
              </w:rPr>
              <w:t>22.9 m</w:t>
            </w:r>
          </w:p>
        </w:tc>
        <w:tc>
          <w:tcPr>
            <w:tcW w:w="3306" w:type="dxa"/>
            <w:tcBorders/>
          </w:tcPr>
          <w:p>
            <w:pPr>
              <w:pStyle w:val="TableContents"/>
              <w:widowControl w:val="false"/>
              <w:spacing w:lineRule="auto" w:line="480"/>
              <w:rPr/>
            </w:pPr>
            <w:r>
              <w:rPr>
                <w:lang w:val="en-US"/>
              </w:rPr>
              <w:t>Elements used in Lehi mount, laid out in sequence</w:t>
            </w:r>
          </w:p>
        </w:tc>
      </w:tr>
      <w:tr>
        <w:trPr/>
        <w:tc>
          <w:tcPr>
            <w:tcW w:w="3369" w:type="dxa"/>
            <w:tcBorders/>
          </w:tcPr>
          <w:p>
            <w:pPr>
              <w:pStyle w:val="TableContents"/>
              <w:widowControl w:val="false"/>
              <w:spacing w:lineRule="auto" w:line="480"/>
              <w:rPr/>
            </w:pPr>
            <w:r>
              <w:rPr>
                <w:lang w:val="en-US"/>
              </w:rPr>
              <w:t>Vincent Reneleau (pers. comm, 2022)</w:t>
            </w:r>
          </w:p>
        </w:tc>
        <w:tc>
          <w:tcPr>
            <w:tcW w:w="1474" w:type="dxa"/>
            <w:tcBorders/>
          </w:tcPr>
          <w:p>
            <w:pPr>
              <w:pStyle w:val="TableContents"/>
              <w:widowControl w:val="false"/>
              <w:spacing w:lineRule="auto" w:line="480"/>
              <w:rPr/>
            </w:pPr>
            <w:r>
              <w:rPr>
                <w:lang w:val="en-US"/>
              </w:rPr>
              <w:t>77 feet</w:t>
            </w:r>
          </w:p>
        </w:tc>
        <w:tc>
          <w:tcPr>
            <w:tcW w:w="1538" w:type="dxa"/>
            <w:tcBorders/>
          </w:tcPr>
          <w:p>
            <w:pPr>
              <w:pStyle w:val="TableContents"/>
              <w:widowControl w:val="false"/>
              <w:spacing w:lineRule="auto" w:line="480"/>
              <w:rPr/>
            </w:pPr>
            <w:r>
              <w:rPr>
                <w:lang w:val="en-US"/>
              </w:rPr>
              <w:t>23.5 m *</w:t>
            </w:r>
          </w:p>
        </w:tc>
        <w:tc>
          <w:tcPr>
            <w:tcW w:w="3306" w:type="dxa"/>
            <w:tcBorders/>
          </w:tcPr>
          <w:p>
            <w:pPr>
              <w:pStyle w:val="TableContents"/>
              <w:widowControl w:val="false"/>
              <w:spacing w:lineRule="auto" w:line="480"/>
              <w:rPr/>
            </w:pPr>
            <w:r>
              <w:rPr>
                <w:lang w:val="en-US"/>
              </w:rPr>
              <w:t>Distance along floor between plumb-lines dropped from tip of snout and tip of tail</w:t>
            </w:r>
          </w:p>
        </w:tc>
      </w:tr>
      <w:tr>
        <w:trPr/>
        <w:tc>
          <w:tcPr>
            <w:tcW w:w="3369" w:type="dxa"/>
            <w:tcBorders/>
          </w:tcPr>
          <w:p>
            <w:pPr>
              <w:pStyle w:val="TableContents"/>
              <w:widowControl w:val="false"/>
              <w:spacing w:lineRule="auto" w:line="480"/>
              <w:rPr/>
            </w:pPr>
            <w:r>
              <w:rPr>
                <w:lang w:val="en-US"/>
              </w:rPr>
              <w:t>Current Carnegie mount</w:t>
            </w:r>
          </w:p>
        </w:tc>
        <w:tc>
          <w:tcPr>
            <w:tcW w:w="1474" w:type="dxa"/>
            <w:tcBorders/>
          </w:tcPr>
          <w:p>
            <w:pPr>
              <w:pStyle w:val="TableContents"/>
              <w:widowControl w:val="false"/>
              <w:spacing w:lineRule="auto" w:line="480"/>
              <w:rPr/>
            </w:pPr>
            <w:r>
              <w:rPr>
                <w:lang w:val="en-US"/>
              </w:rPr>
              <w:t>85.5 feet</w:t>
            </w:r>
          </w:p>
        </w:tc>
        <w:tc>
          <w:tcPr>
            <w:tcW w:w="1538" w:type="dxa"/>
            <w:tcBorders/>
          </w:tcPr>
          <w:p>
            <w:pPr>
              <w:pStyle w:val="TableContents"/>
              <w:widowControl w:val="false"/>
              <w:spacing w:lineRule="auto" w:line="480"/>
              <w:rPr/>
            </w:pPr>
            <w:r>
              <w:rPr>
                <w:lang w:val="en-US"/>
              </w:rPr>
              <w:t>26.05 m *</w:t>
            </w:r>
          </w:p>
        </w:tc>
        <w:tc>
          <w:tcPr>
            <w:tcW w:w="3306" w:type="dxa"/>
            <w:tcBorders/>
          </w:tcPr>
          <w:p>
            <w:pPr>
              <w:pStyle w:val="TableContents"/>
              <w:widowControl w:val="false"/>
              <w:spacing w:lineRule="auto" w:line="480"/>
              <w:rPr/>
            </w:pPr>
            <w:r>
              <w:rPr>
                <w:lang w:val="en-US"/>
              </w:rPr>
              <w:t>Photogrammetry: see text</w:t>
            </w:r>
          </w:p>
        </w:tc>
      </w:tr>
      <w:tr>
        <w:trPr/>
        <w:tc>
          <w:tcPr>
            <w:tcW w:w="3369" w:type="dxa"/>
            <w:tcBorders/>
          </w:tcPr>
          <w:p>
            <w:pPr>
              <w:pStyle w:val="TableContents"/>
              <w:widowControl w:val="false"/>
              <w:spacing w:lineRule="auto" w:line="480"/>
              <w:rPr/>
            </w:pPr>
            <w:r>
              <w:rPr>
                <w:lang w:val="en-US"/>
              </w:rPr>
              <w:t>Current Carnegie mount</w:t>
            </w:r>
          </w:p>
        </w:tc>
        <w:tc>
          <w:tcPr>
            <w:tcW w:w="1474" w:type="dxa"/>
            <w:tcBorders/>
          </w:tcPr>
          <w:p>
            <w:pPr>
              <w:pStyle w:val="TableContents"/>
              <w:widowControl w:val="false"/>
              <w:spacing w:lineRule="auto" w:line="480"/>
              <w:rPr/>
            </w:pPr>
            <w:r>
              <w:rPr>
                <w:lang w:val="en-US"/>
              </w:rPr>
              <w:t>85 feet, 8+11/16 inches *</w:t>
            </w:r>
          </w:p>
        </w:tc>
        <w:tc>
          <w:tcPr>
            <w:tcW w:w="1538" w:type="dxa"/>
            <w:tcBorders/>
          </w:tcPr>
          <w:p>
            <w:pPr>
              <w:pStyle w:val="TableContents"/>
              <w:widowControl w:val="false"/>
              <w:spacing w:lineRule="auto" w:line="480"/>
              <w:rPr/>
            </w:pPr>
            <w:r>
              <w:rPr>
                <w:lang w:val="en-US"/>
              </w:rPr>
              <w:t>26.13 m</w:t>
            </w:r>
          </w:p>
        </w:tc>
        <w:tc>
          <w:tcPr>
            <w:tcW w:w="3306" w:type="dxa"/>
            <w:tcBorders/>
          </w:tcPr>
          <w:p>
            <w:pPr>
              <w:pStyle w:val="TableContents"/>
              <w:widowControl w:val="false"/>
              <w:spacing w:lineRule="auto" w:line="480"/>
              <w:rPr/>
            </w:pPr>
            <w:r>
              <w:rPr>
                <w:lang w:val="en-US"/>
              </w:rPr>
              <w:t>LIDAR model: see text</w:t>
            </w:r>
          </w:p>
        </w:tc>
      </w:tr>
    </w:tbl>
    <w:p>
      <w:pPr>
        <w:pStyle w:val="Heading1"/>
        <w:numPr>
          <w:ilvl w:val="0"/>
          <w:numId w:val="3"/>
        </w:numPr>
        <w:spacing w:lineRule="auto" w:line="480" w:before="0" w:after="142"/>
        <w:rPr/>
      </w:pPr>
      <w:r>
        <w:br w:type="page"/>
      </w:r>
      <w:bookmarkStart w:id="32" w:name="__RefHeading___Toc3407_68767826"/>
      <w:bookmarkEnd w:id="32"/>
      <w:r>
        <w:rPr>
          <w:lang w:val="en-US"/>
        </w:rPr>
        <w:t>Figure Captions</w:t>
      </w:r>
    </w:p>
    <w:p>
      <w:pPr>
        <w:pStyle w:val="FigureCaption"/>
        <w:spacing w:lineRule="auto" w:line="480"/>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spacing w:lineRule="auto" w:line="480"/>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5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spacing w:lineRule="auto" w:line="480"/>
        <w:rPr/>
      </w:pPr>
      <w:r>
        <w:rPr>
          <w:b/>
          <w:bCs/>
          <w:lang w:val="en-US"/>
        </w:rPr>
        <w:t>Figure 3.</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w:t>
      </w:r>
      <w:r>
        <w:rPr>
          <w:lang w:val="en-US"/>
        </w:rPr>
        <w:t>”. (The “C” at the very end has a double loop characteristic of Carnegie when signing his own name.)</w:t>
      </w:r>
    </w:p>
    <w:p>
      <w:pPr>
        <w:pStyle w:val="FigureCaption"/>
        <w:spacing w:lineRule="auto" w:line="480"/>
        <w:rPr/>
      </w:pPr>
      <w:r>
        <w:rPr>
          <w:b/>
          <w:bCs/>
          <w:lang w:val="en-US"/>
        </w:rPr>
        <w:t>Figure 4.</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spacing w:lineRule="auto" w:line="480"/>
        <w:rPr/>
      </w:pPr>
      <w:r>
        <w:rPr>
          <w:b/>
          <w:bCs/>
          <w:lang w:val="en-US"/>
        </w:rPr>
        <w:t>Figure 5.</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spacing w:lineRule="auto" w:line="480"/>
        <w:rPr/>
      </w:pPr>
      <w:r>
        <w:rPr>
          <w:b/>
          <w:bCs/>
          <w:lang w:val="en-US"/>
        </w:rPr>
        <w:t>Figure 6.</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7"/>
        </w:numPr>
        <w:spacing w:lineRule="auto" w:line="480"/>
        <w:rPr/>
      </w:pPr>
      <w:r>
        <w:rPr>
          <w:lang w:val="en-US"/>
        </w:rPr>
        <w:t>Far left, mostly cropped from image: field collector William H. Utterback</w:t>
      </w:r>
    </w:p>
    <w:p>
      <w:pPr>
        <w:pStyle w:val="FigureCaption"/>
        <w:numPr>
          <w:ilvl w:val="0"/>
          <w:numId w:val="7"/>
        </w:numPr>
        <w:spacing w:lineRule="auto" w:line="480"/>
        <w:rPr/>
      </w:pPr>
      <w:r>
        <w:rPr>
          <w:lang w:val="en-US"/>
        </w:rPr>
        <w:t>Seated, facing right: field collector and researcher Olaf A. Peterson</w:t>
      </w:r>
    </w:p>
    <w:p>
      <w:pPr>
        <w:pStyle w:val="FigureCaption"/>
        <w:numPr>
          <w:ilvl w:val="0"/>
          <w:numId w:val="7"/>
        </w:numPr>
        <w:spacing w:lineRule="auto" w:line="480"/>
        <w:rPr/>
      </w:pPr>
      <w:r>
        <w:rPr>
          <w:lang w:val="en-US"/>
        </w:rPr>
        <w:t>Standing at rear: fossil preparator Louis S. Coggeshall (Arthur’s brother)</w:t>
      </w:r>
    </w:p>
    <w:p>
      <w:pPr>
        <w:pStyle w:val="FigureCaption"/>
        <w:numPr>
          <w:ilvl w:val="0"/>
          <w:numId w:val="7"/>
        </w:numPr>
        <w:spacing w:lineRule="auto" w:line="480"/>
        <w:rPr/>
      </w:pPr>
      <w:r>
        <w:rPr>
          <w:lang w:val="en-US"/>
        </w:rPr>
        <w:t>Seated, looking toward camera: fossil preparator and researcher Charles W. Gilmore</w:t>
      </w:r>
    </w:p>
    <w:p>
      <w:pPr>
        <w:pStyle w:val="FigureCaption"/>
        <w:numPr>
          <w:ilvl w:val="0"/>
          <w:numId w:val="7"/>
        </w:numPr>
        <w:spacing w:lineRule="auto" w:line="480"/>
        <w:rPr/>
      </w:pPr>
      <w:r>
        <w:rPr>
          <w:lang w:val="en-US"/>
        </w:rPr>
        <w:t>Seated at far table: field collector Earl Douglass</w:t>
      </w:r>
    </w:p>
    <w:p>
      <w:pPr>
        <w:pStyle w:val="FigureCaption"/>
        <w:numPr>
          <w:ilvl w:val="0"/>
          <w:numId w:val="7"/>
        </w:numPr>
        <w:spacing w:lineRule="auto" w:line="480"/>
        <w:rPr/>
      </w:pPr>
      <w:r>
        <w:rPr>
          <w:lang w:val="en-US"/>
        </w:rPr>
        <w:t>Standing behind far table: chief fossil preparator Arthur S. Coggeshall</w:t>
      </w:r>
    </w:p>
    <w:p>
      <w:pPr>
        <w:pStyle w:val="FigureCaption"/>
        <w:numPr>
          <w:ilvl w:val="0"/>
          <w:numId w:val="7"/>
        </w:numPr>
        <w:spacing w:lineRule="auto" w:line="480"/>
        <w:rPr/>
      </w:pPr>
      <w:r>
        <w:rPr>
          <w:lang w:val="en-US"/>
        </w:rPr>
        <w:t>Sitting at far table, facing left: fossil preparator Asher W. VanKirk</w:t>
      </w:r>
    </w:p>
    <w:p>
      <w:pPr>
        <w:pStyle w:val="FigureCaption"/>
        <w:numPr>
          <w:ilvl w:val="0"/>
          <w:numId w:val="7"/>
        </w:numPr>
        <w:spacing w:lineRule="auto" w:line="480"/>
        <w:rPr/>
      </w:pPr>
      <w:r>
        <w:rPr>
          <w:lang w:val="en-US"/>
        </w:rPr>
        <w:t>Seated: illustrator Sydney Prentice</w:t>
      </w:r>
    </w:p>
    <w:p>
      <w:pPr>
        <w:pStyle w:val="FigureCaption"/>
        <w:numPr>
          <w:ilvl w:val="0"/>
          <w:numId w:val="7"/>
        </w:numPr>
        <w:spacing w:lineRule="auto" w:line="480"/>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spacing w:lineRule="auto" w:line="480"/>
        <w:rPr/>
      </w:pPr>
      <w:r>
        <w:rPr>
          <w:b/>
          <w:bCs/>
          <w:lang w:val="en-US"/>
        </w:rPr>
        <w:t>Figure 7.</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spacing w:lineRule="auto" w:line="480"/>
        <w:rPr/>
      </w:pPr>
      <w:r>
        <w:rPr>
          <w:b/>
          <w:bCs/>
          <w:lang w:val="en-US"/>
        </w:rPr>
        <w:t>Figure 8.</w:t>
      </w:r>
      <w:r>
        <w:rPr>
          <w:lang w:val="en-US"/>
        </w:rPr>
        <w:t xml:space="preserve"> The original print of </w:t>
      </w:r>
      <w:r>
        <w:rPr>
          <w:i/>
          <w:iCs/>
          <w:lang w:val="en-US"/>
        </w:rPr>
        <w:t>Diplodocus carnegii</w:t>
      </w:r>
      <w:r>
        <w:rPr>
          <w:lang w:val="en-US"/>
        </w:rPr>
        <w:t xml:space="preserve"> that caught the eye of King Edward VII on his visit to Andrew Carnegie at Skibo Castle in early October 1902, leading to the creation of the London cast and, indirectly, all other casts of the Carnegie </w:t>
      </w:r>
      <w:r>
        <w:rPr>
          <w:i/>
          <w:iCs/>
          <w:lang w:val="en-US"/>
        </w:rPr>
        <w:t>Diplodocus</w:t>
      </w:r>
      <w:r>
        <w:rPr>
          <w:lang w:val="en-US"/>
        </w:rPr>
        <w:t>. This print is held by the Andrew Carnegie Birthplace Museum as ACBM 1928/461. It is evidently a cut-down copy of the reconstruction from Plate XIII of Hatcher’s (1901) descriptive monograph, with the headings and titles removed.</w:t>
      </w:r>
    </w:p>
    <w:p>
      <w:pPr>
        <w:pStyle w:val="FigureCaption"/>
        <w:spacing w:lineRule="auto" w:line="480"/>
        <w:rPr/>
      </w:pPr>
      <w:r>
        <w:rPr>
          <w:b/>
          <w:bCs/>
          <w:lang w:val="en-US"/>
        </w:rPr>
        <w:t>Figure 9.</w:t>
      </w:r>
      <w:r>
        <w:rPr>
          <w:lang w:val="en-US"/>
        </w:rPr>
        <w:t xml:space="preserve"> Letter from Andrew Carnegie to William J. Holland, 2 October 1902. “The King was attracted to the </w:t>
      </w:r>
      <w:r>
        <w:rPr>
          <w:i/>
          <w:iCs/>
          <w:lang w:val="en-US"/>
        </w:rPr>
        <w:t>Diplodocus</w:t>
      </w:r>
      <w:r>
        <w:rPr>
          <w:lang w:val="en-US"/>
        </w:rPr>
        <w:t xml:space="preserve"> when here. He wants one for the British Museum badly. I read your note which told of the new finds. He is on your track now for duplicate.”</w:t>
      </w:r>
    </w:p>
    <w:p>
      <w:pPr>
        <w:pStyle w:val="FigureCaption"/>
        <w:spacing w:lineRule="auto" w:line="480"/>
        <w:rPr/>
      </w:pPr>
      <w:r>
        <w:rPr>
          <w:b/>
          <w:bCs/>
          <w:lang w:val="en-US"/>
        </w:rPr>
        <w:t>Figure 10.</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spacing w:lineRule="auto" w:line="480"/>
        <w:rPr/>
      </w:pPr>
      <w:r>
        <w:rPr>
          <w:b/>
          <w:bCs/>
          <w:lang w:val="en-US"/>
        </w:rPr>
        <w:t>Figure 11.</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lineRule="auto" w:line="480"/>
        <w:rPr/>
      </w:pPr>
      <w:r>
        <w:rPr>
          <w:b/>
          <w:bCs/>
          <w:lang w:val="en-US"/>
        </w:rPr>
        <w:t>Figure 12.</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spacing w:lineRule="auto" w:line="480"/>
        <w:rPr/>
      </w:pPr>
      <w:r>
        <w:rPr>
          <w:b/>
          <w:bCs/>
          <w:lang w:val="en-US"/>
        </w:rPr>
        <w:t>Figure 13.</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not pictured;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spacing w:lineRule="auto" w:line="480"/>
        <w:rPr/>
      </w:pPr>
      <w:r>
        <w:rPr>
          <w:b/>
          <w:bCs/>
          <w:lang w:val="en-US"/>
        </w:rPr>
        <w:t>Figure 14.</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spacing w:lineRule="auto" w:line="480"/>
        <w:rPr/>
      </w:pPr>
      <w:r>
        <w:rPr>
          <w:b/>
          <w:bCs/>
          <w:lang w:val="en-US"/>
        </w:rPr>
        <w:t>Figure 15.</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The mounted skull includes the sclerotic ring in the left orbit but omits this structure from the right orbit, as in the original CM 11161 fossil. Photograph by Joshua Franzos, used with permission.</w:t>
      </w:r>
    </w:p>
    <w:p>
      <w:pPr>
        <w:pStyle w:val="FigureCaption"/>
        <w:spacing w:lineRule="auto" w:line="480"/>
        <w:rPr/>
      </w:pPr>
      <w:r>
        <w:rPr>
          <w:b/>
          <w:bCs/>
          <w:lang w:val="en-US"/>
        </w:rPr>
        <w:t>Figure 16.</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14A–B), now suspended from the ceiling rather than supported from below by a tripartite pole.</w:t>
      </w:r>
    </w:p>
    <w:p>
      <w:pPr>
        <w:pStyle w:val="FigureCaption"/>
        <w:spacing w:lineRule="auto" w:line="480"/>
        <w:rPr/>
      </w:pPr>
      <w:r>
        <w:rPr>
          <w:b/>
          <w:bCs/>
          <w:lang w:val="en-US"/>
        </w:rPr>
        <w:t>Figure 17.</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3" w:name="__DdeLink__1645_3185452779"/>
      <w:r>
        <w:rPr>
          <w:lang w:val="en-US"/>
        </w:rPr>
        <w:t xml:space="preserve">Verónica </w:t>
      </w:r>
      <w:bookmarkEnd w:id="33"/>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spacing w:lineRule="auto" w:line="480"/>
        <w:rPr/>
      </w:pPr>
      <w:r>
        <w:rPr>
          <w:b/>
          <w:bCs/>
          <w:lang w:val="en-US"/>
        </w:rPr>
        <w:t>Figure 18.</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spacing w:lineRule="auto" w:line="480" w:before="0" w:after="142"/>
        <w:rPr/>
      </w:pPr>
      <w:r>
        <w:rPr>
          <w:b/>
          <w:bCs/>
          <w:lang w:val="en-US"/>
        </w:rPr>
        <w:t xml:space="preserve">Figure 19.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spacing w:lineRule="auto" w:line="480"/>
        <w:rPr/>
      </w:pPr>
      <w:r>
        <w:rPr>
          <w:b/>
          <w:bCs/>
          <w:lang w:val="en-US"/>
        </w:rPr>
        <w:t>Figure 20.</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except that it is likely that one of the grey CM 94 elements has been replaced by a fossil. All of the CM 307 caudals are real bone except the last four, which are sculptures created to replace the stolen posteriormost vertebrae. The sources of the bones (or of bones that models were based on) is shown below the tail: elements from CM 84 in red, those from CM 94 in green, and those from CM 307 i</w:t>
      </w:r>
      <w:r>
        <w:rPr>
          <w:shd w:fill="auto" w:val="clear"/>
          <w:lang w:val="en-US"/>
        </w:rPr>
        <w:t>n gold.</w:t>
      </w:r>
    </w:p>
    <w:p>
      <w:pPr>
        <w:pStyle w:val="FigureCaption"/>
        <w:spacing w:lineRule="auto" w:line="480"/>
        <w:rPr/>
      </w:pPr>
      <w:r>
        <w:rPr>
          <w:b/>
          <w:bCs/>
          <w:lang w:val="en-US"/>
        </w:rPr>
        <w:t>Figure 21.</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by permission of Ken Carpenter.</w:t>
      </w:r>
    </w:p>
    <w:p>
      <w:pPr>
        <w:pStyle w:val="FigureCaption"/>
        <w:spacing w:lineRule="auto" w:line="480"/>
        <w:rPr/>
      </w:pPr>
      <w:r>
        <w:rPr>
          <w:b/>
          <w:bCs/>
          <w:lang w:val="en-US"/>
        </w:rPr>
        <w:t>Figure 22.</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spacing w:lineRule="auto" w:line="480" w:before="0" w:after="142"/>
        <w:rPr>
          <w:lang w:val="en-US"/>
        </w:rPr>
      </w:pPr>
      <w:r>
        <w:rPr>
          <w:lang w:val="en-US"/>
        </w:rPr>
      </w:r>
    </w:p>
    <w:sectPr>
      <w:headerReference w:type="even" r:id="rId33"/>
      <w:headerReference w:type="default" r:id="rId34"/>
      <w:headerReference w:type="first" r:id="rId35"/>
      <w:type w:val="nextPage"/>
      <w:pgSz w:w="12240" w:h="15840"/>
      <w:pgMar w:left="1276" w:right="1276" w:gutter="0" w:header="1684" w:top="2250" w:footer="0" w:bottom="168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Taylor et al. — Composition of the Carnegie </w:t>
    </w:r>
    <w:r>
      <w:rPr>
        <w:i/>
        <w:iCs/>
      </w:rPr>
      <w:t>Diplodocus</w:t>
    </w:r>
    <w:r>
      <w:rPr>
        <w:i w:val="false"/>
        <w:iCs w:val="false"/>
      </w:rPr>
      <w:tab/>
    </w:r>
    <w:r>
      <w:rPr>
        <w:i w:val="false"/>
        <w:iCs w:val="false"/>
      </w:rPr>
      <w:fldChar w:fldCharType="begin"/>
    </w:r>
    <w:r>
      <w:rPr>
        <w:i w:val="false"/>
        <w:iCs w:val="false"/>
      </w:rPr>
      <w:instrText xml:space="preserve"> PAGE </w:instrText>
    </w:r>
    <w:r>
      <w:rPr>
        <w:i w:val="false"/>
        <w:iCs w:val="false"/>
      </w:rPr>
      <w:fldChar w:fldCharType="separate"/>
    </w:r>
    <w:r>
      <w:rPr>
        <w:i w:val="false"/>
        <w:iCs w:val="false"/>
      </w:rPr>
      <w:t>91</w:t>
    </w:r>
    <w:r>
      <w:rPr>
        <w:i w:val="false"/>
        <w:iCs w:val="false"/>
      </w:rPr>
      <w:fldChar w:fldCharType="end"/>
    </w:r>
    <w:r>
      <w:rPr>
        <w:i w:val="false"/>
        <w:iCs w:val="false"/>
      </w:rPr>
      <w:t>/</w:t>
    </w:r>
    <w:r>
      <w:rPr>
        <w:i w:val="false"/>
        <w:iCs w:val="false"/>
      </w:rPr>
      <w:fldChar w:fldCharType="begin"/>
    </w:r>
    <w:r>
      <w:rPr>
        <w:i w:val="false"/>
        <w:iCs w:val="false"/>
      </w:rPr>
      <w:instrText xml:space="preserve"> NUMPAGES </w:instrText>
    </w:r>
    <w:r>
      <w:rPr>
        <w:i w:val="false"/>
        <w:iCs w:val="false"/>
      </w:rPr>
      <w:fldChar w:fldCharType="separate"/>
    </w:r>
    <w:r>
      <w:rPr>
        <w:i w:val="false"/>
        <w:iCs w:val="false"/>
      </w:rPr>
      <w:t>91</w:t>
    </w:r>
    <w:r>
      <w:rPr>
        <w:i w:val="false"/>
        <w:iCs w:val="false"/>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Taylor et al. — Composition of the Carnegie </w:t>
    </w:r>
    <w:r>
      <w:rPr>
        <w:i/>
        <w:iCs/>
      </w:rPr>
      <w:t>Diplodocus</w:t>
    </w:r>
    <w:r>
      <w:rPr>
        <w:i w:val="false"/>
        <w:iCs w:val="false"/>
      </w:rPr>
      <w:tab/>
    </w:r>
    <w:r>
      <w:rPr>
        <w:i w:val="false"/>
        <w:iCs w:val="false"/>
      </w:rPr>
      <w:fldChar w:fldCharType="begin"/>
    </w:r>
    <w:r>
      <w:rPr>
        <w:i w:val="false"/>
        <w:iCs w:val="false"/>
      </w:rPr>
      <w:instrText xml:space="preserve"> PAGE </w:instrText>
    </w:r>
    <w:r>
      <w:rPr>
        <w:i w:val="false"/>
        <w:iCs w:val="false"/>
      </w:rPr>
      <w:fldChar w:fldCharType="separate"/>
    </w:r>
    <w:r>
      <w:rPr>
        <w:i w:val="false"/>
        <w:iCs w:val="false"/>
      </w:rPr>
      <w:t>91</w:t>
    </w:r>
    <w:r>
      <w:rPr>
        <w:i w:val="false"/>
        <w:iCs w:val="false"/>
      </w:rPr>
      <w:fldChar w:fldCharType="end"/>
    </w:r>
    <w:r>
      <w:rPr>
        <w:i w:val="false"/>
        <w:iCs w:val="false"/>
      </w:rPr>
      <w:t>/</w:t>
    </w:r>
    <w:r>
      <w:rPr>
        <w:i w:val="false"/>
        <w:iCs w:val="false"/>
      </w:rPr>
      <w:fldChar w:fldCharType="begin"/>
    </w:r>
    <w:r>
      <w:rPr>
        <w:i w:val="false"/>
        <w:iCs w:val="false"/>
      </w:rPr>
      <w:instrText xml:space="preserve"> NUMPAGES </w:instrText>
    </w:r>
    <w:r>
      <w:rPr>
        <w:i w:val="false"/>
        <w:iCs w:val="false"/>
      </w:rPr>
      <w:fldChar w:fldCharType="separate"/>
    </w:r>
    <w:r>
      <w:rPr>
        <w:i w:val="false"/>
        <w:iCs w:val="false"/>
      </w:rPr>
      <w:t>91</w:t>
    </w:r>
    <w:r>
      <w:rPr>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trackRevisions/>
  <w:defaultTabStop w:val="720"/>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jc w:val="center"/>
      <w:outlineLvl w:val="0"/>
    </w:pPr>
    <w:rPr>
      <w:bCs/>
      <w:caps/>
      <w:sz w:val="32"/>
      <w:szCs w:val="36"/>
    </w:rPr>
  </w:style>
  <w:style w:type="paragraph" w:styleId="Heading2">
    <w:name w:val="heading 2"/>
    <w:basedOn w:val="Heading"/>
    <w:next w:val="BodyText"/>
    <w:uiPriority w:val="9"/>
    <w:unhideWhenUsed/>
    <w:qFormat/>
    <w:pPr>
      <w:spacing w:before="198" w:after="119"/>
      <w:jc w:val="center"/>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Comment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Comment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0" w:after="119"/>
      <w:jc w:val="center"/>
    </w:pPr>
    <w:rPr>
      <w:bCs/>
      <w:caps/>
      <w:sz w:val="40"/>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jc w:val="center"/>
    </w:pPr>
    <w:rPr>
      <w:bCs/>
      <w:cap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Comment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CommentText"/>
    <w:next w:val="Comment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HenriciA@carnegiemnh.org" TargetMode="External"/><Relationship Id="rId4" Type="http://schemas.openxmlformats.org/officeDocument/2006/relationships/hyperlink" Target="mailto:ChurchL@carnegiemnh.org" TargetMode="External"/><Relationship Id="rId5" Type="http://schemas.openxmlformats.org/officeDocument/2006/relationships/hyperlink" Target="mailto:ilja@mac.com" TargetMode="External"/><Relationship Id="rId6" Type="http://schemas.openxmlformats.org/officeDocument/2006/relationships/hyperlink" Target="mailto:LamannaM@carnegiemnh.org" TargetMode="External"/><Relationship Id="rId7" Type="http://schemas.openxmlformats.org/officeDocument/2006/relationships/hyperlink" Target="https://www.in2013dollars.com/" TargetMode="External"/><Relationship Id="rId8" Type="http://schemas.openxmlformats.org/officeDocument/2006/relationships/hyperlink" Target="https://www.loc.gov/resource/sn83030180/1898-12-11/ed-1/?sp=33&amp;r=-0.061,-0.031,0.196,0.117,0" TargetMode="External"/><Relationship Id="rId9" Type="http://schemas.openxmlformats.org/officeDocument/2006/relationships/hyperlink" Target="https://digitallibrary.amnh.org/handle/2246/6331" TargetMode="External"/><Relationship Id="rId10" Type="http://schemas.openxmlformats.org/officeDocument/2006/relationships/hyperlink" Target="https://archive.org/details/sim_carnegie_1951-09_25_7/page/238/mode/2up" TargetMode="External"/><Relationship Id="rId11" Type="http://schemas.openxmlformats.org/officeDocument/2006/relationships/hyperlink" Target="https://archive.org/details/sim_carnegie_1951-10_25_8/page/276/mode/2up" TargetMode="External"/><Relationship Id="rId12" Type="http://schemas.openxmlformats.org/officeDocument/2006/relationships/hyperlink" Target="https://archive.org/details/sim_carnegie_1951-11_25_9/page/312/mode/2up" TargetMode="External"/><Relationship Id="rId13" Type="http://schemas.openxmlformats.org/officeDocument/2006/relationships/hyperlink" Target="http://digitalcollections.powerlibrary.org/cdm/compoundobject/collection/acamu-acarc/id/13522/rec/1" TargetMode="External"/><Relationship Id="rId14" Type="http://schemas.openxmlformats.org/officeDocument/2006/relationships/hyperlink" Target="https://digitalcollections.library.cmu.edu/node/86801" TargetMode="External"/><Relationship Id="rId15" Type="http://schemas.openxmlformats.org/officeDocument/2006/relationships/hyperlink" Target="http://digitalcollections.powerlibrary.org/cdm/compoundobject/collection/acamu-acarc/id/14064/rec/1" TargetMode="External"/><Relationship Id="rId16" Type="http://schemas.openxmlformats.org/officeDocument/2006/relationships/hyperlink" Target="https://digitalcollections.library.cmu.edu/node/86474" TargetMode="External"/><Relationship Id="rId17" Type="http://schemas.openxmlformats.org/officeDocument/2006/relationships/hyperlink" Target="https://www.newspapers.com/article/st-louis-globe-democrat-wyoming-dinosau/146581997/" TargetMode="External"/><Relationship Id="rId18" Type="http://schemas.openxmlformats.org/officeDocument/2006/relationships/hyperlink" Target="https://doi.org/10.7717/peerj.12810" TargetMode="External"/><Relationship Id="rId19" Type="http://schemas.openxmlformats.org/officeDocument/2006/relationships/hyperlink" Target="https://doi.org/10.59350/h5xm3-0q551" TargetMode="External"/><Relationship Id="rId20" Type="http://schemas.openxmlformats.org/officeDocument/2006/relationships/hyperlink" Target="https://svpow.com/2022/11/23/putative-atlantal-ribs-of-diplodocus/" TargetMode="External"/><Relationship Id="rId21" Type="http://schemas.openxmlformats.org/officeDocument/2006/relationships/hyperlink" Target="https://web.archive.org/web/20240506151716/https://svpow.com/2022/11/23/putative-atlantal-ribs-of-diplodocus/" TargetMode="External"/><Relationship Id="rId22" Type="http://schemas.openxmlformats.org/officeDocument/2006/relationships/hyperlink" Target="https://svpow.com/2024/04/27/atlantal-ribs-of-the-carnegie-diplodocus-moscow-and-vienna-casts/" TargetMode="External"/><Relationship Id="rId23" Type="http://schemas.openxmlformats.org/officeDocument/2006/relationships/hyperlink" Target="https://web.archive.org/web/20240427225340/https://svpow.com/2024/04/27/atlantal-ribs-of-the-carnegie-diplodocus-moscow-and-vienna-casts/" TargetMode="External"/><Relationship Id="rId24" Type="http://schemas.openxmlformats.org/officeDocument/2006/relationships/hyperlink" Target="https://github.com/MikeTaylor/palaeo-casts" TargetMode="External"/><Relationship Id="rId25" Type="http://schemas.openxmlformats.org/officeDocument/2006/relationships/hyperlink" Target="https://github.com/MikeTaylor/palaeo-baromount" TargetMode="External"/><Relationship Id="rId26" Type="http://schemas.openxmlformats.org/officeDocument/2006/relationships/hyperlink" Target="https://www.geokniga.org/books/18411" TargetMode="External"/><Relationship Id="rId27" Type="http://schemas.openxmlformats.org/officeDocument/2006/relationships/hyperlink" Target="https://doi.org/10.59350/emdw8-96f96" TargetMode="External"/><Relationship Id="rId28" Type="http://schemas.openxmlformats.org/officeDocument/2006/relationships/hyperlink" Target="https://svpow.com/2009/04/23/mydd/" TargetMode="External"/><Relationship Id="rId29" Type="http://schemas.openxmlformats.org/officeDocument/2006/relationships/hyperlink" Target="https://web.archive.org/web/20220805065019/https://svpow.com/2009/04/23/mydd/" TargetMode="External"/><Relationship Id="rId30" Type="http://schemas.openxmlformats.org/officeDocument/2006/relationships/hyperlink" Target="https://doi.org/10.59350/ffywx-13m34" TargetMode="External"/><Relationship Id="rId31" Type="http://schemas.openxmlformats.org/officeDocument/2006/relationships/hyperlink" Target="https://svpow.com/2019/11/04/dystylosaurus-reminds-you-to-beware-of-taking-measurements-from-casts/" TargetMode="External"/><Relationship Id="rId32" Type="http://schemas.openxmlformats.org/officeDocument/2006/relationships/hyperlink" Target="https://web.archive.org/web/2/https://svpow.com/2019/11/04/dystylosaurus-reminds-you-to-beware-of-taking-measurements-from-casts/" TargetMode="External"/><Relationship Id="rId33" Type="http://schemas.openxmlformats.org/officeDocument/2006/relationships/header" Target="header1.xml"/><Relationship Id="rId34" Type="http://schemas.openxmlformats.org/officeDocument/2006/relationships/header" Target="header2.xml"/><Relationship Id="rId35" Type="http://schemas.openxmlformats.org/officeDocument/2006/relationships/header" Target="header3.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14131</TotalTime>
  <Application>LibreOffice/24.8.2.1$MacOSX_X86_64 LibreOffice_project/0f794b6e29741098670a3b95d60478a65d05ef13</Application>
  <AppVersion>15.0000</AppVersion>
  <Pages>91</Pages>
  <Words>23343</Words>
  <Characters>122035</Characters>
  <CharactersWithSpaces>144688</CharactersWithSpaces>
  <Paragraphs>549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2024-12-28T08:59:30Z</dcterms:modified>
  <cp:revision>303</cp:revision>
  <dc:subject/>
  <dc:title/>
</cp:coreProperties>
</file>

<file path=docProps/custom.xml><?xml version="1.0" encoding="utf-8"?>
<Properties xmlns="http://schemas.openxmlformats.org/officeDocument/2006/custom-properties" xmlns:vt="http://schemas.openxmlformats.org/officeDocument/2006/docPropsVTypes"/>
</file>