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944_2786159041"/>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 xml:space="preserve">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w:t>
      </w:r>
      <w:r>
        <w:rPr/>
        <w:t>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 xml:space="preserve">The completed outdoor cast was </w:t>
      </w:r>
      <w:r>
        <w:rPr/>
        <w:t xml:space="preserve">dedicated on 6 June, 1957 (Untermann and Untermann 1970). </w:t>
      </w:r>
      <w:r>
        <w:rPr/>
        <w:t>The work had taken about a year and a half, from early 1956, and cost only $10,000 in total — almost all of it in salary. The cast stood for 32 years until the Field House moved to a new building in 1989.</w:t>
      </w:r>
    </w:p>
    <w:p>
      <w:pPr>
        <w:pStyle w:val="Heading2"/>
        <w:rPr/>
      </w:pPr>
      <w:bookmarkStart w:id="7" w:name="__RefHeading___Toc949_1155462304"/>
      <w:bookmarkEnd w:id="7"/>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8" w:name="__RefHeading___Toc951_1155462304"/>
      <w:bookmarkEnd w:id="8"/>
      <w:r>
        <w:rPr>
          <w:i w:val="false"/>
          <w:iCs w:val="false"/>
        </w:rPr>
        <w:t>Further uses of the molds</w:t>
      </w:r>
    </w:p>
    <w:p>
      <w:pPr>
        <w:pStyle w:val="TextBody"/>
        <w:rPr/>
      </w:pPr>
      <w:r>
        <w:rPr/>
        <w:t>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Heading2"/>
        <w:rPr/>
      </w:pPr>
      <w:r>
        <w:rPr>
          <w:i w:val="false"/>
          <w:iCs w:val="false"/>
        </w:rPr>
        <w:t xml:space="preserve">Molds made from the concrete </w:t>
      </w:r>
      <w:r>
        <w:rPr>
          <w:i/>
          <w:iCs/>
        </w:rPr>
        <w:t>Diplodocus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9" w:name="__RefHeading___Toc953_1155462304"/>
      <w:bookmarkEnd w:id="9"/>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0" w:name="__RefHeading___Toc3401_68767826"/>
      <w:bookmarkEnd w:id="10"/>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3"/>
        </w:numPr>
        <w:ind w:left="0" w:right="0" w:hanging="0"/>
        <w:rPr/>
      </w:pPr>
      <w:bookmarkStart w:id="11" w:name="__RefHeading___Toc3403_68767826"/>
      <w:bookmarkEnd w:id="11"/>
      <w:r>
        <w:rPr/>
        <w:t>Acknowledgements</w:t>
      </w:r>
    </w:p>
    <w:p>
      <w:pPr>
        <w:pStyle w:val="TextBody"/>
        <w:rPr/>
      </w:pPr>
      <w:r>
        <w:rPr/>
        <w:t>XXX to follow.</w:t>
      </w:r>
    </w:p>
    <w:p>
      <w:pPr>
        <w:pStyle w:val="Heading1"/>
        <w:numPr>
          <w:ilvl w:val="0"/>
          <w:numId w:val="3"/>
        </w:numPr>
        <w:ind w:left="0" w:right="0" w:hanging="0"/>
        <w:rPr/>
      </w:pPr>
      <w:bookmarkStart w:id="12" w:name="__RefHeading___Toc3405_68767826"/>
      <w:bookmarkEnd w:id="12"/>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4" w:name="__RefHeading___Toc3407_68767826"/>
      <w:bookmarkEnd w:id="14"/>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20952</TotalTime>
  <Application>LibreOffice/6.1.3.2$MacOSX_X86_64 LibreOffice_project/86daf60bf00efa86ad547e59e09d6bb77c699acb</Application>
  <Pages>8</Pages>
  <Words>3207</Words>
  <Characters>16758</Characters>
  <CharactersWithSpaces>19859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2022-06-07T22:54:26Z</dcterms:modified>
  <cp:revision>385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