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w:t>
      </w:r>
      <w:r>
        <w:rPr>
          <w:i w:val="false"/>
          <w:iCs w:val="false"/>
        </w:rPr>
        <w:t>m</w:t>
      </w:r>
      <w:r>
        <w:rPr>
          <w:i w:val="false"/>
          <w:iCs w:val="false"/>
        </w:rPr>
        <w:t xml:space="preserve">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sent on long-term loan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3529_2542618767">
            <w:r>
              <w:rPr>
                <w:rStyle w:val="IndexLink"/>
              </w:rPr>
              <w:t>Acknowledgements</w:t>
              <w:tab/>
              <w:t>16</w:t>
            </w:r>
          </w:hyperlink>
        </w:p>
        <w:p>
          <w:pPr>
            <w:pStyle w:val="Contents1"/>
            <w:rPr/>
          </w:pPr>
          <w:hyperlink w:anchor="__RefHeading___Toc3405_68767826">
            <w:r>
              <w:rPr>
                <w:rStyle w:val="IndexLink"/>
              </w:rPr>
              <w:t>References</w:t>
              <w:tab/>
              <w:t>18</w:t>
            </w:r>
          </w:hyperlink>
        </w:p>
        <w:p>
          <w:pPr>
            <w:pStyle w:val="Contents1"/>
            <w:rPr/>
          </w:pPr>
          <w:hyperlink w:anchor="__RefHeading___Toc3407_68767826">
            <w:r>
              <w:rPr>
                <w:rStyle w:val="IndexLink"/>
              </w:rPr>
              <w:t>Figure Captions</w:t>
              <w:tab/>
              <w:t>23</w:t>
            </w:r>
          </w:hyperlink>
        </w:p>
        <w:p>
          <w:pPr>
            <w:pStyle w:val="Contents1"/>
            <w:rPr/>
          </w:pPr>
          <w:hyperlink w:anchor="__RefHeading___Toc4426_1817233446">
            <w:r>
              <w:rPr>
                <w:rStyle w:val="IndexLink"/>
              </w:rPr>
              <w:t>Tables</w:t>
              <w:tab/>
              <w:t>25</w:t>
            </w:r>
          </w:hyperlink>
        </w:p>
        <w:p>
          <w:pPr>
            <w:pStyle w:val="Heading1"/>
            <w:rPr/>
          </w:pPr>
          <w:bookmarkStart w:id="0" w:name="__RefHeading___Toc3809_285692544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w:t>
      </w:r>
      <w:r>
        <w:rPr/>
        <w:t xml:space="preserve">U.S. </w:t>
      </w:r>
      <w:r>
        <w:rPr/>
        <w:t xml:space="preserve">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w:t>
      </w:r>
      <w:r>
        <w:rPr/>
        <w:t xml:space="preserve">state </w:t>
      </w:r>
      <w:r>
        <w:rPr/>
        <w:t>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7;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 confirmed that the molds were collected on or around 14 July. But then the </w:t>
      </w:r>
      <w:r>
        <w:rPr>
          <w:i/>
          <w:iCs/>
        </w:rPr>
        <w:t>Rocky Mount Evening Telegram</w:t>
      </w:r>
      <w:r>
        <w:rPr/>
        <w:t xml:space="preserve">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 xml:space="preserve">2013 (Figure 11A). It then sat in Carpenter’s garage for </w:t>
      </w:r>
      <w:r>
        <w:rPr/>
        <w:t xml:space="preserve">a </w:t>
      </w:r>
      <w:r>
        <w:rPr/>
        <w:t>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ListLabel12"/>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VisitedInternet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3" w:name="__DdeLink__3619_3219802390"/>
      <w:r>
        <w:rPr>
          <w:highlight w:val="yellow"/>
        </w:rPr>
        <w:t xml:space="preserve"> when available</w:t>
      </w:r>
      <w:bookmarkEnd w:id="23"/>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1"/>
        <w:gridCol w:w="1078"/>
        <w:gridCol w:w="1119"/>
        <w:gridCol w:w="2"/>
        <w:gridCol w:w="1100"/>
        <w:gridCol w:w="9"/>
        <w:gridCol w:w="1475"/>
        <w:gridCol w:w="9"/>
        <w:gridCol w:w="1663"/>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2"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6"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2"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2"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2"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2"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9"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63"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2"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2"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2"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2"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2"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2"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2"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2"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mallCaps/>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25</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25</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31923</TotalTime>
  <Application>LibreOffice/7.4.1.2$MacOSX_X86_64 LibreOffice_project/3c58a8f3a960df8bc8fd77b461821e42c061c5f0</Application>
  <AppVersion>15.0000</AppVersion>
  <Pages>25</Pages>
  <Words>11828</Words>
  <Characters>62016</Characters>
  <CharactersWithSpaces>73582</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2022-10-23T08:33:10Z</dcterms:modified>
  <cp:revision>693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