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because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sent on long-term loan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tabs>
          <w:tab w:val="right" w:pos="9638" w:leader="dot"/>
        </w:tabs>
        <w:rPr/>
      </w:pPr>
      <w:hyperlink w:anchor="__RefHeading___Toc3401_68767826">
        <w:r>
          <w:rPr>
            <w:rStyle w:val="IndexLink"/>
          </w:rPr>
          <w:t>Discussion</w:t>
          <w:tab/>
          <w:t>15</w:t>
        </w:r>
      </w:hyperlink>
    </w:p>
    <w:p>
      <w:pPr>
        <w:pStyle w:val="Contents1"/>
        <w:tabs>
          <w:tab w:val="right" w:pos="9638" w:leader="dot"/>
        </w:tabs>
        <w:rPr/>
      </w:pPr>
      <w:hyperlink w:anchor="__RefHeading___Toc3529_2542618767">
        <w:r>
          <w:rPr>
            <w:rStyle w:val="IndexLink"/>
          </w:rPr>
          <w:t>Acknowledgements</w:t>
          <w:tab/>
          <w:t>16</w:t>
        </w:r>
      </w:hyperlink>
    </w:p>
    <w:p>
      <w:pPr>
        <w:pStyle w:val="Contents1"/>
        <w:tabs>
          <w:tab w:val="right" w:pos="9638" w:leader="dot"/>
        </w:tabs>
        <w:rPr/>
      </w:pPr>
      <w:hyperlink w:anchor="__RefHeading___Toc3405_68767826">
        <w:r>
          <w:rPr>
            <w:rStyle w:val="IndexLink"/>
          </w:rPr>
          <w:t>References</w:t>
          <w:tab/>
          <w:t>18</w:t>
        </w:r>
      </w:hyperlink>
    </w:p>
    <w:p>
      <w:pPr>
        <w:pStyle w:val="Contents1"/>
        <w:tabs>
          <w:tab w:val="right" w:pos="9638" w:leader="dot"/>
        </w:tabs>
        <w:rPr/>
      </w:pPr>
      <w:hyperlink w:anchor="__RefHeading___Toc3407_68767826">
        <w:r>
          <w:rPr>
            <w:rStyle w:val="IndexLink"/>
          </w:rPr>
          <w:t>Figure Captions</w:t>
          <w:tab/>
          <w:t>23</w:t>
        </w:r>
      </w:hyperlink>
    </w:p>
    <w:p>
      <w:pPr>
        <w:pStyle w:val="Contents1"/>
        <w:tabs>
          <w:tab w:val="right" w:pos="9638" w:leader="dot"/>
        </w:tabs>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1</w:t>
      </w:r>
      <w:r>
        <w:rPr/>
        <w:t>).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w:t>
      </w:r>
      <w:r>
        <w:rPr/>
        <w:t>2</w:t>
      </w:r>
      <w:r>
        <w:rPr/>
        <w:t>).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 xml:space="preserve">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w:t>
      </w:r>
      <w:r>
        <w:rPr/>
        <w:t>3</w:t>
      </w:r>
      <w:r>
        <w:rPr/>
        <w:t>; Untermann 1959:figures 1, 2).</w:t>
      </w:r>
    </w:p>
    <w:p>
      <w:pPr>
        <w:pStyle w:val="TextBody"/>
        <w:rPr/>
      </w:pPr>
      <w:r>
        <w:rPr/>
        <w:t xml:space="preserve">With this done, the work moved outside. On a concrete base, and surrounded by a chain-link fence — the latter provided by the same Vernal Lions Club that had paid for the molds to be transported — the cast bones were assembled: sacrum and pelvis first (Figure </w:t>
      </w:r>
      <w:r>
        <w:rPr/>
        <w:t>4</w:t>
      </w:r>
      <w:r>
        <w:rPr/>
        <w:t xml:space="preserve">A), then hind limbs, dorsal vertebrae, caudal and cervical vertebrae and skull (Figure </w:t>
      </w:r>
      <w:r>
        <w:rPr/>
        <w:t>4</w:t>
      </w:r>
      <w:r>
        <w:rPr/>
        <w:t>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 xml:space="preserve">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w:t>
      </w:r>
      <w:r>
        <w:rPr/>
        <w:t>5</w:t>
      </w:r>
      <w:r>
        <w:rPr/>
        <w:t xml:space="preserve">). It was repainted on 22 June 1967 (Figure </w:t>
      </w:r>
      <w:r>
        <w:rPr/>
        <w:t>6</w:t>
      </w:r>
      <w:r>
        <w:rPr/>
        <w:t>)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w:t>
      </w:r>
      <w:r>
        <w:rPr/>
        <w:t>7</w:t>
      </w:r>
      <w:r>
        <w:rPr/>
        <w:t xml:space="preserve">;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w:t>
      </w:r>
      <w:r>
        <w:rPr/>
        <w:t>8</w:t>
      </w:r>
      <w:r>
        <w:rPr/>
        <w:t xml:space="preserve">).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w:t>
      </w:r>
      <w:r>
        <w:rPr/>
        <w:t>9</w:t>
      </w:r>
      <w:r>
        <w:rPr/>
        <w:t>).</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 xml:space="preserve">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w:t>
      </w:r>
      <w:r>
        <w:rPr/>
        <w:t>10</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 xml:space="preserve">2013 (Figure </w:t>
      </w:r>
      <w:r>
        <w:rPr/>
        <w:t>11</w:t>
      </w:r>
      <w:r>
        <w:rPr/>
        <w:t xml:space="preserve">A). It then sat in Carpenter’s garage for several years (Figure </w:t>
      </w:r>
      <w:r>
        <w:rPr/>
        <w:t>11</w:t>
      </w:r>
      <w:r>
        <w:rPr/>
        <w:t>B), until Carrie Herbel, a preparator at the Prehistoric Museum obtained a $5000 grant from the Utah Museums Association for the repair of the casts.</w:t>
      </w:r>
    </w:p>
    <w:p>
      <w:pPr>
        <w:pStyle w:val="TextBody"/>
        <w:rPr/>
      </w:pPr>
      <w:r>
        <w:rPr/>
        <w:t xml:space="preserve">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w:t>
      </w:r>
      <w:r>
        <w:rPr/>
        <w:t>12</w:t>
      </w:r>
      <w:r>
        <w:rPr/>
        <w:t>)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w:t>
      </w:r>
      <w:r>
        <w:rPr/>
        <w:t>8</w:t>
      </w:r>
      <w:r>
        <w:rPr/>
        <w:t xml:space="preserve">. Mathew J. Wedel provided the photograph of the Field House’s current </w:t>
      </w:r>
      <w:r>
        <w:rPr>
          <w:i/>
          <w:iCs/>
        </w:rPr>
        <w:t>Diplodocus</w:t>
      </w:r>
      <w:r>
        <w:rPr/>
        <w:t xml:space="preserve"> mount for Figure </w:t>
      </w:r>
      <w:r>
        <w:rPr/>
        <w:t>9</w:t>
      </w:r>
      <w:r>
        <w:rPr/>
        <w:t>. Anthony Pelaez (Museum of Science &amp; Industry, Tampa, FL) provided the photograph of the double-</w:t>
      </w:r>
      <w:r>
        <w:rPr>
          <w:i/>
          <w:iCs/>
        </w:rPr>
        <w:t>Diplodocus</w:t>
      </w:r>
      <w:r>
        <w:rPr/>
        <w:t xml:space="preserve"> mount for Figure </w:t>
      </w:r>
      <w:r>
        <w:rPr/>
        <w:t>10</w:t>
      </w:r>
      <w:r>
        <w:rPr/>
        <w:t>. Andy Farke (Raymond M. Alf Museum of Paleontology) and John Foster (Utah Field House of Natural History) went to great lengths attempting to help us track down references.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FollowedHyper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FollowedHyper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 xml:space="preserve">Figure </w:t>
      </w:r>
      <w:r>
        <w:rPr>
          <w:b/>
          <w:bCs/>
        </w:rPr>
        <w:t>1</w:t>
      </w:r>
      <w:r>
        <w:rPr>
          <w:b/>
          <w:bCs/>
        </w:rPr>
        <w:t>.</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 xml:space="preserve">Figure </w:t>
      </w:r>
      <w:r>
        <w:rPr>
          <w:b/>
          <w:bCs/>
        </w:rPr>
        <w:t>2</w:t>
      </w:r>
      <w:r>
        <w:rPr>
          <w:b/>
          <w:bCs/>
        </w:rPr>
        <w:t>.</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 xml:space="preserve">Figure </w:t>
      </w:r>
      <w:r>
        <w:rPr>
          <w:b/>
          <w:bCs/>
        </w:rPr>
        <w:t>3</w:t>
      </w:r>
      <w:r>
        <w:rPr>
          <w:b/>
          <w:bCs/>
        </w:rPr>
        <w:t>.</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 xml:space="preserve">Figure </w:t>
      </w:r>
      <w:r>
        <w:rPr>
          <w:b/>
          <w:bCs/>
        </w:rPr>
        <w:t>4</w:t>
      </w:r>
      <w:r>
        <w:rPr>
          <w:b/>
          <w:bCs/>
        </w:rPr>
        <w:t>.</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 xml:space="preserve">Figure </w:t>
      </w:r>
      <w:r>
        <w:rPr>
          <w:b/>
          <w:bCs/>
        </w:rPr>
        <w:t>5</w:t>
      </w:r>
      <w:r>
        <w:rPr>
          <w:b/>
          <w:bCs/>
        </w:rPr>
        <w:t>.</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 xml:space="preserve">Figure </w:t>
      </w:r>
      <w:r>
        <w:rPr>
          <w:b/>
          <w:bCs/>
        </w:rPr>
        <w:t>6</w:t>
      </w:r>
      <w:r>
        <w:rPr>
          <w:b/>
          <w:bCs/>
        </w:rPr>
        <w:t>.</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 xml:space="preserve">Figure </w:t>
      </w:r>
      <w:r>
        <w:rPr>
          <w:b/>
          <w:bCs/>
        </w:rPr>
        <w:t>7</w:t>
      </w:r>
      <w:r>
        <w:rPr>
          <w:b/>
          <w:bCs/>
        </w:rPr>
        <w:t>.</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 xml:space="preserve">Figure </w:t>
      </w:r>
      <w:r>
        <w:rPr>
          <w:b/>
          <w:bCs/>
        </w:rPr>
        <w:t>8</w:t>
      </w:r>
      <w:r>
        <w:rPr>
          <w:b/>
          <w:bCs/>
        </w:rPr>
        <w:t>.</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 xml:space="preserve">Figure </w:t>
      </w:r>
      <w:r>
        <w:rPr>
          <w:b/>
          <w:bCs/>
        </w:rPr>
        <w:t>9</w:t>
      </w:r>
      <w:r>
        <w:rPr>
          <w:b/>
          <w:bCs/>
        </w:rPr>
        <w:t>.</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 xml:space="preserve">Figure </w:t>
      </w:r>
      <w:r>
        <w:rPr>
          <w:b/>
          <w:bCs/>
        </w:rPr>
        <w:t>10</w:t>
      </w:r>
      <w:r>
        <w:rPr>
          <w:b/>
          <w:bCs/>
        </w:rPr>
        <w:t>.</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 xml:space="preserve">Figure </w:t>
      </w:r>
      <w:r>
        <w:rPr>
          <w:b/>
          <w:bCs/>
        </w:rPr>
        <w:t>11</w:t>
      </w:r>
      <w:r>
        <w:rPr>
          <w:b/>
          <w:bCs/>
        </w:rPr>
        <w:t>.</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 xml:space="preserve">Figure </w:t>
      </w:r>
      <w:r>
        <w:rPr>
          <w:b/>
          <w:bCs/>
        </w:rPr>
        <w:t>12</w:t>
      </w:r>
      <w:r>
        <w:rPr>
          <w:b/>
          <w:bCs/>
        </w:rPr>
        <w:t>.</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19"/>
        <w:gridCol w:w="2"/>
        <w:gridCol w:w="1099"/>
        <w:gridCol w:w="6"/>
        <w:gridCol w:w="1478"/>
        <w:gridCol w:w="6"/>
        <w:gridCol w:w="1667"/>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1"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1"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5"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7"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1"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1"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header="1134" w:top="1696"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PAGE </w:instrText>
    </w:r>
    <w:r>
      <w:rPr>
        <w:smallCaps/>
        <w:i w:val="false"/>
        <w:iCs w:val="false"/>
      </w:rPr>
      <w:fldChar w:fldCharType="separate"/>
    </w:r>
    <w:r>
      <w:rPr>
        <w:smallCaps/>
        <w:i w:val="false"/>
        <w:iCs w:val="false"/>
      </w:rPr>
      <w:t>24</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NUMPAGES </w:instrText>
    </w:r>
    <w:r>
      <w:rPr>
        <w:smallCaps/>
        <w:i w:val="false"/>
        <w:iCs w:val="false"/>
      </w:rPr>
      <w:fldChar w:fldCharType="separate"/>
    </w:r>
    <w:r>
      <w:rPr>
        <w:smallCaps/>
        <w:i w:val="false"/>
        <w:iCs w:val="false"/>
      </w:rPr>
      <w:t>24</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i w:val="false"/>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i w:val="false"/>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i w:val="false"/>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i w:val="false"/>
    </w:rPr>
  </w:style>
  <w:style w:type="character" w:styleId="ListLabel63">
    <w:name w:val="ListLabel 63"/>
    <w:qFormat/>
    <w:rPr/>
  </w:style>
  <w:style w:type="character" w:styleId="ListLabel64">
    <w:name w:val="ListLabel 64"/>
    <w:qFormat/>
    <w:rPr/>
  </w:style>
  <w:style w:type="character" w:styleId="ListLabel65">
    <w:name w:val="ListLabel 65"/>
    <w:qFormat/>
    <w:rPr/>
  </w:style>
  <w:style w:type="character" w:styleId="ListLabel66">
    <w:name w:val="ListLabel 66"/>
    <w:qFormat/>
    <w:rPr>
      <w:rFonts w:cs="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i w:val="false"/>
    </w:rPr>
  </w:style>
  <w:style w:type="character" w:styleId="ListLabel76">
    <w:name w:val="ListLabel 76"/>
    <w:qFormat/>
    <w:rPr/>
  </w:style>
  <w:style w:type="character" w:styleId="ListLabel77">
    <w:name w:val="ListLabel 77"/>
    <w:qFormat/>
    <w:rPr/>
  </w:style>
  <w:style w:type="character" w:styleId="ListLabel78">
    <w:name w:val="ListLabel 78"/>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31907</TotalTime>
  <Application>LibreOffice/6.1.3.2$MacOSX_X86_64 LibreOffice_project/86daf60bf00efa86ad547e59e09d6bb77c699acb</Application>
  <Pages>24</Pages>
  <Words>11643</Words>
  <Characters>61081</Characters>
  <CharactersWithSpaces>72463</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2022-08-26T16:51:20Z</dcterms:modified>
  <cp:revision>686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