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rPr/>
          </w:pPr>
          <w:hyperlink w:anchor="__RefHeading___Toc3401_68767826">
            <w:r>
              <w:rPr>
                <w:rStyle w:val="IndexLink"/>
              </w:rPr>
              <w:t>Discussion</w:t>
              <w:tab/>
              <w:t>14</w:t>
            </w:r>
          </w:hyperlink>
        </w:p>
        <w:p>
          <w:pPr>
            <w:pStyle w:val="Contents1"/>
            <w:rPr/>
          </w:pPr>
          <w:hyperlink w:anchor="__RefHeading___Toc3529_2542618767">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19</w:t>
            </w:r>
          </w:hyperlink>
        </w:p>
        <w:p>
          <w:pPr>
            <w:pStyle w:val="Contents1"/>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 </w:t>
      </w:r>
      <w:r>
        <w:rPr>
          <w:highlight w:val="yellow"/>
          <w:u w:val="none"/>
        </w:rPr>
        <w:t>XXX Waiting for White to put me in touch with Hicks.</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 xml:space="preserve">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J.A). It then sat in Carpenter’s garage for several years (Figure J.B),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building where it can be displayed outdoors.</w:t>
      </w:r>
    </w:p>
    <w:p>
      <w:pPr>
        <w:pStyle w:val="Heading2"/>
        <w:rPr/>
      </w:pPr>
      <w:bookmarkStart w:id="16" w:name="__RefHeading___Toc3005_1175089729"/>
      <w:bookmarkEnd w:id="16"/>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TextBody"/>
        <w:numPr>
          <w:ilvl w:val="0"/>
          <w:numId w:val="2"/>
        </w:numPr>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8" w:name="__RefHeading___Toc3529_2542618767"/>
      <w:bookmarkEnd w:id="18"/>
      <w:r>
        <w:rPr/>
        <w:t>Acknowledgements</w:t>
      </w:r>
    </w:p>
    <w:p>
      <w:pPr>
        <w:pStyle w:val="TextBody"/>
        <w:rPr/>
      </w:pPr>
      <w:r>
        <w:rPr>
          <w:highlight w:val="yellow"/>
        </w:rPr>
        <w:t>XXX To do</w:t>
      </w:r>
    </w:p>
    <w:p>
      <w:pPr>
        <w:pStyle w:val="TextBody"/>
        <w:rPr/>
      </w:pPr>
      <w:r>
        <w:rPr/>
        <w:t xml:space="preserve">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FigureCaption"/>
        <w:rPr/>
      </w:pPr>
      <w:r>
        <w:rPr/>
        <w:t>Peter May pers. comm.</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true"/>
        <w:ind w:left="0" w:hanging="0"/>
        <w:jc w:val="left"/>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VisitedInternetLink"/>
          </w:rPr>
          <w:t>https://newspapers.lib.utah.edu/ark:/87278/s6b88zdc/22648688</w:t>
        </w:r>
      </w:hyperlink>
    </w:p>
    <w:p>
      <w:pPr>
        <w:pStyle w:val="Reference"/>
        <w:rPr/>
      </w:pPr>
      <w:r>
        <w:rPr/>
        <w:t xml:space="preserve">Anonymous. 2007. James Madsen Obituary. </w:t>
      </w:r>
      <w:hyperlink r:id="rId13">
        <w:r>
          <w:rPr>
            <w:rStyle w:val="InternetLink"/>
          </w:rPr>
          <w:t>https://www.legacy.com/us/obituaries/deseretnews/name/james-madsen-obituary?id=28417430</w:t>
        </w:r>
      </w:hyperlink>
      <w:r>
        <w:rPr/>
        <w:t xml:space="preserve">, archived at </w:t>
      </w:r>
      <w:hyperlink r:id="rId14">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5">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6">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7">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18">
        <w:r>
          <w:rPr>
            <w:rStyle w:val="InternetLink"/>
          </w:rPr>
          <w:t>https://www.tampabay.com/news/business/tourism/mosi-to-close-part-of-its-building-to-save-money-before-move-to-downtown/2324358/</w:t>
        </w:r>
      </w:hyperlink>
      <w:r>
        <w:rPr/>
        <w:t xml:space="preserve">, archived at </w:t>
      </w:r>
      <w:hyperlink r:id="rId19">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0">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1">
        <w:r>
          <w:rPr>
            <w:rStyle w:val="InternetLink"/>
          </w:rPr>
          <w:t>https://archiveswest.orbiscascade.org/ark:/80444/xv38626</w:t>
        </w:r>
      </w:hyperlink>
      <w:r>
        <w:rPr/>
        <w:t xml:space="preserve">, archived at </w:t>
      </w:r>
      <w:hyperlink r:id="rId22">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1" w:name="__DdeLink__20580_446257137"/>
      <w:r>
        <w:rPr/>
        <w:t>Private agreement.</w:t>
      </w:r>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3">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4">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5">
        <w:r>
          <w:rPr>
            <w:rStyle w:val="VisitedInternetLink"/>
          </w:rPr>
          <w:t>https://wusfnews.wusf.usf.edu/news/2017-05-18/mosi-to-close-imax-other-exhibits-in-cost-saving-reconfiguration</w:t>
        </w:r>
      </w:hyperlink>
      <w:r>
        <w:rPr/>
        <w:t xml:space="preserve">, archived at </w:t>
      </w:r>
      <w:hyperlink r:id="rId26">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7">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3" w:name="__RefHeading___Toc3407_68767826"/>
      <w:bookmarkEnd w:id="23"/>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4" w:name="__RefHeading___Toc4426_1817233446"/>
      <w:bookmarkEnd w:id="24"/>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21"/>
        <w:gridCol w:w="1100"/>
        <w:gridCol w:w="1484"/>
        <w:gridCol w:w="1672"/>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21" w:type="dxa"/>
            <w:tcBorders/>
            <w:shd w:fill="auto" w:val="clear"/>
          </w:tcPr>
          <w:p>
            <w:pPr>
              <w:pStyle w:val="TextBody"/>
              <w:widowControl w:val="false"/>
              <w:spacing w:before="0" w:after="140"/>
              <w:rPr>
                <w:b/>
                <w:b/>
                <w:bCs/>
                <w:sz w:val="22"/>
                <w:szCs w:val="22"/>
              </w:rPr>
            </w:pPr>
            <w:r>
              <w:rPr>
                <w:b/>
                <w:bCs/>
                <w:sz w:val="22"/>
                <w:szCs w:val="22"/>
              </w:rPr>
              <w:t>Region</w:t>
            </w:r>
          </w:p>
        </w:tc>
        <w:tc>
          <w:tcPr>
            <w:tcW w:w="1100" w:type="dxa"/>
            <w:tcBorders/>
            <w:shd w:fill="auto" w:val="clear"/>
          </w:tcPr>
          <w:p>
            <w:pPr>
              <w:pStyle w:val="TextBody"/>
              <w:widowControl w:val="false"/>
              <w:spacing w:before="0" w:after="140"/>
              <w:rPr>
                <w:b/>
                <w:b/>
                <w:bCs/>
                <w:sz w:val="22"/>
                <w:szCs w:val="22"/>
              </w:rPr>
            </w:pPr>
            <w:r>
              <w:rPr>
                <w:b/>
                <w:bCs/>
                <w:sz w:val="22"/>
                <w:szCs w:val="22"/>
              </w:rPr>
              <w:t>Country</w:t>
            </w:r>
          </w:p>
        </w:tc>
        <w:tc>
          <w:tcPr>
            <w:tcW w:w="3156"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21" w:type="dxa"/>
            <w:tcBorders/>
            <w:shd w:fill="auto" w:val="clear"/>
          </w:tcPr>
          <w:p>
            <w:pPr>
              <w:pStyle w:val="TextBody"/>
              <w:widowControl w:val="false"/>
              <w:spacing w:before="0" w:after="140"/>
              <w:rPr>
                <w:b/>
                <w:b/>
                <w:bCs/>
                <w:sz w:val="22"/>
                <w:szCs w:val="22"/>
              </w:rPr>
            </w:pPr>
            <w:r>
              <w:rPr>
                <w:b/>
                <w:bCs/>
                <w:sz w:val="22"/>
                <w:szCs w:val="22"/>
              </w:rPr>
            </w:r>
          </w:p>
        </w:tc>
        <w:tc>
          <w:tcPr>
            <w:tcW w:w="1100"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2"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21" w:type="dxa"/>
            <w:tcBorders/>
            <w:shd w:fill="auto" w:val="clear"/>
          </w:tcPr>
          <w:p>
            <w:pPr>
              <w:pStyle w:val="TextBody"/>
              <w:widowControl w:val="false"/>
              <w:spacing w:before="0" w:after="140"/>
              <w:rPr>
                <w:sz w:val="22"/>
                <w:szCs w:val="22"/>
              </w:rPr>
            </w:pPr>
            <w:r>
              <w:rPr>
                <w:sz w:val="22"/>
                <w:szCs w:val="22"/>
              </w:rPr>
              <w:t>Kanagawa</w:t>
            </w:r>
          </w:p>
        </w:tc>
        <w:tc>
          <w:tcPr>
            <w:tcW w:w="1100"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21" w:type="dxa"/>
            <w:tcBorders/>
            <w:shd w:fill="auto" w:val="clear"/>
          </w:tcPr>
          <w:p>
            <w:pPr>
              <w:pStyle w:val="TextBody"/>
              <w:widowControl w:val="false"/>
              <w:spacing w:before="0" w:after="140"/>
              <w:rPr>
                <w:sz w:val="22"/>
                <w:szCs w:val="22"/>
              </w:rPr>
            </w:pPr>
            <w:r>
              <w:rPr>
                <w:sz w:val="22"/>
                <w:szCs w:val="22"/>
              </w:rPr>
              <w:t>Ishikawa</w:t>
            </w:r>
          </w:p>
        </w:tc>
        <w:tc>
          <w:tcPr>
            <w:tcW w:w="1100"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100"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21" w:type="dxa"/>
            <w:tcBorders/>
            <w:shd w:fill="auto" w:val="clear"/>
          </w:tcPr>
          <w:p>
            <w:pPr>
              <w:pStyle w:val="Normal"/>
              <w:widowControl w:val="false"/>
              <w:rPr>
                <w:sz w:val="22"/>
                <w:szCs w:val="22"/>
              </w:rPr>
            </w:pPr>
            <w:r>
              <w:rPr>
                <w:sz w:val="22"/>
                <w:szCs w:val="22"/>
              </w:rPr>
              <w:t>Tokai</w:t>
            </w:r>
          </w:p>
        </w:tc>
        <w:tc>
          <w:tcPr>
            <w:tcW w:w="1100"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21" w:type="dxa"/>
            <w:tcBorders/>
            <w:shd w:fill="auto" w:val="clear"/>
          </w:tcPr>
          <w:p>
            <w:pPr>
              <w:pStyle w:val="Normal"/>
              <w:widowControl w:val="false"/>
              <w:rPr>
                <w:sz w:val="22"/>
                <w:szCs w:val="22"/>
              </w:rPr>
            </w:pPr>
            <w:r>
              <w:rPr>
                <w:sz w:val="22"/>
                <w:szCs w:val="22"/>
              </w:rPr>
              <w:t>Utah</w:t>
            </w:r>
          </w:p>
        </w:tc>
        <w:tc>
          <w:tcPr>
            <w:tcW w:w="1100"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2"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21" w:type="dxa"/>
            <w:tcBorders/>
            <w:shd w:fill="auto" w:val="clear"/>
          </w:tcPr>
          <w:p>
            <w:pPr>
              <w:pStyle w:val="Normal"/>
              <w:widowControl w:val="false"/>
              <w:rPr>
                <w:sz w:val="22"/>
                <w:szCs w:val="22"/>
              </w:rPr>
            </w:pPr>
            <w:r>
              <w:rPr>
                <w:sz w:val="22"/>
                <w:szCs w:val="22"/>
              </w:rPr>
            </w:r>
          </w:p>
        </w:tc>
        <w:tc>
          <w:tcPr>
            <w:tcW w:w="1100"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2"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21" w:type="dxa"/>
            <w:tcBorders/>
            <w:shd w:fill="auto" w:val="clear"/>
          </w:tcPr>
          <w:p>
            <w:pPr>
              <w:pStyle w:val="Normal"/>
              <w:widowControl w:val="false"/>
              <w:rPr>
                <w:sz w:val="22"/>
                <w:szCs w:val="22"/>
              </w:rPr>
            </w:pPr>
            <w:r>
              <w:rPr>
                <w:sz w:val="22"/>
                <w:szCs w:val="22"/>
              </w:rPr>
              <w:t>Florida</w:t>
            </w:r>
          </w:p>
        </w:tc>
        <w:tc>
          <w:tcPr>
            <w:tcW w:w="1100"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2"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21" w:type="dxa"/>
            <w:tcBorders/>
            <w:shd w:fill="auto" w:val="clear"/>
          </w:tcPr>
          <w:p>
            <w:pPr>
              <w:pStyle w:val="Normal"/>
              <w:widowControl w:val="false"/>
              <w:rPr>
                <w:sz w:val="22"/>
                <w:szCs w:val="22"/>
              </w:rPr>
            </w:pPr>
            <w:r>
              <w:rPr>
                <w:sz w:val="22"/>
                <w:szCs w:val="22"/>
              </w:rPr>
              <w:t>Florida</w:t>
            </w:r>
          </w:p>
        </w:tc>
        <w:tc>
          <w:tcPr>
            <w:tcW w:w="1100"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2"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www.legacy.com/us/obituaries/deseretnews/name/james-madsen-obituary?id=28417430" TargetMode="External"/><Relationship Id="rId14" Type="http://schemas.openxmlformats.org/officeDocument/2006/relationships/hyperlink" Target="https://web.archive.org/web/20220424032554/https://www.legacy.com/us/obituaries/deseretnews/name/james-madsen-obituary?id=28417430" TargetMode="External"/><Relationship Id="rId15" Type="http://schemas.openxmlformats.org/officeDocument/2006/relationships/hyperlink" Target="https://newspaperarchive.com/rocky-mount-evening-telegram-may-14-1960-p-2/" TargetMode="External"/><Relationship Id="rId16" Type="http://schemas.openxmlformats.org/officeDocument/2006/relationships/hyperlink" Target="https://newspaperarchive.com/rocky-mount-evening-telegram-jul-08-1960-p-8/" TargetMode="External"/><Relationship Id="rId17" Type="http://schemas.openxmlformats.org/officeDocument/2006/relationships/hyperlink" Target="https://collections.lib.utah.edu/details?id=1086142" TargetMode="External"/><Relationship Id="rId18" Type="http://schemas.openxmlformats.org/officeDocument/2006/relationships/hyperlink" Target="https://www.tampabay.com/news/business/tourism/mosi-to-close-part-of-its-building-to-save-money-before-move-to-downtown/2324358/" TargetMode="External"/><Relationship Id="rId19" Type="http://schemas.openxmlformats.org/officeDocument/2006/relationships/hyperlink" Target="https://web.archive.org/web/20211125120642/https://www.tampabay.com/news/business/tourism/mosi-to-close-part-of-its-building-to-save-money-before-move-to-downtown/2324358/" TargetMode="External"/><Relationship Id="rId20" Type="http://schemas.openxmlformats.org/officeDocument/2006/relationships/hyperlink" Target="https://newspapers.lib.utah.edu/ark:/87278/s62v6594/22643733" TargetMode="External"/><Relationship Id="rId21" Type="http://schemas.openxmlformats.org/officeDocument/2006/relationships/hyperlink" Target="https://archiveswest.orbiscascade.org/ark:/80444/xv38626" TargetMode="External"/><Relationship Id="rId22" Type="http://schemas.openxmlformats.org/officeDocument/2006/relationships/hyperlink" Target="https://web.archive.org/web/20220610005257/https://archiveswest.orbiscascade.org/ark:/80444/xv38626" TargetMode="External"/><Relationship Id="rId23" Type="http://schemas.openxmlformats.org/officeDocument/2006/relationships/hyperlink" Target="https://newspapers.lib.utah.edu/ark:/87278/s6r53f0k/22649899" TargetMode="External"/><Relationship Id="rId24" Type="http://schemas.openxmlformats.org/officeDocument/2006/relationships/hyperlink" Target="http://hdl.handle.net/2246/6497" TargetMode="External"/><Relationship Id="rId25" Type="http://schemas.openxmlformats.org/officeDocument/2006/relationships/hyperlink" Target="https://wusfnews.wusf.usf.edu/news/2017-05-18/mosi-to-close-imax-other-exhibits-in-cost-saving-reconfiguration" TargetMode="External"/><Relationship Id="rId26" Type="http://schemas.openxmlformats.org/officeDocument/2006/relationships/hyperlink" Target="https://web.archive.org/web/20210507091810/https://wusfnews.wusf.usf.edu/news/2017-05-18/mosi-to-close-imax-other-exhibits-in-cost-saving-reconfiguration" TargetMode="External"/><Relationship Id="rId27" Type="http://schemas.openxmlformats.org/officeDocument/2006/relationships/hyperlink" Target="https://newspaperarchive.com/rocky-mount-evening-telegram-apr-24-1960-p-1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31295</TotalTime>
  <Application>LibreOffice/7.3.5.2$Linux_X86_64 LibreOffice_project/30$Build-2</Application>
  <AppVersion>15.0000</AppVersion>
  <Pages>21</Pages>
  <Words>10533</Words>
  <Characters>55137</Characters>
  <CharactersWithSpaces>65398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2022-08-24T15:18:12Z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