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7949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8</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3005_1175089729">
        <w:r>
          <w:rPr>
            <w:rStyle w:val="IndexLink"/>
          </w:rPr>
          <w:t>The fate of the new molds</w:t>
          <w:tab/>
          <w:t>13</w:t>
        </w:r>
      </w:hyperlink>
    </w:p>
    <w:p>
      <w:pPr>
        <w:pStyle w:val="Contents1"/>
        <w:tabs>
          <w:tab w:val="right" w:pos="9638" w:leader="dot"/>
        </w:tabs>
        <w:rPr/>
      </w:pPr>
      <w:hyperlink w:anchor="__RefHeading___Toc3401_68767826">
        <w:r>
          <w:rPr>
            <w:rStyle w:val="IndexLink"/>
          </w:rPr>
          <w:t>Discussion</w:t>
          <w:tab/>
          <w:t>14</w:t>
        </w:r>
      </w:hyperlink>
    </w:p>
    <w:p>
      <w:pPr>
        <w:pStyle w:val="Contents1"/>
        <w:tabs>
          <w:tab w:val="right" w:pos="9638" w:leader="dot"/>
        </w:tabs>
        <w:rPr/>
      </w:pPr>
      <w:hyperlink w:anchor="__RefHeading___Toc3529_2542618767">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19</w:t>
        </w:r>
      </w:hyperlink>
    </w:p>
    <w:p>
      <w:pPr>
        <w:pStyle w:val="Contents1"/>
        <w:tabs>
          <w:tab w:val="right" w:pos="9638" w:leader="dot"/>
        </w:tabs>
        <w:rPr/>
      </w:pPr>
      <w:hyperlink w:anchor="__RefHeading___Toc4426_1817233446">
        <w:r>
          <w:rPr>
            <w:rStyle w:val="IndexLink"/>
          </w:rPr>
          <w:t>Tables</w:t>
          <w:tab/>
          <w:t>21</w:t>
        </w:r>
      </w:hyperlink>
    </w:p>
    <w:p>
      <w:pPr>
        <w:pStyle w:val="Heading1"/>
        <w:rPr/>
      </w:pPr>
      <w:bookmarkStart w:id="0" w:name="__RefHeading___Toc7949_1817233446"/>
      <w:bookmarkEnd w:id="0"/>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Similarly,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A sequence of reports in the Rocky Mount Evening Telegram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 xml:space="preserve">Hurricane Floyd devastated Rocky Mount in 1999, with flooding from the </w:t>
      </w:r>
      <w:r>
        <w:rPr/>
        <w:t xml:space="preserve">Tar </w:t>
      </w:r>
      <w:r>
        <w:rPr/>
        <w:t>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required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t>
      </w:r>
      <w:r>
        <w:rPr/>
        <w:t xml:space="preserve">was </w:t>
      </w:r>
      <w:r>
        <w:rPr/>
        <w:t xml:space="preserve">ever </w:t>
      </w:r>
      <w:r>
        <w:rPr/>
        <w:t>made</w:t>
      </w:r>
      <w:r>
        <w:rPr/>
        <w:t xml:space="preserve">, most staff who worked at the museum in the 1980s do not recall any such cast (Leigh White, pers. comm., 2022).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w:t>
      </w:r>
      <w:r>
        <w:rPr/>
        <w:t xml:space="preserve">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r>
        <w:rPr/>
        <w:t xml:space="preserve">. </w:t>
      </w:r>
      <w:r>
        <w:rPr>
          <w:highlight w:val="yellow"/>
          <w:u w:val="none"/>
        </w:rPr>
        <w:t xml:space="preserve">XXX follow up </w:t>
      </w:r>
      <w:r>
        <w:rPr>
          <w:highlight w:val="yellow"/>
          <w:u w:val="none"/>
        </w:rPr>
        <w:t>with Hicks.</w:t>
      </w:r>
    </w:p>
    <w:p>
      <w:pPr>
        <w:pStyle w:val="TextBody"/>
        <w:rPr/>
      </w:pPr>
      <w:r>
        <w:rPr/>
        <w:t xml:space="preserve">Whether or not a cast was made at Rocky Mount, it is possible that this was not the end for the molds. </w:t>
      </w:r>
      <w:r>
        <w:rPr/>
        <w:t xml:space="preserve">Williams (1960) had written that “the local museum plans to pass the molds on to the next group that makes satisfactory arrangements to acquire them […] Already two inquiries have come to the Children’s Museum asking ‘Who has them next?’”. </w:t>
      </w:r>
      <w:r>
        <w:rPr/>
        <w:t xml:space="preserve">Rea (2001:210) </w:t>
      </w:r>
      <w:r>
        <w:rPr/>
        <w:t>claims that</w:t>
      </w:r>
      <w:r>
        <w:rPr/>
        <w:t xml:space="preserve">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w:t>
      </w:r>
      <w:r>
        <w:rPr/>
        <w:t xml:space="preserve">verify that </w:t>
      </w:r>
      <w:r>
        <w:rPr/>
        <w:t>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 xml:space="preserve">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w:t>
      </w:r>
      <w:r>
        <w:rPr/>
        <w:t xml:space="preserve">it might seem that </w:t>
      </w:r>
      <w:r>
        <w:rPr/>
        <w:t xml:space="preserve">“a school down south” could not have referred, in a Utah publication, to a museum out east. </w:t>
      </w:r>
      <w:r>
        <w:rPr/>
        <w:t>On the same basis, t</w:t>
      </w:r>
      <w:r>
        <w:rPr/>
        <w:t xml:space="preserve">he Houston museum </w:t>
      </w:r>
      <w:r>
        <w:rPr/>
        <w:t xml:space="preserve">would </w:t>
      </w:r>
      <w:r>
        <w:rPr/>
        <w:t xml:space="preserve">not seem an especially likely candidate for this designation, being 1300 miles southeast of Vernal. </w:t>
      </w:r>
      <w:r>
        <w:rPr/>
        <w:t>However, “down South” in the USA does not necessarily refer to geography, but the “the South”, an area composed mostly of the Confederate states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This may have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and a letter from RMS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 xml:space="preserve">Dinolab was contracted to deliver the indoor mount to the Field House not later than </w:t>
      </w:r>
      <w:r>
        <w:rPr/>
        <w:t xml:space="preserve">30 </w:t>
      </w:r>
      <w:r>
        <w:rPr/>
        <w:t>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w:t>
      </w:r>
      <w:r>
        <w:rPr/>
        <w:t xml:space="preserve">22 </w:t>
      </w:r>
      <w:r>
        <w:rPr/>
        <w:t>May 2004. The WEP cast was taken down and remounted in a more dynamic pose in the entry hall of the new museum, where it remains to this day (Figure I).</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 xml:space="preserve">XXX Anthony Pelaez </w:t>
      </w:r>
      <w:r>
        <w:rPr>
          <w:shd w:fill="FFFF00" w:val="clear"/>
        </w:rPr>
        <w:t>says this was RCI. Awaiting confirmation from Peter May.</w:t>
      </w:r>
    </w:p>
    <w:p>
      <w:pPr>
        <w:pStyle w:val="TextBody"/>
        <w:rPr/>
      </w:pPr>
      <w:r>
        <w:rPr/>
        <w:t xml:space="preserve">In addition to providing complete casts of </w:t>
      </w:r>
      <w:r>
        <w:rPr>
          <w:i/>
          <w:iCs/>
        </w:rPr>
        <w:t>Diplodocus carnegii</w:t>
      </w:r>
      <w:r>
        <w:rPr/>
        <w:t xml:space="preserve">, </w:t>
      </w:r>
      <w:r>
        <w:rPr/>
        <w:t xml:space="preserve">Dinolab negotiated the right to use the Vernal molds to create individual elements for various museums (Madsen et al. 1989:1). In 1989 or 1990, sauropod expert </w:t>
      </w:r>
      <w:r>
        <w:rPr/>
        <w:t xml:space="preserve">Jack McIntosh </w:t>
      </w:r>
      <w:r>
        <w:rPr/>
        <w:t xml:space="preserve">helped to broker </w:t>
      </w:r>
      <w:r>
        <w:rPr/>
        <w:t>a deal between Dinolab and RCI whereby the Dinolab create</w:t>
      </w:r>
      <w:r>
        <w:rPr/>
        <w:t>d</w:t>
      </w:r>
      <w:r>
        <w:rPr/>
        <w:t xml:space="preserve"> casts of the </w:t>
      </w:r>
      <w:r>
        <w:rPr>
          <w:i/>
          <w:iCs/>
        </w:rPr>
        <w:t>Diplodocus</w:t>
      </w:r>
      <w:r>
        <w:rPr/>
        <w:t xml:space="preserve"> elements needed to make up the missing part</w:t>
      </w:r>
      <w:r>
        <w:rPr/>
        <w:t>s</w:t>
      </w:r>
      <w:r>
        <w:rPr/>
        <w:t xml:space="preserve">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 xml:space="preserve">The contract that the Utah Field House negotiated with </w:t>
      </w:r>
      <w:r>
        <w:rPr/>
        <w:t>Dinolab (Madsen et al. 1989) stipulated that the 1957 concrete cast, having been repaired, would be returned to the Field House. But when the cast was returned to them some time before the end of June 1991, it was not a simple matter to re-mount it outside the museum, as the scaffolding on which was mounted had been cut in order to take it down (Anonymous 1991). As a result, t</w:t>
      </w:r>
      <w:r>
        <w:rPr/>
        <w:t xml:space="preserve">he old </w:t>
      </w:r>
      <w:r>
        <w:rPr/>
        <w:t>cast</w:t>
      </w:r>
      <w:r>
        <w:rPr/>
        <w:t xml:space="preserve"> was never remounted </w:t>
      </w:r>
      <w:r>
        <w:rPr/>
        <w:t>at the Field House, and was instead stored in the building crawl space.</w:t>
      </w:r>
    </w:p>
    <w:p>
      <w:pPr>
        <w:pStyle w:val="TextBody"/>
        <w:rPr/>
      </w:pPr>
      <w:r>
        <w:rPr/>
        <w:t xml:space="preserve">As noted above, </w:t>
      </w:r>
      <w:r>
        <w:rPr/>
        <w:t>t</w:t>
      </w:r>
      <w:r>
        <w:rPr/>
        <w:t xml:space="preserve">he Field House </w:t>
      </w:r>
      <w:r>
        <w:rPr/>
        <w:t xml:space="preserve">Museum </w:t>
      </w:r>
      <w:r>
        <w:rPr/>
        <w:t>move</w:t>
      </w:r>
      <w:r>
        <w:rPr/>
        <w:t xml:space="preserve">d </w:t>
      </w:r>
      <w:r>
        <w:rPr/>
        <w:t xml:space="preserve">to a new </w:t>
      </w:r>
      <w:r>
        <w:rPr/>
        <w:t xml:space="preserve">purpose-built </w:t>
      </w:r>
      <w:r>
        <w:rPr/>
        <w:t xml:space="preserve">building </w:t>
      </w:r>
      <w:r>
        <w:rPr/>
        <w:t xml:space="preserve">on 22 </w:t>
      </w:r>
      <w:r>
        <w:rPr/>
        <w:t xml:space="preserve">May 2004, and the WEP cast </w:t>
      </w:r>
      <w:r>
        <w:rPr/>
        <w:t>was</w:t>
      </w:r>
      <w:r>
        <w:rPr/>
        <w:t xml:space="preserve"> remounted in the entry hall. The concrete cast was left behind </w:t>
      </w:r>
      <w:r>
        <w:rPr/>
        <w:t xml:space="preserve">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w:t>
      </w:r>
      <w:r>
        <w:rPr/>
        <w:t xml:space="preserve">repository aisle. </w:t>
      </w:r>
      <w:r>
        <w:rPr/>
        <w:t>It was apparent that, despite the concrete cast’s important role in the museum’s history, it was no longer wanted.</w:t>
      </w:r>
    </w:p>
    <w:p>
      <w:pPr>
        <w:pStyle w:val="TextBody"/>
        <w:rPr/>
      </w:pPr>
      <w:r>
        <w:rPr/>
        <w:t xml:space="preserve">Steve </w:t>
      </w:r>
      <w:r>
        <w:rPr/>
        <w:t xml:space="preserve">Sroka, the museum palaeontologist, </w:t>
      </w:r>
      <w:r>
        <w:rPr/>
        <w:t xml:space="preserve">contacted </w:t>
      </w:r>
      <w:r>
        <w:rPr/>
        <w:t xml:space="preserve">Ken Carpenter to ask whether Utah State University (USU) could take the cast, </w:t>
      </w:r>
      <w:r>
        <w:rPr/>
        <w:t xml:space="preserve">since it was state property </w:t>
      </w:r>
      <w:r>
        <w:rPr/>
        <w:t xml:space="preserve">and </w:t>
      </w:r>
      <w:r>
        <w:rPr/>
        <w:t xml:space="preserve">so had to go to a state repository.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in April 2013 (Figure J). </w:t>
      </w:r>
      <w:r>
        <w:rPr/>
        <w:t xml:space="preserve">It then </w:t>
      </w:r>
      <w:r>
        <w:rPr/>
        <w:t xml:space="preserve">sat in </w:t>
      </w:r>
      <w:r>
        <w:rPr/>
        <w:t xml:space="preserve">Carpenter’s </w:t>
      </w:r>
      <w:r>
        <w:rPr/>
        <w:t xml:space="preserve">garage for several years, </w:t>
      </w:r>
      <w:r>
        <w:rPr/>
        <w:t>until t</w:t>
      </w:r>
      <w:r>
        <w:rPr/>
        <w:t xml:space="preserve">he </w:t>
      </w:r>
      <w:r>
        <w:rPr/>
        <w:t>Prehistoric M</w:t>
      </w:r>
      <w:r>
        <w:rPr/>
        <w:t>useum obtained a $5000 grant from the Utah Museums Association for the repair of the casts.</w:t>
      </w:r>
    </w:p>
    <w:p>
      <w:pPr>
        <w:pStyle w:val="TextBody"/>
        <w:rPr/>
      </w:pPr>
      <w:r>
        <w:rPr/>
        <w:t xml:space="preserve">Given that the casts had been in storage since Dinolab’s 1989–1990 repairs, when they undertook to “Stabilize, restore and seal the concrete casts of the </w:t>
      </w:r>
      <w:r>
        <w:rPr/>
        <w:t xml:space="preserve">individual bones”, </w:t>
      </w:r>
      <w:r>
        <w:rPr/>
        <w:t xml:space="preserve">it is surprising that the Prehistoric Museum found </w:t>
      </w:r>
      <w:r>
        <w:rPr/>
        <w:t xml:space="preserve">every bone </w:t>
      </w:r>
      <w:r>
        <w:rPr/>
        <w:t xml:space="preserve">to be </w:t>
      </w:r>
      <w:r>
        <w:rPr/>
        <w:t xml:space="preserve">damaged. </w:t>
      </w:r>
      <w:r>
        <w:rPr/>
        <w:t>I</w:t>
      </w:r>
      <w:r>
        <w:rPr/>
        <w:t xml:space="preserve">t took preparator Carrie Herbel nine months to sandblast the old paint off, </w:t>
      </w:r>
      <w:r>
        <w:rPr/>
        <w:t xml:space="preserve">and </w:t>
      </w:r>
      <w:r>
        <w:rPr/>
        <w:t xml:space="preserve">repair the broken and missing pieces using a concrete patch used to </w:t>
      </w:r>
      <w:r>
        <w:rPr/>
        <w:t>repair</w:t>
      </w:r>
      <w:r>
        <w:rPr/>
        <w:t xml:space="preserve"> airport runways.</w:t>
      </w:r>
    </w:p>
    <w:p>
      <w:pPr>
        <w:pStyle w:val="TextBody"/>
        <w:rPr/>
      </w:pPr>
      <w:r>
        <w:rPr/>
        <w:t xml:space="preserve">The intention was that the cast would be </w:t>
      </w:r>
      <w:r>
        <w:rPr/>
        <w:t xml:space="preserve">mounted outside a new museum in Price, which was </w:t>
      </w:r>
      <w:r>
        <w:rPr/>
        <w:t xml:space="preserve">then </w:t>
      </w:r>
      <w:r>
        <w:rPr/>
        <w:t xml:space="preserve">in the planning and fund-raising stage. </w:t>
      </w:r>
      <w:r>
        <w:rPr/>
        <w:t>B</w:t>
      </w:r>
      <w:r>
        <w:rPr/>
        <w:t xml:space="preserve">ut </w:t>
      </w:r>
      <w:r>
        <w:rPr/>
        <w:t>due to funding difficulties</w:t>
      </w:r>
      <w:r>
        <w:rPr/>
        <w:t xml:space="preserve"> this museum was never built and the land that had been donated for </w:t>
      </w:r>
      <w:r>
        <w:rPr/>
        <w:t>the</w:t>
      </w:r>
      <w:r>
        <w:rPr/>
        <w:t xml:space="preserve"> museum was returned to the donor. </w:t>
      </w:r>
      <w:r>
        <w:rPr/>
        <w:t>In light of these developments</w:t>
      </w:r>
      <w:r>
        <w:rPr/>
        <w:t xml:space="preserve">, the </w:t>
      </w:r>
      <w:r>
        <w:rPr/>
        <w:t>Carpenter discussed with the USU c</w:t>
      </w:r>
      <w:r>
        <w:rPr/>
        <w:t xml:space="preserve">hancellor the </w:t>
      </w:r>
      <w:r>
        <w:rPr/>
        <w:t xml:space="preserve">possibility </w:t>
      </w:r>
      <w:r>
        <w:rPr/>
        <w:t xml:space="preserve">of </w:t>
      </w:r>
      <w:r>
        <w:rPr/>
        <w:t xml:space="preserve">temporarily </w:t>
      </w:r>
      <w:r>
        <w:rPr/>
        <w:t>mounting the skeleton on campus</w:t>
      </w:r>
      <w:r>
        <w:rPr/>
        <w:t>.</w:t>
      </w:r>
      <w:r>
        <w:rPr/>
        <w:t xml:space="preserve"> However, </w:t>
      </w:r>
      <w:r>
        <w:rPr/>
        <w:t>this idea was not pursued</w:t>
      </w:r>
      <w:r>
        <w:rPr/>
        <w:t xml:space="preserve"> since </w:t>
      </w:r>
      <w:r>
        <w:rPr/>
        <w:t xml:space="preserve">Carpenter feared that </w:t>
      </w:r>
      <w:r>
        <w:rPr/>
        <w:t xml:space="preserve">mounting and later dismantling </w:t>
      </w:r>
      <w:r>
        <w:rPr/>
        <w:t xml:space="preserve">the cast </w:t>
      </w:r>
      <w:r>
        <w:rPr/>
        <w:t xml:space="preserve">to move </w:t>
      </w:r>
      <w:r>
        <w:rPr/>
        <w:t xml:space="preserve">it </w:t>
      </w:r>
      <w:r>
        <w:rPr/>
        <w:t xml:space="preserve">to a new museum would </w:t>
      </w:r>
      <w:r>
        <w:rPr/>
        <w:t>damage it</w:t>
      </w:r>
      <w:r>
        <w:rPr/>
        <w:t xml:space="preserve">. So it currently sits in </w:t>
      </w:r>
      <w:r>
        <w:rPr/>
        <w:t xml:space="preserve">the basement </w:t>
      </w:r>
      <w:r>
        <w:rPr/>
        <w:t xml:space="preserve">storage </w:t>
      </w:r>
      <w:r>
        <w:rPr/>
        <w:t xml:space="preserve">area </w:t>
      </w:r>
      <w:r>
        <w:rPr/>
        <w:t xml:space="preserve">on the </w:t>
      </w:r>
      <w:bookmarkStart w:id="14" w:name="__DdeLink__701_1817233446"/>
      <w:r>
        <w:rPr/>
        <w:t>Utah State University Eastern campus</w:t>
      </w:r>
      <w:bookmarkEnd w:id="14"/>
      <w:r>
        <w:rPr/>
        <w:t>, waiting for a new museum building where it can be displayed outdoors.</w:t>
      </w:r>
    </w:p>
    <w:p>
      <w:pPr>
        <w:pStyle w:val="Heading2"/>
        <w:rPr/>
      </w:pPr>
      <w:bookmarkStart w:id="15" w:name="__RefHeading___Toc3005_1175089729"/>
      <w:bookmarkEnd w:id="15"/>
      <w:r>
        <w:rPr/>
        <w:t>The fate of the new molds</w:t>
      </w:r>
    </w:p>
    <w:p>
      <w:pPr>
        <w:pStyle w:val="TextBody"/>
        <w:rPr/>
      </w:pPr>
      <w:r>
        <w:rPr/>
        <w:t xml:space="preserve">Dinolab proprietor Jim Madsen died in 2009 at age 77 (Anonymous 2007), and Dinolab began to wind down. In </w:t>
      </w:r>
      <w:r>
        <w:rPr/>
        <w:t>2019, Dinolab’</w:t>
      </w:r>
      <w:r>
        <w:rPr/>
        <w:t xml:space="preserve">s </w:t>
      </w:r>
      <w:r>
        <w:rPr/>
        <w:t xml:space="preserve">storage </w:t>
      </w:r>
      <w:r>
        <w:rPr/>
        <w:t xml:space="preserve">building </w:t>
      </w:r>
      <w:r>
        <w:rPr/>
        <w:t xml:space="preserve">in Ogden, Utah, </w:t>
      </w:r>
      <w:r>
        <w:rPr/>
        <w:t>wa</w:t>
      </w:r>
      <w:r>
        <w:rPr/>
        <w:t xml:space="preserve">s scheduled for demolition, </w:t>
      </w:r>
      <w:r>
        <w:rPr/>
        <w:t>so new homes had to be found for the stored materials</w:t>
      </w:r>
      <w:r>
        <w:rPr/>
        <w:t xml:space="preserve">. The </w:t>
      </w:r>
      <w:r>
        <w:rPr>
          <w:i/>
          <w:iCs/>
        </w:rPr>
        <w:t>Diplodocus</w:t>
      </w:r>
      <w:r>
        <w:rPr/>
        <w:t xml:space="preserve"> molds that </w:t>
      </w:r>
      <w:r>
        <w:rPr/>
        <w:t xml:space="preserve">had been </w:t>
      </w:r>
      <w:r>
        <w:rPr/>
        <w:t xml:space="preserve">taken from the concrete cast </w:t>
      </w:r>
      <w:r>
        <w:rPr/>
        <w:t>we</w:t>
      </w:r>
      <w:r>
        <w:rPr/>
        <w:t xml:space="preserve">re moved to </w:t>
      </w:r>
      <w:r>
        <w:rPr/>
        <w:t>Research Casting Internation (</w:t>
      </w:r>
      <w:r>
        <w:rPr/>
        <w:t>RCI</w:t>
      </w:r>
      <w:r>
        <w:rPr/>
        <w:t xml:space="preserve">) in Trenton, Ontario, Canada. Here, they were </w:t>
      </w:r>
      <w:r>
        <w:rPr/>
        <w:t xml:space="preserve">kept in storage: some </w:t>
      </w:r>
      <w:r>
        <w:rPr/>
        <w:t xml:space="preserve">of them still </w:t>
      </w:r>
      <w:r>
        <w:rPr/>
        <w:t xml:space="preserve">in good condition, some in rough shape. </w:t>
      </w:r>
      <w:r>
        <w:rPr/>
        <w:t>At the time of wring, t</w:t>
      </w:r>
      <w:r>
        <w:rPr/>
        <w:t xml:space="preserve">hese are probably the only Carnegie </w:t>
      </w:r>
      <w:r>
        <w:rPr>
          <w:i/>
          <w:iCs/>
        </w:rPr>
        <w:t>Diplodocus</w:t>
      </w:r>
      <w:r>
        <w:rPr/>
        <w:t xml:space="preserve"> molds in the world.</w:t>
      </w:r>
    </w:p>
    <w:p>
      <w:pPr>
        <w:pStyle w:val="TextBody"/>
        <w:rPr>
          <w:highlight w:val="yellow"/>
        </w:rPr>
      </w:pPr>
      <w:r>
        <w:rPr>
          <w:highlight w:val="yellow"/>
        </w:rPr>
        <w:t>XXX talk to Brian Curtice</w:t>
      </w:r>
    </w:p>
    <w:p>
      <w:pPr>
        <w:pStyle w:val="Heading1"/>
        <w:numPr>
          <w:ilvl w:val="0"/>
          <w:numId w:val="2"/>
        </w:numPr>
        <w:rPr/>
      </w:pPr>
      <w:bookmarkStart w:id="16" w:name="__RefHeading___Toc3401_68767826"/>
      <w:bookmarkEnd w:id="16"/>
      <w:r>
        <w:rPr/>
        <w:t>Discussion</w:t>
      </w:r>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 I suppose most endings are sad, but the project definitely has a melancholy feel.</w:t>
      </w:r>
    </w:p>
    <w:p>
      <w:pPr>
        <w:pStyle w:val="TextBody"/>
        <w:numPr>
          <w:ilvl w:val="0"/>
          <w:numId w:val="2"/>
        </w:numPr>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7" w:name="__RefHeading___Toc3529_2542618767"/>
      <w:bookmarkEnd w:id="17"/>
      <w:r>
        <w:rPr/>
        <w:t>Acknowledgements</w:t>
      </w:r>
    </w:p>
    <w:p>
      <w:pPr>
        <w:pStyle w:val="TextBody"/>
        <w:rPr/>
      </w:pPr>
      <w:r>
        <w:rPr>
          <w:highlight w:val="yellow"/>
        </w:rPr>
        <w:t>XXX To do</w:t>
      </w:r>
    </w:p>
    <w:p>
      <w:pPr>
        <w:pStyle w:val="TextBody"/>
        <w:rPr/>
      </w:pPr>
      <w:r>
        <w:rPr/>
        <w:t>P</w:t>
      </w:r>
      <w:r>
        <w:rPr/>
        <w:t xml:space="preserve">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rPr/>
      </w:pPr>
      <w:r>
        <w:rPr/>
        <w:t>John Foster</w:t>
      </w:r>
    </w:p>
    <w:p>
      <w:pPr>
        <w:pStyle w:val="TextBody"/>
        <w:rPr/>
      </w:pPr>
      <w:r>
        <w:rPr/>
        <w:t>Ilja Niewland’s unparalleled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FigureCaption"/>
        <w:rPr/>
      </w:pPr>
      <w:r>
        <w:rPr/>
        <w:t xml:space="preserve">Chris Madsen identified his father’s manuscript (Madsen 1990); he and his sister Lisa gave permission to list Dinolab’s records of what </w:t>
      </w:r>
      <w:r>
        <w:rPr>
          <w:i/>
          <w:iCs/>
        </w:rPr>
        <w:t>Diplodocus</w:t>
      </w:r>
      <w:r>
        <w:rPr/>
        <w:t xml:space="preserve"> casts they created from the Vernal molds.</w:t>
      </w:r>
    </w:p>
    <w:p>
      <w:pPr>
        <w:pStyle w:val="TextBody"/>
        <w:rPr/>
      </w:pPr>
      <w:r>
        <w:rPr/>
        <w:t>All other pers. Comms.</w:t>
      </w:r>
    </w:p>
    <w:p>
      <w:pPr>
        <w:pStyle w:val="TextBody"/>
        <w:rPr/>
      </w:pPr>
      <w:r>
        <w:rPr/>
        <w:t>XXX More to follow.</w:t>
      </w:r>
    </w:p>
    <w:p>
      <w:pPr>
        <w:pStyle w:val="Heading1"/>
        <w:widowControl/>
        <w:numPr>
          <w:ilvl w:val="0"/>
          <w:numId w:val="0"/>
        </w:numPr>
        <w:suppressAutoHyphens w:val="true"/>
        <w:overflowPunct w:val="true"/>
        <w:ind w:left="0" w:hanging="0"/>
        <w:jc w:val="left"/>
        <w:rPr/>
      </w:pPr>
      <w:r>
        <w:rPr/>
      </w:r>
      <w:r>
        <w:br w:type="page"/>
      </w:r>
    </w:p>
    <w:p>
      <w:pPr>
        <w:pStyle w:val="Heading1"/>
        <w:numPr>
          <w:ilvl w:val="0"/>
          <w:numId w:val="2"/>
        </w:numPr>
        <w:rPr/>
      </w:pPr>
      <w:bookmarkStart w:id="18" w:name="__RefHeading___Toc3405_68767826"/>
      <w:bookmarkEnd w:id="18"/>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7">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hyperlink r:id="rId10">
        <w:r>
          <w:rPr>
            <w:rStyle w:val="ListLabel12"/>
          </w:rPr>
          <w:t xml:space="preserve">Anonymous. 1991. Dippy returns as beast of new mold. </w:t>
        </w:r>
      </w:hyperlink>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 xml:space="preserve">Anonymous. 2007. James Madsen Obituary. </w:t>
      </w:r>
      <w:hyperlink r:id="rId13">
        <w:r>
          <w:rPr>
            <w:rStyle w:val="InternetLink"/>
          </w:rPr>
          <w:t>https://www.legacy.com/us/obituaries/deseretnews/name/james-madsen-obituary?id=28417430</w:t>
        </w:r>
      </w:hyperlink>
      <w:r>
        <w:rPr/>
        <w:t xml:space="preserve">, archived at </w:t>
      </w:r>
      <w:hyperlink r:id="rId14">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5">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6">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7">
        <w:r>
          <w:rPr>
            <w:rStyle w:val="InternetLink"/>
          </w:rPr>
          <w:t>https://collections.lib.utah.edu/details?id=1086142</w:t>
        </w:r>
      </w:hyperlink>
    </w:p>
    <w:p>
      <w:pPr>
        <w:pStyle w:val="Reference"/>
        <w:rPr/>
      </w:pPr>
      <w:bookmarkStart w:id="19" w:name="__DdeLink__11501_941453575"/>
      <w:r>
        <w:rPr/>
        <w:t>Contorno</w:t>
      </w:r>
      <w:bookmarkEnd w:id="19"/>
      <w:r>
        <w:rPr/>
        <w:t xml:space="preserve">, Steve. 2017. MOSI to close most of its building, IMAX to save money before move to downtown Tampa. </w:t>
      </w:r>
      <w:r>
        <w:rPr>
          <w:i/>
          <w:iCs/>
        </w:rPr>
        <w:t>Tampa Bay Times</w:t>
      </w:r>
      <w:r>
        <w:rPr/>
        <w:t xml:space="preserve">, 18 May 2017. </w:t>
      </w:r>
      <w:hyperlink r:id="rId18">
        <w:r>
          <w:rPr>
            <w:rStyle w:val="InternetLink"/>
          </w:rPr>
          <w:t>https://www.tampabay.com/news/business/tourism/mosi-to-close-part-of-its-building-to-save-money-before-move-to-downtown/2324358/</w:t>
        </w:r>
      </w:hyperlink>
      <w:r>
        <w:rPr/>
        <w:t xml:space="preserve">, archived at </w:t>
      </w:r>
      <w:hyperlink r:id="rId19">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0">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21">
        <w:r>
          <w:rPr>
            <w:rStyle w:val="InternetLink"/>
          </w:rPr>
          <w:t>https://archiveswest.orbiscascade.org/ark:/80444/xv38626</w:t>
        </w:r>
      </w:hyperlink>
      <w:r>
        <w:rPr/>
        <w:t xml:space="preserve">, archived at </w:t>
      </w:r>
      <w:hyperlink r:id="rId22">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20" w:name="__DdeLink__20580_446257137"/>
      <w:r>
        <w:rPr/>
        <w:t>Private agreement.</w:t>
      </w:r>
      <w:bookmarkEnd w:id="20"/>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3">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4">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5">
        <w:r>
          <w:rPr>
            <w:rStyle w:val="FollowedHyperlink"/>
          </w:rPr>
          <w:t>https://wusfnews.wusf.usf.edu/news/2017-05-18/mosi-to-close-imax-other-exhibits-in-cost-saving-reconfiguration</w:t>
        </w:r>
      </w:hyperlink>
      <w:r>
        <w:rPr/>
        <w:t xml:space="preserve">, archived at </w:t>
      </w:r>
      <w:hyperlink r:id="rId26">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27">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2" w:name="__RefHeading___Toc3407_68767826"/>
      <w:bookmarkEnd w:id="22"/>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3" w:name="__RefHeading___Toc4426_1817233446"/>
      <w:bookmarkEnd w:id="23"/>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5"/>
        <w:gridCol w:w="1124"/>
        <w:gridCol w:w="1097"/>
        <w:gridCol w:w="1484"/>
        <w:gridCol w:w="1675"/>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5" w:type="dxa"/>
            <w:tcBorders/>
            <w:shd w:fill="auto" w:val="clear"/>
          </w:tcPr>
          <w:p>
            <w:pPr>
              <w:pStyle w:val="TextBody"/>
              <w:widowControl w:val="false"/>
              <w:spacing w:before="0" w:after="140"/>
              <w:rPr>
                <w:b/>
                <w:b/>
                <w:bCs/>
                <w:sz w:val="22"/>
                <w:szCs w:val="22"/>
              </w:rPr>
            </w:pPr>
            <w:r>
              <w:rPr>
                <w:b/>
                <w:bCs/>
                <w:sz w:val="22"/>
                <w:szCs w:val="22"/>
              </w:rPr>
              <w:t>City</w:t>
            </w:r>
          </w:p>
        </w:tc>
        <w:tc>
          <w:tcPr>
            <w:tcW w:w="1124" w:type="dxa"/>
            <w:tcBorders/>
            <w:shd w:fill="auto" w:val="clear"/>
          </w:tcPr>
          <w:p>
            <w:pPr>
              <w:pStyle w:val="TextBody"/>
              <w:widowControl w:val="false"/>
              <w:spacing w:before="0" w:after="140"/>
              <w:rPr>
                <w:b/>
                <w:b/>
                <w:bCs/>
                <w:sz w:val="22"/>
                <w:szCs w:val="22"/>
              </w:rPr>
            </w:pPr>
            <w:r>
              <w:rPr>
                <w:b/>
                <w:bCs/>
                <w:sz w:val="22"/>
                <w:szCs w:val="22"/>
              </w:rPr>
              <w:t>Region</w:t>
            </w:r>
          </w:p>
        </w:tc>
        <w:tc>
          <w:tcPr>
            <w:tcW w:w="1097" w:type="dxa"/>
            <w:tcBorders/>
            <w:shd w:fill="auto" w:val="clear"/>
          </w:tcPr>
          <w:p>
            <w:pPr>
              <w:pStyle w:val="TextBody"/>
              <w:widowControl w:val="false"/>
              <w:spacing w:before="0" w:after="140"/>
              <w:rPr>
                <w:b/>
                <w:b/>
                <w:bCs/>
                <w:sz w:val="22"/>
                <w:szCs w:val="22"/>
              </w:rPr>
            </w:pPr>
            <w:r>
              <w:rPr>
                <w:b/>
                <w:bCs/>
                <w:sz w:val="22"/>
                <w:szCs w:val="22"/>
              </w:rPr>
              <w:t>Country</w:t>
            </w:r>
          </w:p>
        </w:tc>
        <w:tc>
          <w:tcPr>
            <w:tcW w:w="3159" w:type="dxa"/>
            <w:gridSpan w:val="2"/>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5" w:type="dxa"/>
            <w:tcBorders/>
            <w:shd w:fill="auto" w:val="clear"/>
          </w:tcPr>
          <w:p>
            <w:pPr>
              <w:pStyle w:val="TextBody"/>
              <w:widowControl w:val="false"/>
              <w:spacing w:before="0" w:after="140"/>
              <w:rPr>
                <w:b/>
                <w:b/>
                <w:bCs/>
                <w:sz w:val="22"/>
                <w:szCs w:val="22"/>
              </w:rPr>
            </w:pPr>
            <w:r>
              <w:rPr>
                <w:b/>
                <w:bCs/>
                <w:sz w:val="22"/>
                <w:szCs w:val="22"/>
              </w:rPr>
            </w:r>
          </w:p>
        </w:tc>
        <w:tc>
          <w:tcPr>
            <w:tcW w:w="1124" w:type="dxa"/>
            <w:tcBorders/>
            <w:shd w:fill="auto" w:val="clear"/>
          </w:tcPr>
          <w:p>
            <w:pPr>
              <w:pStyle w:val="TextBody"/>
              <w:widowControl w:val="false"/>
              <w:spacing w:before="0" w:after="140"/>
              <w:rPr>
                <w:b/>
                <w:b/>
                <w:bCs/>
                <w:sz w:val="22"/>
                <w:szCs w:val="22"/>
              </w:rPr>
            </w:pPr>
            <w:r>
              <w:rPr>
                <w:b/>
                <w:bCs/>
                <w:sz w:val="22"/>
                <w:szCs w:val="22"/>
              </w:rPr>
            </w:r>
          </w:p>
        </w:tc>
        <w:tc>
          <w:tcPr>
            <w:tcW w:w="1097" w:type="dxa"/>
            <w:tcBorders/>
            <w:shd w:fill="auto" w:val="clear"/>
          </w:tcPr>
          <w:p>
            <w:pPr>
              <w:pStyle w:val="TextBody"/>
              <w:widowControl w:val="false"/>
              <w:spacing w:before="0" w:after="140"/>
              <w:rPr>
                <w:b/>
                <w:b/>
                <w:bCs/>
                <w:sz w:val="22"/>
                <w:szCs w:val="22"/>
              </w:rPr>
            </w:pPr>
            <w:r>
              <w:rPr>
                <w:b/>
                <w:bCs/>
                <w:sz w:val="22"/>
                <w:szCs w:val="22"/>
              </w:rPr>
            </w:r>
          </w:p>
        </w:tc>
        <w:tc>
          <w:tcPr>
            <w:tcW w:w="1484" w:type="dxa"/>
            <w:tcBorders/>
            <w:shd w:fill="auto" w:val="clear"/>
          </w:tcPr>
          <w:p>
            <w:pPr>
              <w:pStyle w:val="TextBody"/>
              <w:widowControl w:val="false"/>
              <w:spacing w:before="0" w:after="140"/>
              <w:rPr>
                <w:b/>
                <w:b/>
                <w:bCs/>
                <w:sz w:val="22"/>
                <w:szCs w:val="22"/>
              </w:rPr>
            </w:pPr>
            <w:r>
              <w:rPr>
                <w:b/>
                <w:bCs/>
                <w:sz w:val="22"/>
                <w:szCs w:val="22"/>
              </w:rPr>
              <w:t>Field House</w:t>
            </w:r>
          </w:p>
        </w:tc>
        <w:tc>
          <w:tcPr>
            <w:tcW w:w="1675" w:type="dxa"/>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5" w:type="dxa"/>
            <w:tcBorders/>
            <w:shd w:fill="auto" w:val="clear"/>
          </w:tcPr>
          <w:p>
            <w:pPr>
              <w:pStyle w:val="TextBody"/>
              <w:widowControl w:val="false"/>
              <w:spacing w:before="0" w:after="140"/>
              <w:rPr>
                <w:sz w:val="22"/>
                <w:szCs w:val="22"/>
              </w:rPr>
            </w:pPr>
            <w:r>
              <w:rPr>
                <w:sz w:val="22"/>
                <w:szCs w:val="22"/>
              </w:rPr>
              <w:t>Odawara</w:t>
            </w:r>
          </w:p>
        </w:tc>
        <w:tc>
          <w:tcPr>
            <w:tcW w:w="1124" w:type="dxa"/>
            <w:tcBorders/>
            <w:shd w:fill="auto" w:val="clear"/>
          </w:tcPr>
          <w:p>
            <w:pPr>
              <w:pStyle w:val="TextBody"/>
              <w:widowControl w:val="false"/>
              <w:spacing w:before="0" w:after="140"/>
              <w:rPr>
                <w:sz w:val="22"/>
                <w:szCs w:val="22"/>
              </w:rPr>
            </w:pPr>
            <w:r>
              <w:rPr>
                <w:sz w:val="22"/>
                <w:szCs w:val="22"/>
              </w:rPr>
              <w:t>Kanagawa</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5" w:type="dxa"/>
            <w:tcBorders/>
            <w:shd w:fill="auto" w:val="clear"/>
          </w:tcPr>
          <w:p>
            <w:pPr>
              <w:pStyle w:val="TextBody"/>
              <w:widowControl w:val="false"/>
              <w:spacing w:before="0" w:after="140"/>
              <w:rPr>
                <w:sz w:val="22"/>
                <w:szCs w:val="22"/>
              </w:rPr>
            </w:pPr>
            <w:r>
              <w:rPr>
                <w:sz w:val="22"/>
                <w:szCs w:val="22"/>
              </w:rPr>
              <w:t>Shiramine</w:t>
            </w:r>
          </w:p>
        </w:tc>
        <w:tc>
          <w:tcPr>
            <w:tcW w:w="1124" w:type="dxa"/>
            <w:tcBorders/>
            <w:shd w:fill="auto" w:val="clear"/>
          </w:tcPr>
          <w:p>
            <w:pPr>
              <w:pStyle w:val="TextBody"/>
              <w:widowControl w:val="false"/>
              <w:spacing w:before="0" w:after="140"/>
              <w:rPr>
                <w:sz w:val="22"/>
                <w:szCs w:val="22"/>
              </w:rPr>
            </w:pPr>
            <w:r>
              <w:rPr>
                <w:sz w:val="22"/>
                <w:szCs w:val="22"/>
              </w:rPr>
              <w:t>Ishikawa</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2"/>
            <w:tcBorders/>
            <w:shd w:fill="auto" w:val="clear"/>
          </w:tcPr>
          <w:p>
            <w:pPr>
              <w:pStyle w:val="TextBody"/>
              <w:widowControl w:val="false"/>
              <w:spacing w:before="0" w:after="140"/>
              <w:rPr>
                <w:i/>
                <w:i/>
                <w:iCs/>
                <w:sz w:val="22"/>
                <w:szCs w:val="22"/>
              </w:rPr>
            </w:pPr>
            <w:r>
              <w:rPr>
                <w:i/>
                <w:iCs/>
                <w:sz w:val="22"/>
                <w:szCs w:val="22"/>
              </w:rPr>
              <w:t>(Travelling exhibit)</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5" w:type="dxa"/>
            <w:tcBorders/>
            <w:shd w:fill="auto" w:val="clear"/>
          </w:tcPr>
          <w:p>
            <w:pPr>
              <w:pStyle w:val="TextBody"/>
              <w:widowControl w:val="false"/>
              <w:spacing w:before="0" w:after="140"/>
              <w:rPr>
                <w:sz w:val="22"/>
                <w:szCs w:val="22"/>
              </w:rPr>
            </w:pPr>
            <w:r>
              <w:rPr>
                <w:sz w:val="22"/>
                <w:szCs w:val="22"/>
              </w:rPr>
              <w:t>Shimizu</w:t>
            </w:r>
          </w:p>
        </w:tc>
        <w:tc>
          <w:tcPr>
            <w:tcW w:w="1124" w:type="dxa"/>
            <w:tcBorders/>
            <w:shd w:fill="auto" w:val="clear"/>
          </w:tcPr>
          <w:p>
            <w:pPr>
              <w:pStyle w:val="Normal"/>
              <w:widowControl w:val="false"/>
              <w:rPr>
                <w:sz w:val="22"/>
                <w:szCs w:val="22"/>
              </w:rPr>
            </w:pPr>
            <w:r>
              <w:rPr>
                <w:sz w:val="22"/>
                <w:szCs w:val="22"/>
              </w:rPr>
              <w:t>Tokai</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Vernal</w:t>
            </w:r>
          </w:p>
        </w:tc>
        <w:tc>
          <w:tcPr>
            <w:tcW w:w="1124" w:type="dxa"/>
            <w:tcBorders/>
            <w:shd w:fill="auto" w:val="clear"/>
          </w:tcPr>
          <w:p>
            <w:pPr>
              <w:pStyle w:val="Normal"/>
              <w:widowControl w:val="false"/>
              <w:rPr>
                <w:sz w:val="22"/>
                <w:szCs w:val="22"/>
              </w:rPr>
            </w:pPr>
            <w:r>
              <w:rPr>
                <w:sz w:val="22"/>
                <w:szCs w:val="22"/>
              </w:rPr>
              <w:t>Utah</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t>N/A</w:t>
            </w:r>
          </w:p>
        </w:tc>
        <w:tc>
          <w:tcPr>
            <w:tcW w:w="1675"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Tokyo</w:t>
            </w:r>
          </w:p>
        </w:tc>
        <w:tc>
          <w:tcPr>
            <w:tcW w:w="1124" w:type="dxa"/>
            <w:tcBorders/>
            <w:shd w:fill="auto" w:val="clear"/>
          </w:tcPr>
          <w:p>
            <w:pPr>
              <w:pStyle w:val="Normal"/>
              <w:widowControl w:val="false"/>
              <w:rPr>
                <w:sz w:val="22"/>
                <w:szCs w:val="22"/>
              </w:rPr>
            </w:pPr>
            <w:r>
              <w:rPr>
                <w:sz w:val="22"/>
                <w:szCs w:val="22"/>
              </w:rPr>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Tampa</w:t>
            </w:r>
          </w:p>
        </w:tc>
        <w:tc>
          <w:tcPr>
            <w:tcW w:w="1124" w:type="dxa"/>
            <w:tcBorders/>
            <w:shd w:fill="auto" w:val="clear"/>
          </w:tcPr>
          <w:p>
            <w:pPr>
              <w:pStyle w:val="Normal"/>
              <w:widowControl w:val="false"/>
              <w:rPr>
                <w:sz w:val="22"/>
                <w:szCs w:val="22"/>
              </w:rPr>
            </w:pPr>
            <w:r>
              <w:rPr>
                <w:sz w:val="22"/>
                <w:szCs w:val="22"/>
              </w:rPr>
              <w:t>Florida</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7"/>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Cocoa Beach</w:t>
            </w:r>
          </w:p>
        </w:tc>
        <w:tc>
          <w:tcPr>
            <w:tcW w:w="1124" w:type="dxa"/>
            <w:tcBorders/>
            <w:shd w:fill="auto" w:val="clear"/>
          </w:tcPr>
          <w:p>
            <w:pPr>
              <w:pStyle w:val="Normal"/>
              <w:widowControl w:val="false"/>
              <w:rPr>
                <w:sz w:val="22"/>
                <w:szCs w:val="22"/>
              </w:rPr>
            </w:pPr>
            <w:r>
              <w:rPr>
                <w:sz w:val="22"/>
                <w:szCs w:val="22"/>
              </w:rPr>
              <w:t>Florida</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i w:val="false"/>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archive.com/rocky-mount-evening-telegram-jul-08-1960-p-4/"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www.legacy.com/us/obituaries/deseretnews/name/james-madsen-obituary?id=28417430" TargetMode="External"/><Relationship Id="rId14" Type="http://schemas.openxmlformats.org/officeDocument/2006/relationships/hyperlink" Target="https://web.archive.org/web/20220424032554/https://www.legacy.com/us/obituaries/deseretnews/name/james-madsen-obituary?id=28417430" TargetMode="External"/><Relationship Id="rId15" Type="http://schemas.openxmlformats.org/officeDocument/2006/relationships/hyperlink" Target="https://newspaperarchive.com/rocky-mount-evening-telegram-may-14-1960-p-2/" TargetMode="External"/><Relationship Id="rId16" Type="http://schemas.openxmlformats.org/officeDocument/2006/relationships/hyperlink" Target="https://newspaperarchive.com/rocky-mount-evening-telegram-jul-08-1960-p-8/" TargetMode="External"/><Relationship Id="rId17" Type="http://schemas.openxmlformats.org/officeDocument/2006/relationships/hyperlink" Target="https://collections.lib.utah.edu/details?id=1086142" TargetMode="External"/><Relationship Id="rId18" Type="http://schemas.openxmlformats.org/officeDocument/2006/relationships/hyperlink" Target="https://www.tampabay.com/news/business/tourism/mosi-to-close-part-of-its-building-to-save-money-before-move-to-downtown/2324358/" TargetMode="External"/><Relationship Id="rId19" Type="http://schemas.openxmlformats.org/officeDocument/2006/relationships/hyperlink" Target="https://web.archive.org/web/20211125120642/https://www.tampabay.com/news/business/tourism/mosi-to-close-part-of-its-building-to-save-money-before-move-to-downtown/2324358/" TargetMode="External"/><Relationship Id="rId20" Type="http://schemas.openxmlformats.org/officeDocument/2006/relationships/hyperlink" Target="https://newspapers.lib.utah.edu/ark:/87278/s62v6594/22643733" TargetMode="External"/><Relationship Id="rId21" Type="http://schemas.openxmlformats.org/officeDocument/2006/relationships/hyperlink" Target="https://archiveswest.orbiscascade.org/ark:/80444/xv38626" TargetMode="External"/><Relationship Id="rId22" Type="http://schemas.openxmlformats.org/officeDocument/2006/relationships/hyperlink" Target="https://web.archive.org/web/20220610005257/https://archiveswest.orbiscascade.org/ark:/80444/xv38626" TargetMode="External"/><Relationship Id="rId23" Type="http://schemas.openxmlformats.org/officeDocument/2006/relationships/hyperlink" Target="https://newspapers.lib.utah.edu/ark:/87278/s6r53f0k/22649899" TargetMode="External"/><Relationship Id="rId24" Type="http://schemas.openxmlformats.org/officeDocument/2006/relationships/hyperlink" Target="http://hdl.handle.net/2246/6497" TargetMode="External"/><Relationship Id="rId25" Type="http://schemas.openxmlformats.org/officeDocument/2006/relationships/hyperlink" Target="https://wusfnews.wusf.usf.edu/news/2017-05-18/mosi-to-close-imax-other-exhibits-in-cost-saving-reconfiguration" TargetMode="External"/><Relationship Id="rId26" Type="http://schemas.openxmlformats.org/officeDocument/2006/relationships/hyperlink" Target="https://web.archive.org/web/20210507091810/https://wusfnews.wusf.usf.edu/news/2017-05-18/mosi-to-close-imax-other-exhibits-in-cost-saving-reconfiguration" TargetMode="External"/><Relationship Id="rId27" Type="http://schemas.openxmlformats.org/officeDocument/2006/relationships/hyperlink" Target="https://newspaperarchive.com/rocky-mount-evening-telegram-apr-24-1960-p-11/"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31276</TotalTime>
  <Application>LibreOffice/6.1.3.2$MacOSX_X86_64 LibreOffice_project/86daf60bf00efa86ad547e59e09d6bb77c699acb</Application>
  <Pages>21</Pages>
  <Words>10405</Words>
  <Characters>54516</Characters>
  <CharactersWithSpaces>64650</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2022-08-23T01:37:22Z</dcterms:modified>
  <cp:revision>620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