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didn't see, nor hear, of them being in the collections.</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r>
        <w:rPr/>
        <w:t>).</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w:t>
      </w:r>
      <w:r>
        <w:rPr/>
        <w:t>Jones</w:t>
      </w:r>
      <w:r>
        <w:rPr/>
        <w:t>, pers. comm., 2022).</w:t>
      </w:r>
      <w:bookmarkEnd w:id="11"/>
    </w:p>
    <w:p>
      <w:pPr>
        <w:pStyle w:val="TextBody"/>
        <w:rPr>
          <w:highlight w:val="yellow"/>
        </w:rPr>
      </w:pPr>
      <w:r>
        <w:rPr>
          <w:highlight w:val="yellow"/>
        </w:rPr>
        <w:t>XXX get Dinolab documentation from Brian Curtice.</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FollowedHyper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23237</TotalTime>
  <Application>LibreOffice/6.1.3.2$MacOSX_X86_64 LibreOffice_project/86daf60bf00efa86ad547e59e09d6bb77c699acb</Application>
  <Pages>14</Pages>
  <Words>6043</Words>
  <Characters>32532</Characters>
  <CharactersWithSpaces>38421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2022-07-07T22:51:38Z</dcterms:modified>
  <cp:revision>463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