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Ken Carpenter (pers. comm., 2022) recalls that in the 1950s or 1960s, the Field House posted a notice in the SVP (Society of Vertebrate Paleontology) news bulletin offering the plaster molds to whoever wanted them.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w:t>
      </w:r>
      <w:r>
        <w:rPr/>
        <w:t xml:space="preserve">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with the intention that they would be used to create a twelfth cast which would be mounted in Rocky Mount’s Sunset Park. We have not yet been able to determine whether this cast was made — it does not appear to exist today, judging by available photographs — or what happened to the molds. XXX find out more.</w:t>
      </w:r>
    </w:p>
    <w:p>
      <w:pPr>
        <w:pStyle w:val="Heading2"/>
        <w:rPr/>
      </w:pPr>
      <w:bookmarkStart w:id="9" w:name="__RefHeading___Toc949_1155462304"/>
      <w:bookmarkEnd w:id="9"/>
      <w:r>
        <w:rPr/>
        <w:t>The lightweight cast in Vernal</w:t>
      </w:r>
    </w:p>
    <w:p>
      <w:pPr>
        <w:pStyle w:val="TextBody"/>
        <w:rPr/>
      </w:pPr>
      <w:r>
        <w:rPr/>
        <w:t>XXX Not sure when they decided they needed a new model but the old one obviously was falling apart when Steve arrived and was stored in the old building crawl space. The new cast had its tail curved so it fit inside...maybe Untermann wanted it straight out in an old pose like outside. He had died in 1975 and his wife Billie two years previously (Lewis 1977).</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11" w:name="__RefHeading___Toc953_1155462304"/>
      <w:bookmarkEnd w:id="11"/>
      <w:r>
        <w:rPr/>
        <w:t xml:space="preserve">The fate of the concrete </w:t>
      </w:r>
      <w:r>
        <w:rPr>
          <w:i/>
          <w:iCs/>
        </w:rPr>
        <w:t>Diplodocus</w:t>
      </w:r>
    </w:p>
    <w:p>
      <w:pPr>
        <w:pStyle w:val="TextBody"/>
        <w:rPr/>
      </w:pPr>
      <w:r>
        <w:rPr/>
        <w:t xml:space="preserve">The old Dippy was never remounted by us after it was taken down. </w:t>
      </w:r>
    </w:p>
    <w:p>
      <w:pPr>
        <w:pStyle w:val="TextBody"/>
        <w:rPr/>
      </w:pPr>
      <w:r>
        <w:rPr/>
        <w:t>May 22, 2004: The Field House moves to a new building, and the WEP cast is remounted in the entry hall. The concrete cast was stored in the old building crawl space.</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XXX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r>
        <w:rPr/>
        <w:t>Acknowledgements</w:t>
      </w:r>
    </w:p>
    <w:p>
      <w:pPr>
        <w:pStyle w:val="TextBody"/>
        <w:rPr/>
      </w:pPr>
      <w:r>
        <w:rPr/>
        <w:t>XXX Elaine Carr, Uintah County Regional History Center</w:t>
      </w:r>
    </w:p>
    <w:p>
      <w:pPr>
        <w:pStyle w:val="TextBody"/>
        <w:rPr/>
      </w:pPr>
      <w:r>
        <w:rPr/>
        <w:t>XXX to follow.</w:t>
      </w:r>
    </w:p>
    <w:p>
      <w:pPr>
        <w:pStyle w:val="Heading1"/>
        <w:numPr>
          <w:ilvl w:val="0"/>
          <w:numId w:val="3"/>
        </w:numPr>
        <w:ind w:left="0" w:right="0" w:hanging="0"/>
        <w:rPr/>
      </w:pPr>
      <w:bookmarkStart w:id="13" w:name="__RefHeading___Toc3405_68767826"/>
      <w:bookmarkEnd w:id="13"/>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5">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6">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7">
        <w:r>
          <w:rPr>
            <w:rStyle w:val="InternetLink"/>
          </w:rPr>
          <w:t>https://archiveswest.orbiscascade.org/ark:/80444/xv38626</w:t>
        </w:r>
      </w:hyperlink>
      <w:r>
        <w:rPr/>
        <w:t xml:space="preserve">, archived at </w:t>
      </w:r>
      <w:hyperlink r:id="rId8">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1">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collections.lib.utah.edu/details?id=1086142" TargetMode="External"/><Relationship Id="rId7" Type="http://schemas.openxmlformats.org/officeDocument/2006/relationships/hyperlink" Target="https://archiveswest.orbiscascade.org/ark:/80444/xv38626" TargetMode="External"/><Relationship Id="rId8" Type="http://schemas.openxmlformats.org/officeDocument/2006/relationships/hyperlink" Target="https://web.archive.org/web/20220610005257/https://archiveswest.orbiscascade.org/ark:/80444/xv38626" TargetMode="External"/><Relationship Id="rId9" Type="http://schemas.openxmlformats.org/officeDocument/2006/relationships/hyperlink" Target="http://hdl.handle.net/2246/6497" TargetMode="External"/><Relationship Id="rId10" Type="http://schemas.openxmlformats.org/officeDocument/2006/relationships/hyperlink" Target="https://peacepalacelibrary.nl/blog/2017/diplodocus-carnegii-peace-diplomacy-dinosaur" TargetMode="External"/><Relationship Id="rId11" Type="http://schemas.openxmlformats.org/officeDocument/2006/relationships/hyperlink" Target="https://collections.lib.utah.edu/details?id=1212242&amp;q=diplodocu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21104</TotalTime>
  <Application>LibreOffice/6.1.3.2$MacOSX_X86_64 LibreOffice_project/86daf60bf00efa86ad547e59e09d6bb77c699acb</Application>
  <Pages>9</Pages>
  <Words>3734</Words>
  <Characters>19622</Characters>
  <CharactersWithSpaces>23240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2022-06-11T02:01:23Z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