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7949_1817233446">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26119_446257137">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6</w:t>
        </w:r>
      </w:hyperlink>
    </w:p>
    <w:p>
      <w:pPr>
        <w:pStyle w:val="Contents2"/>
        <w:tabs>
          <w:tab w:val="clear" w:pos="9355"/>
          <w:tab w:val="right" w:pos="9638" w:leader="dot"/>
        </w:tabs>
        <w:rPr/>
      </w:pPr>
      <w:hyperlink w:anchor="__RefHeading___Toc949_1155462304">
        <w:r>
          <w:rPr>
            <w:rStyle w:val="IndexLink"/>
          </w:rPr>
          <w:t>The lightweight cast in Vernal</w:t>
          <w:tab/>
          <w:t>8</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11</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12</w:t>
        </w:r>
      </w:hyperlink>
    </w:p>
    <w:p>
      <w:pPr>
        <w:pStyle w:val="Contents1"/>
        <w:tabs>
          <w:tab w:val="right" w:pos="9638" w:leader="dot"/>
        </w:tabs>
        <w:rPr/>
      </w:pPr>
      <w:hyperlink w:anchor="__RefHeading___Toc3401_68767826">
        <w:r>
          <w:rPr>
            <w:rStyle w:val="IndexLink"/>
          </w:rPr>
          <w:t>Discussion</w:t>
          <w:tab/>
          <w:t>13</w:t>
        </w:r>
      </w:hyperlink>
    </w:p>
    <w:p>
      <w:pPr>
        <w:pStyle w:val="Contents1"/>
        <w:tabs>
          <w:tab w:val="right" w:pos="9638" w:leader="dot"/>
        </w:tabs>
        <w:rPr/>
      </w:pPr>
      <w:hyperlink w:anchor="__RefHeading___Toc3529_2542618767">
        <w:r>
          <w:rPr>
            <w:rStyle w:val="IndexLink"/>
          </w:rPr>
          <w:t>Acknowledgements</w:t>
          <w:tab/>
          <w:t>13</w:t>
        </w:r>
      </w:hyperlink>
    </w:p>
    <w:p>
      <w:pPr>
        <w:pStyle w:val="Contents1"/>
        <w:tabs>
          <w:tab w:val="right" w:pos="9638" w:leader="dot"/>
        </w:tabs>
        <w:rPr/>
      </w:pPr>
      <w:hyperlink w:anchor="__RefHeading___Toc3405_68767826">
        <w:r>
          <w:rPr>
            <w:rStyle w:val="IndexLink"/>
          </w:rPr>
          <w:t>References</w:t>
          <w:tab/>
          <w:t>15</w:t>
        </w:r>
      </w:hyperlink>
    </w:p>
    <w:p>
      <w:pPr>
        <w:pStyle w:val="Contents1"/>
        <w:tabs>
          <w:tab w:val="right" w:pos="9638" w:leader="dot"/>
        </w:tabs>
        <w:rPr/>
      </w:pPr>
      <w:hyperlink w:anchor="__RefHeading___Toc3407_68767826">
        <w:r>
          <w:rPr>
            <w:rStyle w:val="IndexLink"/>
          </w:rPr>
          <w:t>Figure Captions</w:t>
          <w:tab/>
          <w:t>19</w:t>
        </w:r>
      </w:hyperlink>
    </w:p>
    <w:p>
      <w:pPr>
        <w:pStyle w:val="Contents1"/>
        <w:tabs>
          <w:tab w:val="right" w:pos="9638" w:leader="dot"/>
        </w:tabs>
        <w:rPr/>
      </w:pPr>
      <w:hyperlink w:anchor="__RefHeading___Toc4426_1817233446">
        <w:r>
          <w:rPr>
            <w:rStyle w:val="IndexLink"/>
          </w:rPr>
          <w:t>Tables</w:t>
          <w:tab/>
          <w:t>21</w:t>
        </w:r>
      </w:hyperlink>
    </w:p>
    <w:p>
      <w:pPr>
        <w:pStyle w:val="Heading1"/>
        <w:rPr/>
      </w:pPr>
      <w:r>
        <w:rPr/>
      </w:r>
      <w:r>
        <w:rPr/>
        <w:fldChar w:fldCharType="end"/>
      </w:r>
      <w:r>
        <w:br w:type="page"/>
      </w:r>
    </w:p>
    <w:p>
      <w:pPr>
        <w:pStyle w:val="Heading1"/>
        <w:rPr/>
      </w:pPr>
      <w:bookmarkStart w:id="0" w:name="__RefHeading___Toc7949_1817233446"/>
      <w:bookmarkEnd w:id="0"/>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stripped by museums outside the locality. As World War II was ending, he realised he importance of tourism to Utah, and recommended that a museum could position Vernal as a gateway to the state on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in her own right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either on 6 June, 1957 (Untermann and Untermann 1970) or on 8 June during the Utah State Lions Club convention at Vernal (Anonymous, undated).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t>
      </w:r>
      <w:r>
        <w:rPr/>
        <w:t>we</w:t>
      </w:r>
      <w:r>
        <w:rPr/>
        <w:t>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xml:space="preserve">] was made”. </w:t>
      </w:r>
      <w:r>
        <w:rPr/>
        <w:t>Similarly</w:t>
      </w:r>
      <w:r>
        <w:rPr/>
        <w:t>,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w:t>
      </w:r>
      <w:r>
        <w:rPr/>
        <w:t>a</w:t>
      </w:r>
      <w:r>
        <w:rPr/>
        <w:t xml:space="preserve">;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w:t>
      </w:r>
      <w:r>
        <w:rPr/>
        <w:t xml:space="preserve">But was such a cast ever created? A sequence of reports in the Rocky Mount Evening Telegram from April to July 1960 (Williams 1960, Bell 1960a, Bell 1960b, Anonymous 1960b) enthusiastically announce and discuss the impeding arrival, and the later articles say that museum board president Harold Minges has left for Utah to collect to molds — but then the newspaper goes silent on the subject, and the project is never mentioned again. There is no positive evidence that the molds even arrived in Rocky Mount, far less that they were used to create a new mount. Thus newspaper reports from both Utah and North Carolina say that the molds set out on their journey from one to the other, but neither confirms that they ever arrived. On the other hand, there is also no report of the molds being lost or destroyed, so perhaps the most likely interpretation is that they arrived in Rocky Mount, but were found to be in worse condition than expected and quietly left in storage. This interpretation is supported by Rea (2001:210) who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t xml:space="preserve">Hurricane Floyd devastated Rocky Mount in 1999, with flooding from the River Tar destroying the original Children's Museum along with all its exhibits and records (Leigh White, pers. comm., 2022), so no records survive </w:t>
      </w:r>
      <w:r>
        <w:rPr/>
        <w:t xml:space="preserve">that could confirm </w:t>
      </w:r>
      <w:r>
        <w:rPr/>
        <w:t xml:space="preserve">the molds’ arrival </w:t>
      </w:r>
      <w:r>
        <w:rPr/>
        <w:t>or any</w:t>
      </w:r>
      <w:r>
        <w:rPr/>
        <w:t xml:space="preserve"> subsequent use. The museum was located next door to a municipal water treatment facility that also flooded and released unknown chemicals, so museum property that </w:t>
      </w:r>
      <w:r>
        <w:rPr/>
        <w:t>might</w:t>
      </w:r>
      <w:r>
        <w:rPr/>
        <w:t xml:space="preserve"> have otherwise been salvageable in that area was deemed contaminated and required to be destroyed. </w:t>
      </w:r>
      <w:r>
        <w:rPr/>
        <w:t>If the molds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w:t>
      </w:r>
      <w:r>
        <w:rPr/>
        <w:t xml:space="preserve">there </w:t>
      </w:r>
      <w:r>
        <w:rPr/>
        <w:t xml:space="preserve">of </w:t>
      </w:r>
      <w:r>
        <w:rPr/>
        <w:t xml:space="preserve">molds or casts of </w:t>
      </w:r>
      <w:r>
        <w:rPr>
          <w:i/>
          <w:iCs/>
        </w:rPr>
        <w:t>Diplodocus</w:t>
      </w:r>
      <w:r>
        <w:rPr/>
        <w:t xml:space="preserve">. </w:t>
      </w:r>
      <w:r>
        <w:rPr/>
        <w:t xml:space="preserve">Corroborating the hypothesis that no cast </w:t>
      </w:r>
      <w:r>
        <w:rPr/>
        <w:t xml:space="preserve">ever existed, most staff who worked at the museum in the 1980s do not recall any such cast (Leigh White, pers. comm., 2022).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t>when the collection was destroyed</w:t>
      </w:r>
      <w:r>
        <w:rPr/>
        <w:t xml:space="preserve">. </w:t>
      </w:r>
      <w:r>
        <w:rPr>
          <w:highlight w:val="yellow"/>
          <w:u w:val="double"/>
        </w:rPr>
        <w:t>XXX follow up</w:t>
      </w:r>
      <w:r>
        <w:rPr/>
        <w:t>.</w:t>
      </w:r>
    </w:p>
    <w:p>
      <w:pPr>
        <w:pStyle w:val="TextBody"/>
        <w:rPr/>
      </w:pPr>
      <w:r>
        <w:rPr/>
        <w:t xml:space="preserve">Whether or not a cast was made at Rocky Mount, </w:t>
      </w:r>
      <w:r>
        <w:rPr/>
        <w:t xml:space="preserve">it is possible that this was not </w:t>
      </w:r>
      <w:r>
        <w:rPr/>
        <w:t xml:space="preserve">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 xml:space="preserve">Due to the </w:t>
      </w:r>
      <w:r>
        <w:rPr/>
        <w:t>loss</w:t>
      </w:r>
      <w:r>
        <w:rPr/>
        <w:t xml:space="preserve">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w:t>
      </w:r>
      <w:r>
        <w:rPr/>
        <w:t xml:space="preserve">ever </w:t>
      </w:r>
      <w:r>
        <w:rPr/>
        <w:t xml:space="preserve">having been there. In the absence of evidence that the molds ever made it to Houston, it seems at least equally likely that the missing bones in HMNS 175 were cast and supplied by Dinolab, using the second-generation molds described blow, </w:t>
      </w:r>
      <w:r>
        <w:rPr/>
        <w:t>and that Rea (2001) misreported this.</w:t>
      </w:r>
    </w:p>
    <w:p>
      <w:pPr>
        <w:pStyle w:val="TextBody"/>
        <w:rPr/>
      </w:pPr>
      <w:r>
        <w:rPr/>
        <w:t>As recently as 1988, Rolfe (1988) wrote on behalf of the Royal Museum of Sco</w:t>
      </w:r>
      <w:r>
        <w:rPr/>
        <w:t>t</w:t>
      </w:r>
      <w:r>
        <w:rPr/>
        <w: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 xml:space="preserve">In an unpublished manuscript, </w:t>
      </w:r>
      <w:r>
        <w:rPr/>
        <w:t xml:space="preserve">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w:t>
      </w:r>
      <w:r>
        <w:rPr/>
        <w:t>to</w:t>
      </w:r>
      <w:r>
        <w:rPr/>
        <w:t xml:space="preserve"> discover on which of the molds’ journeys Langston though</w:t>
      </w:r>
      <w:r>
        <w:rPr/>
        <w:t>t</w:t>
      </w:r>
      <w:r>
        <w:rPr/>
        <w:t xml:space="preserve"> the</w:t>
      </w:r>
      <w:r>
        <w:rPr/>
        <w:t xml:space="preserve">y </w:t>
      </w:r>
      <w:r>
        <w:rPr/>
        <w:t xml:space="preserve">were </w:t>
      </w:r>
      <w:r>
        <w:rPr/>
        <w:t xml:space="preserve">lost or </w:t>
      </w:r>
      <w:r>
        <w:rPr/>
        <w:t xml:space="preserve">destroyed. It </w:t>
      </w:r>
      <w:r>
        <w:rPr/>
        <w:t xml:space="preserve">is unlikely, at least, that </w:t>
      </w:r>
      <w:r>
        <w:rPr/>
        <w:t xml:space="preserve">Langston had in mind the </w:t>
      </w:r>
      <w:r>
        <w:rPr/>
        <w:t>their</w:t>
      </w:r>
      <w:r>
        <w:rPr/>
        <w:t xml:space="preserve"> initial journey from Vernal </w:t>
      </w:r>
      <w:r>
        <w:rPr/>
        <w:t>to Rocky Mount</w:t>
      </w:r>
      <w:r>
        <w:rPr/>
        <w:t xml:space="preserve">. </w:t>
      </w:r>
      <w:r>
        <w:rPr/>
        <w:t xml:space="preserve">Kirby (1998:4) wrote that </w:t>
      </w:r>
      <w:r>
        <w:rPr/>
        <w:t xml:space="preserve">“Somewhere along the line, as the story goes, the molds received from the Carnegie had been shipped to a school down south and never arrived. So they were lost”. Since Rocky mount is about 2000 miles east (not </w:t>
      </w:r>
      <w:r>
        <w:rPr/>
        <w:t>s</w:t>
      </w:r>
      <w:r>
        <w:rPr/>
        <w:t xml:space="preserve">outh) of Vernal, “a school down south” could not have referred, in a Utah publication, to a museum out east. The Houston museum also </w:t>
      </w:r>
      <w:r>
        <w:rPr/>
        <w:t xml:space="preserve">does not </w:t>
      </w:r>
      <w:r>
        <w:rPr/>
        <w:t xml:space="preserve">seems </w:t>
      </w:r>
      <w:r>
        <w:rPr/>
        <w:t xml:space="preserve">an especially </w:t>
      </w:r>
      <w:r>
        <w:rPr/>
        <w:t xml:space="preserve">likely candidate for this designation, </w:t>
      </w:r>
      <w:r>
        <w:rPr/>
        <w:t>being 1300 miles southeast of Vernal.</w:t>
      </w:r>
    </w:p>
    <w:p>
      <w:pPr>
        <w:pStyle w:val="TextBody"/>
        <w:rPr/>
      </w:pPr>
      <w:r>
        <w:rPr/>
        <w:t>Putting it all together, there is no way that all the reports cited here can be accurate. Perhaps the most likely scenario is this: the molds were successfully shipped to Rocky Mount in July 1960 (Anonymous 1960</w:t>
      </w:r>
      <w:r>
        <w:rPr/>
        <w:t>a, Anonymous 196</w:t>
      </w:r>
      <w:r>
        <w:rPr/>
        <w:t xml:space="preserve">0b) but found to be unusable </w:t>
      </w:r>
      <w:r>
        <w:rPr/>
        <w:t xml:space="preserve">(Rea 2001:210, Moore 2014:234-235) </w:t>
      </w:r>
      <w:r>
        <w:rPr/>
        <w:t>and left in storage. At some later point there were shipped to a school in a southern state (Kirby 1998:</w:t>
      </w:r>
      <w:r>
        <w:rPr/>
        <w:t>4</w:t>
      </w:r>
      <w:r>
        <w:rPr/>
        <w:t xml:space="preserve">) but did not arrive </w:t>
      </w:r>
      <w:r>
        <w:rPr/>
        <w:t>(</w:t>
      </w:r>
      <w:bookmarkStart w:id="9" w:name="__DdeLink__7953_1817233446"/>
      <w:r>
        <w:rPr/>
        <w:t>Langston</w:t>
      </w:r>
      <w:bookmarkEnd w:id="9"/>
      <w:r>
        <w:rPr/>
        <w:t xml:space="preserve"> cited in Madsen 1990:</w:t>
      </w:r>
      <w:r>
        <w:rPr/>
        <w:t>4)</w:t>
      </w:r>
      <w:r>
        <w:rPr/>
        <w:t xml:space="preserve">. This may have </w:t>
      </w:r>
      <w:r>
        <w:rPr/>
        <w:t xml:space="preserve">happened </w:t>
      </w:r>
      <w:r>
        <w:rPr/>
        <w:t xml:space="preserve">in late 1988 or early 1989, between Rolfe’s (1988) letter that expressed an interest in using the molds and Langston’s personal communication to Madsen </w:t>
      </w:r>
      <w:r>
        <w:rPr/>
        <w:t>in 1989</w:t>
      </w:r>
      <w:r>
        <w:rPr/>
        <w:t xml:space="preserve">. Where the </w:t>
      </w:r>
      <w:r>
        <w:rPr/>
        <w:t>molds</w:t>
      </w:r>
      <w:r>
        <w:rPr/>
        <w:t xml:space="preserve"> are </w:t>
      </w:r>
      <w:r>
        <w:rPr/>
        <w:t>now</w:t>
      </w:r>
      <w:r>
        <w:rPr/>
        <w:t xml:space="preserve">, and why they did not arrive, we can only speculate. </w:t>
      </w:r>
      <w:r>
        <w:rPr/>
        <w:t>As Madsen (1990:4) concluded, “It is truly a mystery that an estimated 3–6 tons of plaster molds could simply vanish!”</w:t>
      </w:r>
    </w:p>
    <w:p>
      <w:pPr>
        <w:pStyle w:val="Heading2"/>
        <w:rPr/>
      </w:pPr>
      <w:bookmarkStart w:id="10" w:name="__RefHeading___Toc949_1155462304"/>
      <w:bookmarkEnd w:id="10"/>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of making new molds” (Bilbey 1989), and a letter from RMS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perhaps due to its crumbling state.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Despite Madsen’s reservations,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 Interestingly, it seems that Dinolab also had ambitions of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84,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both the first two digits; by contrast, the cast in the Museum für Naturkunde Berlin has revised forefeet with fewer phalanges and unguals only on digit I (Taylor, pers. obs.).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The new cast was expected to be assembled that winter (Anonymous 1991), but delays would prevent the public from seeing it for nearly three further years. By 23 June 1993, only the libs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inventiveness, but other responsibilities meant that very nearly five years were to elapse after the removal of the outdoor concrete </w:t>
      </w:r>
      <w:r>
        <w:rPr>
          <w:i/>
          <w:iCs/>
        </w:rPr>
        <w:t>Diplodocus</w:t>
      </w:r>
      <w:r>
        <w:rPr/>
        <w:t xml:space="preserve"> before the unveiling of its indoor WEP successor (Figure C). </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and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K).</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TextBody"/>
        <w:rPr/>
      </w:pPr>
      <w:r>
        <w:rPr>
          <w:highlight w:val="yellow"/>
        </w:rPr>
        <w:t>XXX write up:</w:t>
      </w:r>
      <w:r>
        <w:rPr/>
        <w:t xml:space="preserve"> Some time subsequent to 1989: Jack McIntosh arranges a deal between Dinolab and RCI whereby the Dinolab creates casts of the </w:t>
      </w:r>
      <w:r>
        <w:rPr>
          <w:i/>
          <w:iCs/>
        </w:rPr>
        <w:t>Diplodocus</w:t>
      </w:r>
      <w:r>
        <w:rPr/>
        <w:t xml:space="preserve"> elements needed to make up the missing part of the AMNH </w:t>
      </w:r>
      <w:r>
        <w:rPr>
          <w:i/>
          <w:iCs/>
        </w:rPr>
        <w:t>Barosaurus</w:t>
      </w:r>
      <w:r>
        <w:rPr/>
        <w:t xml:space="preserve"> mount. See Gordy (1991), Norell et al. (1991), Dingus (1996:20–29), Taylor et al (in prep, b).</w:t>
      </w:r>
    </w:p>
    <w:p>
      <w:pPr>
        <w:pStyle w:val="Heading2"/>
        <w:rPr/>
      </w:pPr>
      <w:bookmarkStart w:id="13" w:name="__RefHeading___Toc953_1155462304"/>
      <w:bookmarkEnd w:id="13"/>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 xml:space="preserve">2013: The concrete cast is sent to </w:t>
      </w:r>
      <w:bookmarkStart w:id="14" w:name="__DdeLink__19889_446257137"/>
      <w:r>
        <w:rPr/>
        <w:t>Utah State University Eastern Prehistoric Museum</w:t>
      </w:r>
      <w:bookmarkEnd w:id="14"/>
      <w:r>
        <w:rPr/>
        <w:t xml:space="preserve"> on effectively permanent loan, and to be repaired (Carpenter and Hayes 2013; Figure J). 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It was intended to be mounted outside a new museum in Price, but this museum was never built and the cast remains in storage on the </w:t>
      </w:r>
      <w:bookmarkStart w:id="15" w:name="__DdeLink__701_1817233446"/>
      <w:r>
        <w:rPr/>
        <w:t>Utah State University Eastern campus</w:t>
      </w:r>
      <w:bookmarkEnd w:id="15"/>
      <w:r>
        <w:rPr/>
        <w:t>.</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2"/>
        </w:numPr>
        <w:rPr/>
      </w:pPr>
      <w:bookmarkStart w:id="16" w:name="__RefHeading___Toc3401_68767826"/>
      <w:bookmarkEnd w:id="16"/>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2"/>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 I suppose most endings are sad, but the project definitely has a melancholy feel.</w:t>
      </w:r>
    </w:p>
    <w:p>
      <w:pPr>
        <w:pStyle w:val="Heading1"/>
        <w:numPr>
          <w:ilvl w:val="0"/>
          <w:numId w:val="2"/>
        </w:numPr>
        <w:rPr/>
      </w:pPr>
      <w:bookmarkStart w:id="17" w:name="__RefHeading___Toc3529_2542618767"/>
      <w:bookmarkEnd w:id="17"/>
      <w:r>
        <w:rPr/>
        <w:t>Acknowledgements</w:t>
      </w:r>
    </w:p>
    <w:p>
      <w:pPr>
        <w:pStyle w:val="TextBody"/>
        <w:rPr/>
      </w:pPr>
      <w:r>
        <w:rPr>
          <w:highlight w:val="yellow"/>
        </w:rPr>
        <w:t>XXX To do</w:t>
      </w:r>
    </w:p>
    <w:p>
      <w:pPr>
        <w:pStyle w:val="TextBody"/>
        <w:rPr/>
      </w:pPr>
      <w:r>
        <w:rPr/>
        <w:t>John Foster</w:t>
      </w:r>
    </w:p>
    <w:p>
      <w:pPr>
        <w:pStyle w:val="TextBody"/>
        <w:rPr/>
      </w:pPr>
      <w:r>
        <w:rPr/>
        <w:t>Ilja Niewland’s unparalleled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FigureCaption"/>
        <w:rPr/>
      </w:pPr>
      <w:r>
        <w:rPr/>
        <w:t>Chet Gottfried kindly provided photographs of the Field House’s WEP cast in its original location.</w:t>
      </w:r>
    </w:p>
    <w:p>
      <w:pPr>
        <w:pStyle w:val="FigureCaption"/>
        <w:rPr/>
      </w:pPr>
      <w:r>
        <w:rPr/>
        <w:t xml:space="preserve">Chris Madsen identified his father’s manuscript (Madsen 1990); he and his sister Lisa gave permission to list Dinolab’s records of what </w:t>
      </w:r>
      <w:r>
        <w:rPr>
          <w:i/>
          <w:iCs/>
        </w:rPr>
        <w:t>Diplodocus</w:t>
      </w:r>
      <w:r>
        <w:rPr/>
        <w:t xml:space="preserve"> casts they created from the Vernal molds.</w:t>
      </w:r>
    </w:p>
    <w:p>
      <w:pPr>
        <w:pStyle w:val="TextBody"/>
        <w:rPr/>
      </w:pPr>
      <w:r>
        <w:rPr/>
        <w:t>All other pers. Comms.</w:t>
      </w:r>
    </w:p>
    <w:p>
      <w:pPr>
        <w:pStyle w:val="TextBody"/>
        <w:rPr/>
      </w:pPr>
      <w:r>
        <w:rPr/>
        <w:t>XXX More to follow.</w:t>
      </w:r>
    </w:p>
    <w:p>
      <w:pPr>
        <w:pStyle w:val="Heading1"/>
        <w:widowControl/>
        <w:numPr>
          <w:ilvl w:val="0"/>
          <w:numId w:val="0"/>
        </w:numPr>
        <w:suppressAutoHyphens w:val="true"/>
        <w:overflowPunct w:val="true"/>
        <w:ind w:left="0" w:hanging="0"/>
        <w:jc w:val="left"/>
        <w:rPr/>
      </w:pPr>
      <w:r>
        <w:rPr/>
      </w:r>
      <w:r>
        <w:br w:type="page"/>
      </w:r>
    </w:p>
    <w:p>
      <w:pPr>
        <w:pStyle w:val="Heading1"/>
        <w:numPr>
          <w:ilvl w:val="0"/>
          <w:numId w:val="2"/>
        </w:numPr>
        <w:rPr/>
      </w:pPr>
      <w:bookmarkStart w:id="18" w:name="__RefHeading___Toc3405_68767826"/>
      <w:bookmarkEnd w:id="18"/>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4">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5">
        <w:r>
          <w:rPr>
            <w:rStyle w:val="InternetLink"/>
          </w:rPr>
          <w:t>https://newspapers.lib.utah.edu/details?id=21493559</w:t>
        </w:r>
      </w:hyperlink>
    </w:p>
    <w:p>
      <w:pPr>
        <w:pStyle w:val="Reference"/>
        <w:rPr/>
      </w:pPr>
      <w:r>
        <w:rPr/>
        <w:t>Anonymous. 1960</w:t>
      </w:r>
      <w:r>
        <w:rPr/>
        <w:t>a</w:t>
      </w:r>
      <w:r>
        <w:rPr/>
        <w:t xml:space="preserve">. Dinosaur molds take long ride to No. Carolina children’s home. </w:t>
      </w:r>
      <w:r>
        <w:rPr>
          <w:i/>
          <w:iCs/>
        </w:rPr>
        <w:t>Vernal Express</w:t>
      </w:r>
      <w:r>
        <w:rPr/>
        <w:t xml:space="preserve">, 14 July 1960, page 15. </w:t>
      </w:r>
      <w:hyperlink r:id="rId6">
        <w:r>
          <w:rPr>
            <w:rStyle w:val="InternetLink"/>
          </w:rPr>
          <w:t>https://newspapers.lib.utah.edu/ark:/87278/s6zk6w6s/21338221</w:t>
        </w:r>
      </w:hyperlink>
    </w:p>
    <w:p>
      <w:pPr>
        <w:pStyle w:val="FigureCaption"/>
        <w:rPr/>
      </w:pPr>
      <w:r>
        <w:rPr/>
        <w:t xml:space="preserve">Anonymous. </w:t>
      </w:r>
      <w:r>
        <w:rPr/>
        <w:t xml:space="preserve">1960b. Something ‘big’ for a fact. </w:t>
      </w:r>
      <w:r>
        <w:rPr>
          <w:i/>
          <w:iCs/>
        </w:rPr>
        <w:t>Rocky Mount Evening Telegram</w:t>
      </w:r>
      <w:r>
        <w:rPr/>
        <w:t xml:space="preserve">, 8 July 1960, page 4A. </w:t>
      </w:r>
      <w:hyperlink r:id="rId7">
        <w:r>
          <w:rPr>
            <w:rStyle w:val="InternetLink"/>
          </w:rPr>
          <w:t>https://newspaperarchive.com/rocky-mount-evening-telegram-jul-08-1960-p-4/</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8">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9">
        <w:r>
          <w:rPr>
            <w:rStyle w:val="InternetLink"/>
          </w:rPr>
          <w:t>https://newspapers.lib.utah.edu/ark:/87278/s6515c19/21656624</w:t>
        </w:r>
      </w:hyperlink>
    </w:p>
    <w:p>
      <w:pPr>
        <w:pStyle w:val="Reference"/>
        <w:rPr/>
      </w:pPr>
      <w:hyperlink r:id="rId10">
        <w:r>
          <w:rPr>
            <w:rStyle w:val="ListLabel12"/>
          </w:rPr>
          <w:t xml:space="preserve">Anonymous. 1991. Dippy returns as beast of new mold. </w:t>
        </w:r>
      </w:hyperlink>
      <w:r>
        <w:rPr>
          <w:i/>
          <w:iCs/>
        </w:rPr>
        <w:t>Vernal Express</w:t>
      </w:r>
      <w:r>
        <w:rPr/>
        <w:t xml:space="preserve">, 26 June 1991, page 1. </w:t>
      </w:r>
      <w:hyperlink r:id="rId11">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2">
        <w:r>
          <w:rPr>
            <w:rStyle w:val="FollowedHyperlink"/>
          </w:rPr>
          <w:t>https://newspapers.lib.utah.edu/ark:/87278/s6b88zdc/22648688</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3">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4">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5">
        <w:r>
          <w:rPr>
            <w:rStyle w:val="InternetLink"/>
          </w:rPr>
          <w:t>https://collections.lib.utah.edu/details?id=1086142</w:t>
        </w:r>
      </w:hyperlink>
    </w:p>
    <w:p>
      <w:pPr>
        <w:pStyle w:val="Reference"/>
        <w:rPr/>
      </w:pPr>
      <w:bookmarkStart w:id="19" w:name="__DdeLink__11501_941453575"/>
      <w:r>
        <w:rPr/>
        <w:t>Contorno</w:t>
      </w:r>
      <w:bookmarkEnd w:id="19"/>
      <w:r>
        <w:rPr/>
        <w:t xml:space="preserve">, Steve. 2017. MOSI to close most of its building, IMAX to save money before move to downtown Tampa. </w:t>
      </w:r>
      <w:r>
        <w:rPr>
          <w:i/>
          <w:iCs/>
        </w:rPr>
        <w:t>Tampa Bay Times</w:t>
      </w:r>
      <w:r>
        <w:rPr/>
        <w:t xml:space="preserve">, 18 May 2017. </w:t>
      </w:r>
      <w:hyperlink r:id="rId16">
        <w:r>
          <w:rPr>
            <w:rStyle w:val="InternetLink"/>
          </w:rPr>
          <w:t>https://www.tampabay.com/news/business/tourism/mosi-to-close-part-of-its-building-to-save-money-before-move-to-downtown/2324358/</w:t>
        </w:r>
      </w:hyperlink>
      <w:r>
        <w:rPr/>
        <w:t xml:space="preserve">, archived at </w:t>
      </w:r>
      <w:hyperlink r:id="rId17">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18">
        <w:r>
          <w:rPr>
            <w:rStyle w:val="ListLabel12"/>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19">
        <w:r>
          <w:rPr>
            <w:rStyle w:val="InternetLink"/>
          </w:rPr>
          <w:t>https://archiveswest.orbiscascade.org/ark:/80444/xv38626</w:t>
        </w:r>
      </w:hyperlink>
      <w:r>
        <w:rPr/>
        <w:t xml:space="preserve">, archived at </w:t>
      </w:r>
      <w:hyperlink r:id="rId20">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(Carnegie Museum of Natural History) and Alden H. Hamblin (Utah Field House). 29 January 1993.</w:t>
      </w:r>
    </w:p>
    <w:p>
      <w:pPr>
        <w:pStyle w:val="Reference"/>
        <w:rPr/>
      </w:pPr>
      <w:r>
        <w:rPr/>
        <w:t xml:space="preserve">Madsen, James H., James E. King, Jerry A. Miller, Alden H. Hamblin and Richard L. Barker. 1989. Agreement between Dinolab, inc., and the Utah Field House of Natural History State Park. </w:t>
      </w:r>
      <w:bookmarkStart w:id="20" w:name="__DdeLink__20580_446257137"/>
      <w:r>
        <w:rPr/>
        <w:t>Private agreement.</w:t>
      </w:r>
      <w:bookmarkEnd w:id="20"/>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1">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1" w:name="__DdeLink__16582_68767826"/>
      <w:r>
        <w:rPr/>
        <w:t>Nieuwland</w:t>
      </w:r>
      <w:bookmarkEnd w:id="21"/>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2">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t>Rodeck, Hugo G. 1952. Untitled letter from the Director of the University of Colorado Museum to David Canfied, Superintendant of Rocky Mountain National Park. 2 July 1952.</w:t>
      </w:r>
    </w:p>
    <w:p>
      <w:pPr>
        <w:pStyle w:val="Reference"/>
        <w:rPr/>
      </w:pPr>
      <w:r>
        <w:rPr/>
        <w:t>Rolfe, William D. I. 1988. Untitled letter to LuRae Caldwell (Utah Field House).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3">
        <w:r>
          <w:rPr>
            <w:rStyle w:val="FollowedHyperlink"/>
          </w:rPr>
          <w:t>https://wusfnews.wusf.usf.edu/news/2017-05-18/mosi-to-close-imax-other-exhibits-in-cost-saving-reconfiguration</w:t>
        </w:r>
      </w:hyperlink>
      <w:r>
        <w:rPr/>
        <w:t xml:space="preserve">, archived at </w:t>
      </w:r>
      <w:hyperlink r:id="rId24">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Williams, Oliver. Pre-historic dinosaur to tower over city; giant animal four times taller than man.</w:t>
      </w:r>
      <w:r>
        <w:rPr/>
        <w:t xml:space="preserve"> </w:t>
      </w:r>
      <w:r>
        <w:rPr>
          <w:i/>
          <w:iCs/>
        </w:rPr>
        <w:t>Rocky Mount Evening Telegram</w:t>
      </w:r>
      <w:r>
        <w:rPr/>
        <w:t xml:space="preserve">, 24 April 1960, page 3B. </w:t>
      </w:r>
      <w:hyperlink r:id="rId25">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2" w:name="__RefHeading___Toc3407_68767826"/>
      <w:bookmarkEnd w:id="22"/>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The elements of the concrete cast, packed onto wooden pallets outside the new Field House building on 8 April 2013. They has been prepared for transportation to the Utah State University Eastern campus in Price, Utah, about 100 miles southwest of Vernal. </w:t>
      </w:r>
      <w:r>
        <w:rPr>
          <w:b w:val="false"/>
          <w:bCs w:val="false"/>
        </w:rPr>
        <w:t>Photograph by Steven D. Sroka.</w:t>
      </w:r>
    </w:p>
    <w:p>
      <w:pPr>
        <w:pStyle w:val="FigureCaption"/>
        <w:rPr/>
      </w:pPr>
      <w:r>
        <w:rPr>
          <w:b/>
          <w:bCs/>
        </w:rPr>
        <w:t>Figure K.</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r>
        <w:br w:type="page"/>
      </w:r>
    </w:p>
    <w:p>
      <w:pPr>
        <w:pStyle w:val="Heading1"/>
        <w:rPr/>
      </w:pPr>
      <w:bookmarkStart w:id="23" w:name="__RefHeading___Toc4426_1817233446"/>
      <w:bookmarkEnd w:id="23"/>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Borders/>
        <w:tblCellMar>
          <w:top w:w="0" w:type="dxa"/>
          <w:left w:w="0" w:type="dxa"/>
          <w:bottom w:w="0" w:type="dxa"/>
          <w:right w:w="0" w:type="dxa"/>
        </w:tblCellMar>
      </w:tblPr>
      <w:tblGrid>
        <w:gridCol w:w="560"/>
        <w:gridCol w:w="1430"/>
        <w:gridCol w:w="1191"/>
        <w:gridCol w:w="1075"/>
        <w:gridCol w:w="1124"/>
        <w:gridCol w:w="1097"/>
        <w:gridCol w:w="1484"/>
        <w:gridCol w:w="1675"/>
      </w:tblGrid>
      <w:tr>
        <w:trPr>
          <w:tblHeader w:val="true"/>
        </w:trPr>
        <w:tc>
          <w:tcPr>
            <w:tcW w:w="560" w:type="dxa"/>
            <w:tcBorders/>
            <w:shd w:fill="auto" w:val="clear"/>
          </w:tcPr>
          <w:p>
            <w:pPr>
              <w:pStyle w:val="TextBody"/>
              <w:widowControl w:val="false"/>
              <w:spacing w:before="0" w:after="140"/>
              <w:rPr>
                <w:b/>
                <w:b/>
                <w:bCs/>
                <w:sz w:val="22"/>
                <w:szCs w:val="22"/>
              </w:rPr>
            </w:pPr>
            <w:r>
              <w:rPr>
                <w:b/>
                <w:bCs/>
                <w:sz w:val="22"/>
                <w:szCs w:val="22"/>
              </w:rPr>
              <w:t>#</w:t>
            </w:r>
          </w:p>
        </w:tc>
        <w:tc>
          <w:tcPr>
            <w:tcW w:w="1430" w:type="dxa"/>
            <w:tcBorders/>
            <w:shd w:fill="auto" w:val="clear"/>
          </w:tcPr>
          <w:p>
            <w:pPr>
              <w:pStyle w:val="TextBody"/>
              <w:widowControl w:val="false"/>
              <w:spacing w:before="0" w:after="140"/>
              <w:rPr>
                <w:b/>
                <w:b/>
                <w:bCs/>
                <w:sz w:val="22"/>
                <w:szCs w:val="22"/>
              </w:rPr>
            </w:pPr>
            <w:r>
              <w:rPr>
                <w:b/>
                <w:bCs/>
                <w:sz w:val="22"/>
                <w:szCs w:val="22"/>
              </w:rPr>
              <w:t>Date</w:t>
            </w:r>
          </w:p>
        </w:tc>
        <w:tc>
          <w:tcPr>
            <w:tcW w:w="1191" w:type="dxa"/>
            <w:tcBorders/>
            <w:shd w:fill="auto" w:val="clear"/>
          </w:tcPr>
          <w:p>
            <w:pPr>
              <w:pStyle w:val="TextBody"/>
              <w:widowControl w:val="false"/>
              <w:spacing w:before="0" w:after="140"/>
              <w:rPr>
                <w:b/>
                <w:b/>
                <w:bCs/>
                <w:sz w:val="22"/>
                <w:szCs w:val="22"/>
              </w:rPr>
            </w:pPr>
            <w:r>
              <w:rPr>
                <w:b/>
                <w:bCs/>
                <w:sz w:val="22"/>
                <w:szCs w:val="22"/>
              </w:rPr>
              <w:t>Client</w:t>
            </w:r>
          </w:p>
        </w:tc>
        <w:tc>
          <w:tcPr>
            <w:tcW w:w="1075" w:type="dxa"/>
            <w:tcBorders/>
            <w:shd w:fill="auto" w:val="clear"/>
          </w:tcPr>
          <w:p>
            <w:pPr>
              <w:pStyle w:val="TextBody"/>
              <w:widowControl w:val="false"/>
              <w:spacing w:before="0" w:after="140"/>
              <w:rPr>
                <w:b/>
                <w:b/>
                <w:bCs/>
                <w:sz w:val="22"/>
                <w:szCs w:val="22"/>
              </w:rPr>
            </w:pPr>
            <w:r>
              <w:rPr>
                <w:b/>
                <w:bCs/>
                <w:sz w:val="22"/>
                <w:szCs w:val="22"/>
              </w:rPr>
              <w:t>City</w:t>
            </w:r>
          </w:p>
        </w:tc>
        <w:tc>
          <w:tcPr>
            <w:tcW w:w="1124" w:type="dxa"/>
            <w:tcBorders/>
            <w:shd w:fill="auto" w:val="clear"/>
          </w:tcPr>
          <w:p>
            <w:pPr>
              <w:pStyle w:val="TextBody"/>
              <w:widowControl w:val="false"/>
              <w:spacing w:before="0" w:after="140"/>
              <w:rPr>
                <w:b/>
                <w:b/>
                <w:bCs/>
                <w:sz w:val="22"/>
                <w:szCs w:val="22"/>
              </w:rPr>
            </w:pPr>
            <w:r>
              <w:rPr>
                <w:b/>
                <w:bCs/>
                <w:sz w:val="22"/>
                <w:szCs w:val="22"/>
              </w:rPr>
              <w:t>Region</w:t>
            </w:r>
          </w:p>
        </w:tc>
        <w:tc>
          <w:tcPr>
            <w:tcW w:w="1097" w:type="dxa"/>
            <w:tcBorders/>
            <w:shd w:fill="auto" w:val="clear"/>
          </w:tcPr>
          <w:p>
            <w:pPr>
              <w:pStyle w:val="TextBody"/>
              <w:widowControl w:val="false"/>
              <w:spacing w:before="0" w:after="140"/>
              <w:rPr>
                <w:b/>
                <w:b/>
                <w:bCs/>
                <w:sz w:val="22"/>
                <w:szCs w:val="22"/>
              </w:rPr>
            </w:pPr>
            <w:r>
              <w:rPr>
                <w:b/>
                <w:bCs/>
                <w:sz w:val="22"/>
                <w:szCs w:val="22"/>
              </w:rPr>
              <w:t>Country</w:t>
            </w:r>
          </w:p>
        </w:tc>
        <w:tc>
          <w:tcPr>
            <w:tcW w:w="3159" w:type="dxa"/>
            <w:gridSpan w:val="2"/>
            <w:tcBorders/>
            <w:shd w:fill="auto" w:val="clear"/>
          </w:tcPr>
          <w:p>
            <w:pPr>
              <w:pStyle w:val="TextBody"/>
              <w:widowControl w:val="false"/>
              <w:spacing w:before="0" w:after="140"/>
              <w:rPr>
                <w:b/>
                <w:b/>
                <w:bCs/>
                <w:sz w:val="22"/>
                <w:szCs w:val="22"/>
              </w:rPr>
            </w:pPr>
            <w:r>
              <w:rPr>
                <w:b/>
                <w:bCs/>
                <w:sz w:val="22"/>
                <w:szCs w:val="22"/>
              </w:rPr>
              <w:t>Royalties paid</w:t>
            </w:r>
          </w:p>
        </w:tc>
      </w:tr>
      <w:tr>
        <w:trPr/>
        <w:tc>
          <w:tcPr>
            <w:tcW w:w="560" w:type="dxa"/>
            <w:tcBorders/>
            <w:shd w:fill="auto" w:val="clear"/>
          </w:tcPr>
          <w:p>
            <w:pPr>
              <w:pStyle w:val="TextBody"/>
              <w:widowControl w:val="false"/>
              <w:spacing w:before="0" w:after="140"/>
              <w:rPr>
                <w:b/>
                <w:b/>
                <w:bCs/>
                <w:sz w:val="22"/>
                <w:szCs w:val="22"/>
              </w:rPr>
            </w:pPr>
            <w:r>
              <w:rPr>
                <w:b/>
                <w:bCs/>
                <w:sz w:val="22"/>
                <w:szCs w:val="22"/>
              </w:rPr>
            </w:r>
          </w:p>
        </w:tc>
        <w:tc>
          <w:tcPr>
            <w:tcW w:w="1430" w:type="dxa"/>
            <w:tcBorders/>
            <w:shd w:fill="auto" w:val="clear"/>
          </w:tcPr>
          <w:p>
            <w:pPr>
              <w:pStyle w:val="TextBody"/>
              <w:widowControl w:val="false"/>
              <w:spacing w:before="0" w:after="140"/>
              <w:rPr>
                <w:b/>
                <w:b/>
                <w:bCs/>
                <w:sz w:val="22"/>
                <w:szCs w:val="22"/>
              </w:rPr>
            </w:pPr>
            <w:r>
              <w:rPr>
                <w:b/>
                <w:bCs/>
                <w:sz w:val="22"/>
                <w:szCs w:val="22"/>
              </w:rPr>
            </w:r>
          </w:p>
        </w:tc>
        <w:tc>
          <w:tcPr>
            <w:tcW w:w="1191" w:type="dxa"/>
            <w:tcBorders/>
            <w:shd w:fill="auto" w:val="clear"/>
          </w:tcPr>
          <w:p>
            <w:pPr>
              <w:pStyle w:val="TextBody"/>
              <w:widowControl w:val="false"/>
              <w:spacing w:before="0" w:after="140"/>
              <w:rPr>
                <w:b/>
                <w:b/>
                <w:bCs/>
                <w:sz w:val="22"/>
                <w:szCs w:val="22"/>
              </w:rPr>
            </w:pPr>
            <w:r>
              <w:rPr>
                <w:b/>
                <w:bCs/>
                <w:sz w:val="22"/>
                <w:szCs w:val="22"/>
              </w:rPr>
            </w:r>
          </w:p>
        </w:tc>
        <w:tc>
          <w:tcPr>
            <w:tcW w:w="1075" w:type="dxa"/>
            <w:tcBorders/>
            <w:shd w:fill="auto" w:val="clear"/>
          </w:tcPr>
          <w:p>
            <w:pPr>
              <w:pStyle w:val="TextBody"/>
              <w:widowControl w:val="false"/>
              <w:spacing w:before="0" w:after="140"/>
              <w:rPr>
                <w:b/>
                <w:b/>
                <w:bCs/>
                <w:sz w:val="22"/>
                <w:szCs w:val="22"/>
              </w:rPr>
            </w:pPr>
            <w:r>
              <w:rPr>
                <w:b/>
                <w:bCs/>
                <w:sz w:val="22"/>
                <w:szCs w:val="22"/>
              </w:rPr>
            </w:r>
          </w:p>
        </w:tc>
        <w:tc>
          <w:tcPr>
            <w:tcW w:w="1124" w:type="dxa"/>
            <w:tcBorders/>
            <w:shd w:fill="auto" w:val="clear"/>
          </w:tcPr>
          <w:p>
            <w:pPr>
              <w:pStyle w:val="TextBody"/>
              <w:widowControl w:val="false"/>
              <w:spacing w:before="0" w:after="140"/>
              <w:rPr>
                <w:b/>
                <w:b/>
                <w:bCs/>
                <w:sz w:val="22"/>
                <w:szCs w:val="22"/>
              </w:rPr>
            </w:pPr>
            <w:r>
              <w:rPr>
                <w:b/>
                <w:bCs/>
                <w:sz w:val="22"/>
                <w:szCs w:val="22"/>
              </w:rPr>
            </w:r>
          </w:p>
        </w:tc>
        <w:tc>
          <w:tcPr>
            <w:tcW w:w="1097" w:type="dxa"/>
            <w:tcBorders/>
            <w:shd w:fill="auto" w:val="clear"/>
          </w:tcPr>
          <w:p>
            <w:pPr>
              <w:pStyle w:val="TextBody"/>
              <w:widowControl w:val="false"/>
              <w:spacing w:before="0" w:after="140"/>
              <w:rPr>
                <w:b/>
                <w:b/>
                <w:bCs/>
                <w:sz w:val="22"/>
                <w:szCs w:val="22"/>
              </w:rPr>
            </w:pPr>
            <w:r>
              <w:rPr>
                <w:b/>
                <w:bCs/>
                <w:sz w:val="22"/>
                <w:szCs w:val="22"/>
              </w:rPr>
            </w:r>
          </w:p>
        </w:tc>
        <w:tc>
          <w:tcPr>
            <w:tcW w:w="1484" w:type="dxa"/>
            <w:tcBorders/>
            <w:shd w:fill="auto" w:val="clear"/>
          </w:tcPr>
          <w:p>
            <w:pPr>
              <w:pStyle w:val="TextBody"/>
              <w:widowControl w:val="false"/>
              <w:spacing w:before="0" w:after="140"/>
              <w:rPr>
                <w:b/>
                <w:b/>
                <w:bCs/>
                <w:sz w:val="22"/>
                <w:szCs w:val="22"/>
              </w:rPr>
            </w:pPr>
            <w:r>
              <w:rPr>
                <w:b/>
                <w:bCs/>
                <w:sz w:val="22"/>
                <w:szCs w:val="22"/>
              </w:rPr>
              <w:t>Field House</w:t>
            </w:r>
          </w:p>
        </w:tc>
        <w:tc>
          <w:tcPr>
            <w:tcW w:w="1675" w:type="dxa"/>
            <w:tcBorders/>
            <w:shd w:fill="auto" w:val="clear"/>
          </w:tcPr>
          <w:p>
            <w:pPr>
              <w:pStyle w:val="TextBody"/>
              <w:widowControl w:val="false"/>
              <w:spacing w:before="0" w:after="140"/>
              <w:rPr>
                <w:b/>
                <w:b/>
                <w:bCs/>
                <w:sz w:val="22"/>
                <w:szCs w:val="22"/>
              </w:rPr>
            </w:pPr>
            <w:r>
              <w:rPr>
                <w:b/>
                <w:bCs/>
                <w:sz w:val="22"/>
                <w:szCs w:val="22"/>
              </w:rPr>
              <w:t>Carnegie</w:t>
            </w:r>
          </w:p>
        </w:tc>
      </w:tr>
      <w:tr>
        <w:trPr/>
        <w:tc>
          <w:tcPr>
            <w:tcW w:w="560" w:type="dxa"/>
            <w:tcBorders/>
            <w:shd w:fill="auto" w:val="clear"/>
          </w:tcPr>
          <w:p>
            <w:pPr>
              <w:pStyle w:val="TextBody"/>
              <w:widowControl w:val="false"/>
              <w:spacing w:before="0" w:after="140"/>
              <w:rPr>
                <w:sz w:val="22"/>
                <w:szCs w:val="22"/>
              </w:rPr>
            </w:pPr>
            <w:r>
              <w:rPr>
                <w:sz w:val="22"/>
                <w:szCs w:val="22"/>
              </w:rPr>
              <w:t>1</w:t>
            </w:r>
          </w:p>
        </w:tc>
        <w:tc>
          <w:tcPr>
            <w:tcW w:w="1430" w:type="dxa"/>
            <w:tcBorders/>
            <w:shd w:fill="auto" w:val="clear"/>
          </w:tcPr>
          <w:p>
            <w:pPr>
              <w:pStyle w:val="TextBody"/>
              <w:widowControl w:val="false"/>
              <w:spacing w:before="0" w:after="140"/>
              <w:rPr>
                <w:sz w:val="22"/>
                <w:szCs w:val="22"/>
              </w:rPr>
            </w:pPr>
            <w:r>
              <w:rPr>
                <w:sz w:val="22"/>
                <w:szCs w:val="22"/>
              </w:rPr>
              <w:t>January 1990</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5" w:type="dxa"/>
            <w:tcBorders/>
            <w:shd w:fill="auto" w:val="clear"/>
          </w:tcPr>
          <w:p>
            <w:pPr>
              <w:pStyle w:val="TextBody"/>
              <w:widowControl w:val="false"/>
              <w:spacing w:before="0" w:after="140"/>
              <w:rPr>
                <w:sz w:val="22"/>
                <w:szCs w:val="22"/>
              </w:rPr>
            </w:pPr>
            <w:r>
              <w:rPr>
                <w:sz w:val="22"/>
                <w:szCs w:val="22"/>
              </w:rPr>
              <w:t>Odawara</w:t>
            </w:r>
          </w:p>
        </w:tc>
        <w:tc>
          <w:tcPr>
            <w:tcW w:w="1124" w:type="dxa"/>
            <w:tcBorders/>
            <w:shd w:fill="auto" w:val="clear"/>
          </w:tcPr>
          <w:p>
            <w:pPr>
              <w:pStyle w:val="TextBody"/>
              <w:widowControl w:val="false"/>
              <w:spacing w:before="0" w:after="140"/>
              <w:rPr>
                <w:sz w:val="22"/>
                <w:szCs w:val="22"/>
              </w:rPr>
            </w:pPr>
            <w:r>
              <w:rPr>
                <w:sz w:val="22"/>
                <w:szCs w:val="22"/>
              </w:rPr>
              <w:t>Kanagawa</w:t>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5" w:type="dxa"/>
            <w:tcBorders/>
            <w:shd w:fill="auto" w:val="clear"/>
          </w:tcPr>
          <w:p>
            <w:pPr>
              <w:pStyle w:val="TextBody"/>
              <w:widowControl w:val="false"/>
              <w:spacing w:before="0" w:after="140"/>
              <w:rPr>
                <w:sz w:val="22"/>
                <w:szCs w:val="22"/>
              </w:rPr>
            </w:pPr>
            <w:r>
              <w:rPr>
                <w:sz w:val="22"/>
                <w:szCs w:val="22"/>
              </w:rPr>
              <w:t>N/A</w:t>
            </w:r>
          </w:p>
        </w:tc>
      </w:tr>
      <w:tr>
        <w:trPr/>
        <w:tc>
          <w:tcPr>
            <w:tcW w:w="560" w:type="dxa"/>
            <w:tcBorders/>
            <w:shd w:fill="auto" w:val="clear"/>
          </w:tcPr>
          <w:p>
            <w:pPr>
              <w:pStyle w:val="TextBody"/>
              <w:widowControl w:val="false"/>
              <w:spacing w:before="0" w:after="140"/>
              <w:rPr>
                <w:sz w:val="22"/>
                <w:szCs w:val="22"/>
              </w:rPr>
            </w:pPr>
            <w:r>
              <w:rPr>
                <w:sz w:val="22"/>
                <w:szCs w:val="22"/>
              </w:rPr>
              <w:t>2</w:t>
            </w:r>
          </w:p>
        </w:tc>
        <w:tc>
          <w:tcPr>
            <w:tcW w:w="1430" w:type="dxa"/>
            <w:tcBorders/>
            <w:shd w:fill="auto" w:val="clear"/>
          </w:tcPr>
          <w:p>
            <w:pPr>
              <w:pStyle w:val="TextBody"/>
              <w:widowControl w:val="false"/>
              <w:spacing w:before="0" w:after="140"/>
              <w:rPr>
                <w:sz w:val="22"/>
                <w:szCs w:val="22"/>
              </w:rPr>
            </w:pPr>
            <w:r>
              <w:rPr>
                <w:sz w:val="22"/>
                <w:szCs w:val="22"/>
              </w:rPr>
              <w:t>October 1992</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5" w:type="dxa"/>
            <w:tcBorders/>
            <w:shd w:fill="auto" w:val="clear"/>
          </w:tcPr>
          <w:p>
            <w:pPr>
              <w:pStyle w:val="TextBody"/>
              <w:widowControl w:val="false"/>
              <w:spacing w:before="0" w:after="140"/>
              <w:rPr>
                <w:sz w:val="22"/>
                <w:szCs w:val="22"/>
              </w:rPr>
            </w:pPr>
            <w:r>
              <w:rPr>
                <w:sz w:val="22"/>
                <w:szCs w:val="22"/>
              </w:rPr>
              <w:t>Shiramine</w:t>
            </w:r>
          </w:p>
        </w:tc>
        <w:tc>
          <w:tcPr>
            <w:tcW w:w="1124" w:type="dxa"/>
            <w:tcBorders/>
            <w:shd w:fill="auto" w:val="clear"/>
          </w:tcPr>
          <w:p>
            <w:pPr>
              <w:pStyle w:val="TextBody"/>
              <w:widowControl w:val="false"/>
              <w:spacing w:before="0" w:after="140"/>
              <w:rPr>
                <w:sz w:val="22"/>
                <w:szCs w:val="22"/>
              </w:rPr>
            </w:pPr>
            <w:r>
              <w:rPr>
                <w:sz w:val="22"/>
                <w:szCs w:val="22"/>
              </w:rPr>
              <w:t>Ishikawa</w:t>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5" w:type="dxa"/>
            <w:tcBorders/>
            <w:shd w:fill="auto" w:val="clear"/>
          </w:tcPr>
          <w:p>
            <w:pPr>
              <w:pStyle w:val="TextBody"/>
              <w:widowControl w:val="false"/>
              <w:spacing w:before="0" w:after="140"/>
              <w:rPr>
                <w:sz w:val="22"/>
                <w:szCs w:val="22"/>
              </w:rPr>
            </w:pPr>
            <w:r>
              <w:rPr>
                <w:sz w:val="22"/>
                <w:szCs w:val="22"/>
              </w:rPr>
              <w:t>N/A</w:t>
            </w:r>
          </w:p>
        </w:tc>
      </w:tr>
      <w:tr>
        <w:trPr/>
        <w:tc>
          <w:tcPr>
            <w:tcW w:w="560" w:type="dxa"/>
            <w:tcBorders/>
            <w:shd w:fill="auto" w:val="clear"/>
          </w:tcPr>
          <w:p>
            <w:pPr>
              <w:pStyle w:val="TextBody"/>
              <w:widowControl w:val="false"/>
              <w:spacing w:before="0" w:after="140"/>
              <w:rPr>
                <w:sz w:val="22"/>
                <w:szCs w:val="22"/>
              </w:rPr>
            </w:pPr>
            <w:r>
              <w:rPr>
                <w:sz w:val="22"/>
                <w:szCs w:val="22"/>
              </w:rPr>
              <w:t>3</w:t>
            </w:r>
          </w:p>
        </w:tc>
        <w:tc>
          <w:tcPr>
            <w:tcW w:w="1430" w:type="dxa"/>
            <w:tcBorders/>
            <w:shd w:fill="auto" w:val="clear"/>
          </w:tcPr>
          <w:p>
            <w:pPr>
              <w:pStyle w:val="TextBody"/>
              <w:widowControl w:val="false"/>
              <w:spacing w:before="0" w:after="140"/>
              <w:rPr>
                <w:sz w:val="22"/>
                <w:szCs w:val="22"/>
              </w:rPr>
            </w:pPr>
            <w:r>
              <w:rPr>
                <w:sz w:val="22"/>
                <w:szCs w:val="22"/>
              </w:rPr>
              <w:t>May 1992</w:t>
            </w:r>
          </w:p>
        </w:tc>
        <w:tc>
          <w:tcPr>
            <w:tcW w:w="1191" w:type="dxa"/>
            <w:tcBorders/>
            <w:shd w:fill="auto" w:val="clear"/>
          </w:tcPr>
          <w:p>
            <w:pPr>
              <w:pStyle w:val="TextBody"/>
              <w:widowControl w:val="false"/>
              <w:spacing w:before="0" w:after="140"/>
              <w:rPr>
                <w:sz w:val="22"/>
                <w:szCs w:val="22"/>
              </w:rPr>
            </w:pPr>
            <w:r>
              <w:rPr>
                <w:sz w:val="22"/>
                <w:szCs w:val="22"/>
              </w:rPr>
              <w:t>Mitzukoshi</w:t>
            </w:r>
          </w:p>
        </w:tc>
        <w:tc>
          <w:tcPr>
            <w:tcW w:w="2199" w:type="dxa"/>
            <w:gridSpan w:val="2"/>
            <w:tcBorders/>
            <w:shd w:fill="auto" w:val="clear"/>
          </w:tcPr>
          <w:p>
            <w:pPr>
              <w:pStyle w:val="TextBody"/>
              <w:widowControl w:val="false"/>
              <w:spacing w:before="0" w:after="140"/>
              <w:rPr>
                <w:i/>
                <w:i/>
                <w:iCs/>
                <w:sz w:val="22"/>
                <w:szCs w:val="22"/>
              </w:rPr>
            </w:pPr>
            <w:r>
              <w:rPr>
                <w:i/>
                <w:iCs/>
                <w:sz w:val="22"/>
                <w:szCs w:val="22"/>
              </w:rPr>
              <w:t>(Travelling exhibit)</w:t>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5" w:type="dxa"/>
            <w:tcBorders/>
            <w:shd w:fill="auto" w:val="clear"/>
          </w:tcPr>
          <w:p>
            <w:pPr>
              <w:pStyle w:val="TextBody"/>
              <w:widowControl w:val="false"/>
              <w:spacing w:before="0" w:after="140"/>
              <w:rPr>
                <w:sz w:val="22"/>
                <w:szCs w:val="22"/>
              </w:rPr>
            </w:pPr>
            <w:r>
              <w:rPr>
                <w:sz w:val="22"/>
                <w:szCs w:val="22"/>
              </w:rPr>
              <w:t>$3,500</w:t>
            </w:r>
          </w:p>
        </w:tc>
      </w:tr>
      <w:tr>
        <w:trPr>
          <w:trHeight w:val="528" w:hRule="atLeast"/>
        </w:trPr>
        <w:tc>
          <w:tcPr>
            <w:tcW w:w="560" w:type="dxa"/>
            <w:tcBorders/>
            <w:shd w:fill="auto" w:val="clear"/>
          </w:tcPr>
          <w:p>
            <w:pPr>
              <w:pStyle w:val="TextBody"/>
              <w:widowControl w:val="false"/>
              <w:spacing w:before="0" w:after="140"/>
              <w:rPr>
                <w:sz w:val="22"/>
                <w:szCs w:val="22"/>
              </w:rPr>
            </w:pPr>
            <w:r>
              <w:rPr>
                <w:sz w:val="22"/>
                <w:szCs w:val="22"/>
              </w:rPr>
              <w:t>4</w:t>
            </w:r>
          </w:p>
        </w:tc>
        <w:tc>
          <w:tcPr>
            <w:tcW w:w="1430" w:type="dxa"/>
            <w:tcBorders/>
            <w:shd w:fill="auto" w:val="clear"/>
          </w:tcPr>
          <w:p>
            <w:pPr>
              <w:pStyle w:val="TextBody"/>
              <w:widowControl w:val="false"/>
              <w:spacing w:before="0" w:after="140"/>
              <w:rPr>
                <w:sz w:val="22"/>
                <w:szCs w:val="22"/>
              </w:rPr>
            </w:pPr>
            <w:r>
              <w:rPr>
                <w:sz w:val="22"/>
                <w:szCs w:val="22"/>
              </w:rPr>
              <w:t>June 1992</w:t>
            </w:r>
          </w:p>
        </w:tc>
        <w:tc>
          <w:tcPr>
            <w:tcW w:w="1191" w:type="dxa"/>
            <w:tcBorders/>
            <w:shd w:fill="auto" w:val="clear"/>
          </w:tcPr>
          <w:p>
            <w:pPr>
              <w:pStyle w:val="TextBody"/>
              <w:widowControl w:val="false"/>
              <w:spacing w:before="0" w:after="140"/>
              <w:rPr>
                <w:sz w:val="22"/>
                <w:szCs w:val="22"/>
              </w:rPr>
            </w:pPr>
            <w:r>
              <w:rPr>
                <w:sz w:val="22"/>
                <w:szCs w:val="22"/>
              </w:rPr>
              <w:t>RCI</w:t>
            </w:r>
          </w:p>
        </w:tc>
        <w:tc>
          <w:tcPr>
            <w:tcW w:w="1075" w:type="dxa"/>
            <w:tcBorders/>
            <w:shd w:fill="auto" w:val="clear"/>
          </w:tcPr>
          <w:p>
            <w:pPr>
              <w:pStyle w:val="TextBody"/>
              <w:widowControl w:val="false"/>
              <w:spacing w:before="0" w:after="140"/>
              <w:rPr>
                <w:sz w:val="22"/>
                <w:szCs w:val="22"/>
              </w:rPr>
            </w:pPr>
            <w:r>
              <w:rPr>
                <w:sz w:val="22"/>
                <w:szCs w:val="22"/>
              </w:rPr>
              <w:t>Shimizu</w:t>
            </w:r>
          </w:p>
        </w:tc>
        <w:tc>
          <w:tcPr>
            <w:tcW w:w="1124" w:type="dxa"/>
            <w:tcBorders/>
            <w:shd w:fill="auto" w:val="clear"/>
          </w:tcPr>
          <w:p>
            <w:pPr>
              <w:pStyle w:val="Normal"/>
              <w:widowControl w:val="false"/>
              <w:rPr>
                <w:sz w:val="22"/>
                <w:szCs w:val="22"/>
              </w:rPr>
            </w:pPr>
            <w:r>
              <w:rPr>
                <w:sz w:val="22"/>
                <w:szCs w:val="22"/>
              </w:rPr>
              <w:t>Tokai</w:t>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5" w:type="dxa"/>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60" w:type="dxa"/>
            <w:tcBorders/>
            <w:shd w:fill="auto" w:val="clear"/>
          </w:tcPr>
          <w:p>
            <w:pPr>
              <w:pStyle w:val="TextBody"/>
              <w:widowControl w:val="false"/>
              <w:spacing w:before="0" w:after="140"/>
              <w:rPr>
                <w:sz w:val="22"/>
                <w:szCs w:val="22"/>
              </w:rPr>
            </w:pPr>
            <w:r>
              <w:rPr>
                <w:sz w:val="22"/>
                <w:szCs w:val="22"/>
              </w:rPr>
              <w:t>5</w:t>
            </w:r>
          </w:p>
        </w:tc>
        <w:tc>
          <w:tcPr>
            <w:tcW w:w="1430" w:type="dxa"/>
            <w:tcBorders/>
            <w:shd w:fill="auto" w:val="clear"/>
          </w:tcPr>
          <w:p>
            <w:pPr>
              <w:pStyle w:val="TextBody"/>
              <w:widowControl w:val="false"/>
              <w:spacing w:before="0" w:after="140"/>
              <w:rPr>
                <w:sz w:val="22"/>
                <w:szCs w:val="22"/>
              </w:rPr>
            </w:pPr>
            <w:r>
              <w:rPr>
                <w:sz w:val="22"/>
                <w:szCs w:val="22"/>
              </w:rPr>
              <w:t>May 1991</w:t>
            </w:r>
          </w:p>
        </w:tc>
        <w:tc>
          <w:tcPr>
            <w:tcW w:w="1191" w:type="dxa"/>
            <w:tcBorders/>
            <w:shd w:fill="auto" w:val="clear"/>
          </w:tcPr>
          <w:p>
            <w:pPr>
              <w:pStyle w:val="TextBody"/>
              <w:widowControl w:val="false"/>
              <w:spacing w:before="0" w:after="140"/>
              <w:rPr>
                <w:sz w:val="22"/>
                <w:szCs w:val="22"/>
              </w:rPr>
            </w:pPr>
            <w:r>
              <w:rPr>
                <w:sz w:val="22"/>
                <w:szCs w:val="22"/>
              </w:rPr>
            </w:r>
          </w:p>
        </w:tc>
        <w:tc>
          <w:tcPr>
            <w:tcW w:w="1075" w:type="dxa"/>
            <w:tcBorders/>
            <w:shd w:fill="auto" w:val="clear"/>
          </w:tcPr>
          <w:p>
            <w:pPr>
              <w:pStyle w:val="TextBody"/>
              <w:widowControl w:val="false"/>
              <w:spacing w:before="0" w:after="140"/>
              <w:rPr>
                <w:sz w:val="22"/>
                <w:szCs w:val="22"/>
              </w:rPr>
            </w:pPr>
            <w:r>
              <w:rPr>
                <w:sz w:val="22"/>
                <w:szCs w:val="22"/>
              </w:rPr>
              <w:t>Vernal</w:t>
            </w:r>
          </w:p>
        </w:tc>
        <w:tc>
          <w:tcPr>
            <w:tcW w:w="1124" w:type="dxa"/>
            <w:tcBorders/>
            <w:shd w:fill="auto" w:val="clear"/>
          </w:tcPr>
          <w:p>
            <w:pPr>
              <w:pStyle w:val="Normal"/>
              <w:widowControl w:val="false"/>
              <w:rPr>
                <w:sz w:val="22"/>
                <w:szCs w:val="22"/>
              </w:rPr>
            </w:pPr>
            <w:r>
              <w:rPr>
                <w:sz w:val="22"/>
                <w:szCs w:val="22"/>
              </w:rPr>
              <w:t>Utah</w:t>
            </w:r>
          </w:p>
        </w:tc>
        <w:tc>
          <w:tcPr>
            <w:tcW w:w="1097"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t>N/A</w:t>
            </w:r>
          </w:p>
        </w:tc>
        <w:tc>
          <w:tcPr>
            <w:tcW w:w="1675" w:type="dxa"/>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60" w:type="dxa"/>
            <w:tcBorders/>
            <w:shd w:fill="auto" w:val="clear"/>
          </w:tcPr>
          <w:p>
            <w:pPr>
              <w:pStyle w:val="TextBody"/>
              <w:widowControl w:val="false"/>
              <w:spacing w:before="0" w:after="140"/>
              <w:rPr>
                <w:sz w:val="22"/>
                <w:szCs w:val="22"/>
              </w:rPr>
            </w:pPr>
            <w:r>
              <w:rPr>
                <w:sz w:val="22"/>
                <w:szCs w:val="22"/>
              </w:rPr>
              <w:t>6</w:t>
            </w:r>
          </w:p>
        </w:tc>
        <w:tc>
          <w:tcPr>
            <w:tcW w:w="1430" w:type="dxa"/>
            <w:tcBorders/>
            <w:shd w:fill="auto" w:val="clear"/>
          </w:tcPr>
          <w:p>
            <w:pPr>
              <w:pStyle w:val="TextBody"/>
              <w:widowControl w:val="false"/>
              <w:spacing w:before="0" w:after="140"/>
              <w:rPr>
                <w:sz w:val="22"/>
                <w:szCs w:val="22"/>
              </w:rPr>
            </w:pPr>
            <w:r>
              <w:rPr>
                <w:sz w:val="22"/>
                <w:szCs w:val="22"/>
              </w:rPr>
              <w:t>February 1998</w:t>
            </w:r>
          </w:p>
        </w:tc>
        <w:tc>
          <w:tcPr>
            <w:tcW w:w="1191" w:type="dxa"/>
            <w:tcBorders/>
            <w:shd w:fill="auto" w:val="clear"/>
          </w:tcPr>
          <w:p>
            <w:pPr>
              <w:pStyle w:val="TextBody"/>
              <w:widowControl w:val="false"/>
              <w:spacing w:before="0" w:after="140"/>
              <w:rPr>
                <w:sz w:val="22"/>
                <w:szCs w:val="22"/>
              </w:rPr>
            </w:pPr>
            <w:r>
              <w:rPr>
                <w:sz w:val="22"/>
                <w:szCs w:val="22"/>
              </w:rPr>
            </w:r>
          </w:p>
        </w:tc>
        <w:tc>
          <w:tcPr>
            <w:tcW w:w="1075" w:type="dxa"/>
            <w:tcBorders/>
            <w:shd w:fill="auto" w:val="clear"/>
          </w:tcPr>
          <w:p>
            <w:pPr>
              <w:pStyle w:val="TextBody"/>
              <w:widowControl w:val="false"/>
              <w:spacing w:before="0" w:after="140"/>
              <w:rPr>
                <w:sz w:val="22"/>
                <w:szCs w:val="22"/>
              </w:rPr>
            </w:pPr>
            <w:r>
              <w:rPr>
                <w:sz w:val="22"/>
                <w:szCs w:val="22"/>
              </w:rPr>
              <w:t>Tokyo</w:t>
            </w:r>
          </w:p>
        </w:tc>
        <w:tc>
          <w:tcPr>
            <w:tcW w:w="1124" w:type="dxa"/>
            <w:tcBorders/>
            <w:shd w:fill="auto" w:val="clear"/>
          </w:tcPr>
          <w:p>
            <w:pPr>
              <w:pStyle w:val="Normal"/>
              <w:widowControl w:val="false"/>
              <w:rPr>
                <w:sz w:val="22"/>
                <w:szCs w:val="22"/>
              </w:rPr>
            </w:pPr>
            <w:r>
              <w:rPr>
                <w:sz w:val="22"/>
                <w:szCs w:val="22"/>
              </w:rPr>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r>
          </w:p>
        </w:tc>
        <w:tc>
          <w:tcPr>
            <w:tcW w:w="1675" w:type="dxa"/>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60" w:type="dxa"/>
            <w:tcBorders/>
            <w:shd w:fill="auto" w:val="clear"/>
          </w:tcPr>
          <w:p>
            <w:pPr>
              <w:pStyle w:val="TextBody"/>
              <w:widowControl w:val="false"/>
              <w:spacing w:before="0" w:after="140"/>
              <w:rPr>
                <w:sz w:val="22"/>
                <w:szCs w:val="22"/>
              </w:rPr>
            </w:pPr>
            <w:r>
              <w:rPr>
                <w:sz w:val="22"/>
                <w:szCs w:val="22"/>
              </w:rPr>
              <w:t>7</w:t>
            </w:r>
          </w:p>
        </w:tc>
        <w:tc>
          <w:tcPr>
            <w:tcW w:w="1430" w:type="dxa"/>
            <w:tcBorders/>
            <w:shd w:fill="auto" w:val="clear"/>
          </w:tcPr>
          <w:p>
            <w:pPr>
              <w:pStyle w:val="TextBody"/>
              <w:widowControl w:val="false"/>
              <w:spacing w:before="0" w:after="140"/>
              <w:rPr>
                <w:sz w:val="22"/>
                <w:szCs w:val="22"/>
              </w:rPr>
            </w:pPr>
            <w:r>
              <w:rPr>
                <w:sz w:val="22"/>
                <w:szCs w:val="22"/>
              </w:rPr>
              <w:t>October 1998</w:t>
            </w:r>
          </w:p>
        </w:tc>
        <w:tc>
          <w:tcPr>
            <w:tcW w:w="1191" w:type="dxa"/>
            <w:tcBorders/>
            <w:shd w:fill="auto" w:val="clear"/>
          </w:tcPr>
          <w:p>
            <w:pPr>
              <w:pStyle w:val="TextBody"/>
              <w:widowControl w:val="false"/>
              <w:spacing w:before="0" w:after="140"/>
              <w:rPr>
                <w:sz w:val="22"/>
                <w:szCs w:val="22"/>
              </w:rPr>
            </w:pPr>
            <w:r>
              <w:rPr>
                <w:sz w:val="22"/>
                <w:szCs w:val="22"/>
              </w:rPr>
            </w:r>
          </w:p>
        </w:tc>
        <w:tc>
          <w:tcPr>
            <w:tcW w:w="1075" w:type="dxa"/>
            <w:tcBorders/>
            <w:shd w:fill="auto" w:val="clear"/>
          </w:tcPr>
          <w:p>
            <w:pPr>
              <w:pStyle w:val="TextBody"/>
              <w:widowControl w:val="false"/>
              <w:spacing w:before="0" w:after="140"/>
              <w:rPr>
                <w:sz w:val="22"/>
                <w:szCs w:val="22"/>
              </w:rPr>
            </w:pPr>
            <w:r>
              <w:rPr>
                <w:sz w:val="22"/>
                <w:szCs w:val="22"/>
              </w:rPr>
              <w:t>Tampa</w:t>
            </w:r>
          </w:p>
        </w:tc>
        <w:tc>
          <w:tcPr>
            <w:tcW w:w="1124" w:type="dxa"/>
            <w:tcBorders/>
            <w:shd w:fill="auto" w:val="clear"/>
          </w:tcPr>
          <w:p>
            <w:pPr>
              <w:pStyle w:val="Normal"/>
              <w:widowControl w:val="false"/>
              <w:rPr>
                <w:sz w:val="22"/>
                <w:szCs w:val="22"/>
              </w:rPr>
            </w:pPr>
            <w:r>
              <w:rPr>
                <w:sz w:val="22"/>
                <w:szCs w:val="22"/>
              </w:rPr>
              <w:t>Florida</w:t>
            </w:r>
          </w:p>
        </w:tc>
        <w:tc>
          <w:tcPr>
            <w:tcW w:w="1097"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r>
          </w:p>
        </w:tc>
        <w:tc>
          <w:tcPr>
            <w:tcW w:w="1675" w:type="dxa"/>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60" w:type="dxa"/>
            <w:tcBorders/>
            <w:shd w:fill="auto" w:val="clear"/>
          </w:tcPr>
          <w:p>
            <w:pPr>
              <w:pStyle w:val="TextBody"/>
              <w:widowControl w:val="false"/>
              <w:spacing w:before="0" w:after="140"/>
              <w:rPr>
                <w:sz w:val="22"/>
                <w:szCs w:val="22"/>
              </w:rPr>
            </w:pPr>
            <w:r>
              <w:rPr>
                <w:sz w:val="22"/>
                <w:szCs w:val="22"/>
              </w:rPr>
              <w:t>9–12</w:t>
            </w:r>
          </w:p>
        </w:tc>
        <w:tc>
          <w:tcPr>
            <w:tcW w:w="9076" w:type="dxa"/>
            <w:gridSpan w:val="7"/>
            <w:tcBorders/>
            <w:shd w:fill="auto" w:val="clear"/>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60" w:type="dxa"/>
            <w:tcBorders/>
            <w:shd w:fill="auto" w:val="clear"/>
          </w:tcPr>
          <w:p>
            <w:pPr>
              <w:pStyle w:val="TextBody"/>
              <w:widowControl w:val="false"/>
              <w:spacing w:before="0" w:after="140"/>
              <w:rPr>
                <w:sz w:val="22"/>
                <w:szCs w:val="22"/>
              </w:rPr>
            </w:pPr>
            <w:r>
              <w:rPr>
                <w:sz w:val="22"/>
                <w:szCs w:val="22"/>
              </w:rPr>
              <w:t>13</w:t>
            </w:r>
          </w:p>
        </w:tc>
        <w:tc>
          <w:tcPr>
            <w:tcW w:w="1430" w:type="dxa"/>
            <w:tcBorders/>
            <w:shd w:fill="auto" w:val="clear"/>
          </w:tcPr>
          <w:p>
            <w:pPr>
              <w:pStyle w:val="TextBody"/>
              <w:widowControl w:val="false"/>
              <w:spacing w:before="0" w:after="140"/>
              <w:rPr>
                <w:sz w:val="22"/>
                <w:szCs w:val="22"/>
              </w:rPr>
            </w:pPr>
            <w:r>
              <w:rPr>
                <w:sz w:val="22"/>
                <w:szCs w:val="22"/>
              </w:rPr>
              <w:t>2006</w:t>
            </w:r>
          </w:p>
        </w:tc>
        <w:tc>
          <w:tcPr>
            <w:tcW w:w="1191" w:type="dxa"/>
            <w:tcBorders/>
            <w:shd w:fill="auto" w:val="clear"/>
          </w:tcPr>
          <w:p>
            <w:pPr>
              <w:pStyle w:val="TextBody"/>
              <w:widowControl w:val="false"/>
              <w:spacing w:before="0" w:after="140"/>
              <w:rPr>
                <w:sz w:val="22"/>
                <w:szCs w:val="22"/>
              </w:rPr>
            </w:pPr>
            <w:r>
              <w:rPr>
                <w:sz w:val="22"/>
                <w:szCs w:val="22"/>
              </w:rPr>
            </w:r>
          </w:p>
        </w:tc>
        <w:tc>
          <w:tcPr>
            <w:tcW w:w="1075" w:type="dxa"/>
            <w:tcBorders/>
            <w:shd w:fill="auto" w:val="clear"/>
          </w:tcPr>
          <w:p>
            <w:pPr>
              <w:pStyle w:val="TextBody"/>
              <w:widowControl w:val="false"/>
              <w:spacing w:before="0" w:after="140"/>
              <w:rPr>
                <w:sz w:val="22"/>
                <w:szCs w:val="22"/>
              </w:rPr>
            </w:pPr>
            <w:r>
              <w:rPr>
                <w:sz w:val="22"/>
                <w:szCs w:val="22"/>
              </w:rPr>
              <w:t>Cocoa Beach</w:t>
            </w:r>
          </w:p>
        </w:tc>
        <w:tc>
          <w:tcPr>
            <w:tcW w:w="1124" w:type="dxa"/>
            <w:tcBorders/>
            <w:shd w:fill="auto" w:val="clear"/>
          </w:tcPr>
          <w:p>
            <w:pPr>
              <w:pStyle w:val="Normal"/>
              <w:widowControl w:val="false"/>
              <w:rPr>
                <w:sz w:val="22"/>
                <w:szCs w:val="22"/>
              </w:rPr>
            </w:pPr>
            <w:r>
              <w:rPr>
                <w:sz w:val="22"/>
                <w:szCs w:val="22"/>
              </w:rPr>
              <w:t>Florida</w:t>
            </w:r>
          </w:p>
        </w:tc>
        <w:tc>
          <w:tcPr>
            <w:tcW w:w="1097"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r>
          </w:p>
        </w:tc>
        <w:tc>
          <w:tcPr>
            <w:tcW w:w="1675" w:type="dxa"/>
            <w:tcBorders/>
            <w:shd w:fill="auto" w:val="clear"/>
          </w:tcPr>
          <w:p>
            <w:pPr>
              <w:pStyle w:val="TextBody"/>
              <w:widowControl w:val="false"/>
              <w:spacing w:before="0" w:after="140"/>
              <w:rPr>
                <w:sz w:val="22"/>
                <w:szCs w:val="22"/>
              </w:rPr>
            </w:pPr>
            <w:r>
              <w:rPr>
                <w:sz w:val="22"/>
                <w:szCs w:val="22"/>
              </w:rPr>
            </w:r>
          </w:p>
        </w:tc>
      </w:tr>
    </w:tbl>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newspapers.lib.utah.edu/details?id=21512583" TargetMode="External"/><Relationship Id="rId5" Type="http://schemas.openxmlformats.org/officeDocument/2006/relationships/hyperlink" Target="https://newspapers.lib.utah.edu/details?id=21493559" TargetMode="External"/><Relationship Id="rId6" Type="http://schemas.openxmlformats.org/officeDocument/2006/relationships/hyperlink" Target="https://newspapers.lib.utah.edu/ark:/87278/s6zk6w6s/21338221" TargetMode="External"/><Relationship Id="rId7" Type="http://schemas.openxmlformats.org/officeDocument/2006/relationships/hyperlink" Target="https://newspaperarchive.com/rocky-mount-evening-telegram-jul-08-1960-p-4/" TargetMode="External"/><Relationship Id="rId8" Type="http://schemas.openxmlformats.org/officeDocument/2006/relationships/hyperlink" Target="https://newspapers.lib.utah.edu/ark:/87278/s6pk1vwz/21595150" TargetMode="External"/><Relationship Id="rId9" Type="http://schemas.openxmlformats.org/officeDocument/2006/relationships/hyperlink" Target="https://newspapers.lib.utah.edu/ark:/87278/s6515c19/21656624" TargetMode="External"/><Relationship Id="rId10" Type="http://schemas.openxmlformats.org/officeDocument/2006/relationships/hyperlink" Target="https://newspapers.lib.utah.edu/ark:/87278/s62v6594/22643733" TargetMode="External"/><Relationship Id="rId11" Type="http://schemas.openxmlformats.org/officeDocument/2006/relationships/hyperlink" Target="https://newspapers.lib.utah.edu/ark:/87278/s6rv4bxq/22646163" TargetMode="External"/><Relationship Id="rId12" Type="http://schemas.openxmlformats.org/officeDocument/2006/relationships/hyperlink" Target="https://newspapers.lib.utah.edu/details?id=22648688&amp;page=3&amp;q=Dippy&amp;sort=date_tdt+asc%2Cparent_i+asc%2Cpage_i+asc&amp;facet_paper=&quot;Vernal+Express&quot;" TargetMode="External"/><Relationship Id="rId13" Type="http://schemas.openxmlformats.org/officeDocument/2006/relationships/hyperlink" Target="https://newspaperarchive.com/rocky-mount-evening-telegram-may-14-1960-p-2/" TargetMode="External"/><Relationship Id="rId14" Type="http://schemas.openxmlformats.org/officeDocument/2006/relationships/hyperlink" Target="https://newspaperarchive.com/rocky-mount-evening-telegram-jul-08-1960-p-8/" TargetMode="External"/><Relationship Id="rId15" Type="http://schemas.openxmlformats.org/officeDocument/2006/relationships/hyperlink" Target="https://collections.lib.utah.edu/details?id=1086142" TargetMode="External"/><Relationship Id="rId16" Type="http://schemas.openxmlformats.org/officeDocument/2006/relationships/hyperlink" Target="https://www.tampabay.com/news/business/tourism/mosi-to-close-part-of-its-building-to-save-money-before-move-to-downtown/2324358/" TargetMode="External"/><Relationship Id="rId17" Type="http://schemas.openxmlformats.org/officeDocument/2006/relationships/hyperlink" Target="https://web.archive.org/web/20211125120642/https://www.tampabay.com/news/business/tourism/mosi-to-close-part-of-its-building-to-save-money-before-move-to-downtown/2324358/" TargetMode="External"/><Relationship Id="rId18" Type="http://schemas.openxmlformats.org/officeDocument/2006/relationships/hyperlink" Target="https://newspapers.lib.utah.edu/ark:/87278/s62v6594/22643733" TargetMode="External"/><Relationship Id="rId19" Type="http://schemas.openxmlformats.org/officeDocument/2006/relationships/hyperlink" Target="https://archiveswest.orbiscascade.org/ark:/80444/xv38626" TargetMode="External"/><Relationship Id="rId20" Type="http://schemas.openxmlformats.org/officeDocument/2006/relationships/hyperlink" Target="https://web.archive.org/web/20220610005257/https://archiveswest.orbiscascade.org/ark:/80444/xv38626" TargetMode="External"/><Relationship Id="rId21" Type="http://schemas.openxmlformats.org/officeDocument/2006/relationships/hyperlink" Target="https://newspapers.lib.utah.edu/ark:/87278/s6r53f0k/22649899" TargetMode="External"/><Relationship Id="rId22" Type="http://schemas.openxmlformats.org/officeDocument/2006/relationships/hyperlink" Target="http://hdl.handle.net/2246/6497" TargetMode="External"/><Relationship Id="rId23" Type="http://schemas.openxmlformats.org/officeDocument/2006/relationships/hyperlink" Target="https://wusfnews.wusf.usf.edu/news/2017-05-18/mosi-to-close-imax-other-exhibits-in-cost-saving-reconfiguration" TargetMode="External"/><Relationship Id="rId24" Type="http://schemas.openxmlformats.org/officeDocument/2006/relationships/hyperlink" Target="https://web.archive.org/web/20210507091810/https://wusfnews.wusf.usf.edu/news/2017-05-18/mosi-to-close-imax-other-exhibits-in-cost-saving-reconfiguration" TargetMode="External"/><Relationship Id="rId25" Type="http://schemas.openxmlformats.org/officeDocument/2006/relationships/hyperlink" Target="https://newspaperarchive.com/rocky-mount-evening-telegram-apr-24-1960-p-11/"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31158</TotalTime>
  <Application>LibreOffice/6.1.3.2$MacOSX_X86_64 LibreOffice_project/86daf60bf00efa86ad547e59e09d6bb77c699acb</Application>
  <Pages>21</Pages>
  <Words>9868</Words>
  <Characters>51662</Characters>
  <CharactersWithSpaces>61262</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2022-08-20T23:56:15Z</dcterms:modified>
  <cp:revision>602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