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3529_2542618767">
        <w:r>
          <w:rPr>
            <w:rStyle w:val="IndexLink"/>
          </w:rPr>
          <w:t>Acknowledgements</w:t>
          <w:tab/>
          <w:t>7</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9</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in Rocky Mount’s Sunset Park. We have not yet been able to determine whether this cast was made — it does not appear to exist today, judging by available photographs — nor what happened to the molds. </w:t>
      </w:r>
      <w:r>
        <w:rPr>
          <w:highlight w:val="yellow"/>
        </w:rPr>
        <w:t>XXX find out more.</w:t>
      </w:r>
    </w:p>
    <w:p>
      <w:pPr>
        <w:pStyle w:val="TextBody"/>
        <w:rPr/>
      </w:pPr>
      <w:r>
        <w:rPr>
          <w:highlight w:val="yellow"/>
        </w:rPr>
        <w:t>XXX write up:</w:t>
      </w:r>
      <w:r>
        <w:rPr/>
        <w:t xml:space="preserve"> Hurricane Floyd devastated Rocky Mount in 1999 and destroyed the original Children's Museum in the city. It too was relocated to the newly built Imperial Centre. The museum features rotating educational exhibits and offers programs in the Cummins planetarium also in the center. </w:t>
      </w:r>
      <w:hyperlink r:id="rId3">
        <w:r>
          <w:rPr>
            <w:rStyle w:val="InternetLink"/>
          </w:rPr>
          <w:t>https://twitter.com/ymarathe/status/1248332699615576068</w:t>
        </w:r>
      </w:hyperlink>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w:t>
      </w:r>
      <w:r>
        <w:rPr>
          <w:highlight w:val="yellow"/>
        </w:rPr>
        <w:t xml:space="preserve">XXX get photos of indoor </w:t>
      </w:r>
      <w:r>
        <w:rPr>
          <w:i/>
          <w:iCs/>
          <w:highlight w:val="yellow"/>
        </w:rPr>
        <w:t>Diplodocus</w:t>
      </w:r>
      <w:r>
        <w:rPr>
          <w:highlight w:val="yellow"/>
        </w:rPr>
        <w:t xml:space="preserve"> with tail curved around.</w:t>
      </w:r>
      <w:r>
        <w:rPr/>
        <w:t xml:space="preserve">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 xml:space="preserve">1991, not later than June 30: Dinolab is contracted to deliver the indoor mount (Madsen et al. 1989) — but I don't know when it actually arrived. It was mounted above the admission counter at the front of the Field House lobby (Ken Carpenter, pers. comm. 2022), </w:t>
      </w:r>
      <w:r>
        <w:rPr/>
        <w:t>probably in 1992. XXX Can we find a more precise date?</w:t>
      </w:r>
    </w:p>
    <w:p>
      <w:pPr>
        <w:pStyle w:val="TextBody"/>
        <w:rPr/>
      </w:pPr>
      <w:r>
        <w:rPr/>
        <w:t>“</w:t>
      </w:r>
      <w:r>
        <w:rPr/>
        <w:t>As I recall, it was mounted above the admission counter at the front of the lobby[…</w:t>
      </w:r>
      <w:r>
        <w:rPr/>
        <w:t>] It was mounted above and straddling the admission counter at the old Field House.</w:t>
      </w:r>
      <w:r>
        <w:rPr/>
        <w:t xml:space="preserve">” – </w:t>
      </w:r>
      <w:r>
        <w:rPr/>
        <w:t>Ken Carpenter.</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February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4">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5">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6">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7">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8">
        <w:r>
          <w:rPr>
            <w:rStyle w:val="InternetLink"/>
          </w:rPr>
          <w:t>https://archiveswest.orbiscascade.org/ark:/80444/xv38626</w:t>
        </w:r>
      </w:hyperlink>
      <w:r>
        <w:rPr/>
        <w:t xml:space="preserve">, archived at </w:t>
      </w:r>
      <w:hyperlink r:id="rId9">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2">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twitter.com/ymarathe/status/1248332699615576068" TargetMode="External"/><Relationship Id="rId4" Type="http://schemas.openxmlformats.org/officeDocument/2006/relationships/hyperlink" Target="https://collections.lib.utah.edu/"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collections.lib.utah.edu/details?id=1086142" TargetMode="External"/><Relationship Id="rId8" Type="http://schemas.openxmlformats.org/officeDocument/2006/relationships/hyperlink" Target="https://archiveswest.orbiscascade.org/ark:/80444/xv38626" TargetMode="External"/><Relationship Id="rId9" Type="http://schemas.openxmlformats.org/officeDocument/2006/relationships/hyperlink" Target="https://web.archive.org/web/20220610005257/https://archiveswest.orbiscascade.org/ark:/80444/xv38626"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collections.lib.utah.edu/details?id=1212242&amp;q=diplodoc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21295</TotalTime>
  <Application>LibreOffice/6.1.3.2$MacOSX_X86_64 LibreOffice_project/86daf60bf00efa86ad547e59e09d6bb77c699acb</Application>
  <Pages>10</Pages>
  <Words>4182</Words>
  <Characters>21923</Characters>
  <CharactersWithSpaces>25977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2022-06-12T16:26:47Z</dcterms:modified>
  <cp:revision>417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