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w:t>
      </w:r>
      <w:r>
        <w:rPr/>
        <w:t xml:space="preserve">to create a complete new </w:t>
      </w:r>
      <w:r>
        <w:rPr/>
        <w:t>cast</w:t>
      </w:r>
      <w:r>
        <w:rPr/>
        <w: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w:t>
      </w:r>
    </w:p>
    <w:p>
      <w:pPr>
        <w:pStyle w:val="TextBody"/>
        <w:rPr/>
      </w:pPr>
      <w:r>
        <w:rPr/>
        <w:t>At first, there was some excitement in Rocky Mount. Mae Woods Bell, who had been the museum director since its creation in 1951 (Anonymous 1962</w:t>
      </w:r>
      <w:r>
        <w:rPr/>
        <w:t>b</w:t>
      </w:r>
      <w:r>
        <w:rPr/>
        <w:t xml:space="preserve">)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organization and state of molds was of concern as “Several months will be involved classifying and preparing molds for casting” (Anonymous 1961a). An invitation was now issued to local citizens who wished to volunteer for the work, and they began to work on Monday and Tuesday evenings (Anonymous 1961a) in a warehouse provided by Minges (Anonymous 1962</w:t>
      </w:r>
      <w:r>
        <w:rPr/>
        <w:t>b</w:t>
      </w:r>
      <w:r>
        <w:rPr/>
        <w:t>), although the Tuesday sessions were soon halted due to the hot weather (Anonymous 1961b). The suspension of Tuesday sessions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w:t>
      </w:r>
      <w:r>
        <w:rPr/>
        <w:t>i</w:t>
      </w:r>
      <w:r>
        <w:rPr/>
        <w:t>ng brought back to life by Museum members” (Anonymous 1962a).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w:t>
      </w:r>
      <w:r>
        <w:rPr/>
        <w:t>b</w:t>
      </w:r>
      <w:r>
        <w:rPr/>
        <w:t>). Still the work lingered on, and as of 23 March 1966 John Thompson and Harold Minges were listed as co-chairmen of the Museum’s Dinosaur Committee (Anonymous 1966). The last mention of the project in the Telegram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 (It is unclear whether the Avalon Airport building is the warehouse mentioned in some of the earlier reports.) It seems then, that some casts were probably made from the molds, but the project petered out. The remaining materials may even still exist in the old Avalon Airport building, if it is still standing and can be located.</w:t>
      </w:r>
    </w:p>
    <w:p>
      <w:pPr>
        <w:pStyle w:val="TextBody"/>
        <w:rPr>
          <w:highlight w:val="none"/>
          <w:shd w:fill="FFFF00" w:val="clear"/>
        </w:rPr>
      </w:pPr>
      <w:r>
        <w:rPr>
          <w:shd w:fill="FFFF00" w:val="clear"/>
        </w:rPr>
        <w:t xml:space="preserve">XXX DO WE WANT THIS? Similarly, Moore (2014:234–235) stated that “From Vernal, Utah, [CM] molds of </w:t>
      </w:r>
      <w:r>
        <w:rPr>
          <w:i/>
          <w:iCs/>
          <w:shd w:fill="FFFF00" w:val="clear"/>
        </w:rPr>
        <w:t>Diplodocus carnegii</w:t>
      </w:r>
      <w:r>
        <w:rPr>
          <w:shd w:fill="FFFF00" w:val="clear"/>
        </w:rPr>
        <w:t xml:space="preserve"> are shipped to Rocky Mount Children’s Museum in Rocky Mount, North Carolina. Because of the age-related damage to the molds, a cast was never prepared”. </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 xml:space="preserve">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w:t>
      </w:r>
      <w:r>
        <w:rPr/>
        <w:t>and it must be considered possible that Rolfe was acting on false information.</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 xml:space="preserve">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w:t>
      </w:r>
      <w:r>
        <w:rPr/>
        <w:t xml:space="preserve">it may be that </w:t>
      </w:r>
      <w:r>
        <w:rPr/>
        <w:t>the</w:t>
      </w:r>
      <w:r>
        <w:rPr/>
        <w:t xml:space="preserve">y </w:t>
      </w:r>
      <w:r>
        <w:rPr/>
        <w:t>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5"/>
        <w:gridCol w:w="1484"/>
        <w:gridCol w:w="1669"/>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5" w:type="dxa"/>
            <w:tcBorders/>
          </w:tcPr>
          <w:p>
            <w:pPr>
              <w:pStyle w:val="TextBody"/>
              <w:widowControl w:val="false"/>
              <w:spacing w:before="0" w:after="140"/>
              <w:rPr>
                <w:b/>
                <w:b/>
                <w:bCs/>
                <w:sz w:val="22"/>
                <w:szCs w:val="22"/>
              </w:rPr>
            </w:pPr>
            <w:r>
              <w:rPr>
                <w:b/>
                <w:bCs/>
                <w:sz w:val="22"/>
                <w:szCs w:val="22"/>
              </w:rPr>
              <w:t>Country</w:t>
            </w:r>
          </w:p>
        </w:tc>
        <w:tc>
          <w:tcPr>
            <w:tcW w:w="3153"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5"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9"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32140</TotalTime>
  <Application>LibreOffice/7.4.1.2$MacOSX_X86_64 LibreOffice_project/3c58a8f3a960df8bc8fd77b461821e42c061c5f0</Application>
  <AppVersion>15.0000</AppVersion>
  <Pages>26</Pages>
  <Words>12605</Words>
  <Characters>66156</Characters>
  <CharactersWithSpaces>78485</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2022-10-27T00:26:17Z</dcterms:modified>
  <cp:revision>724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