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4424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10</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12</w:t>
            </w:r>
          </w:hyperlink>
        </w:p>
        <w:p>
          <w:pPr>
            <w:pStyle w:val="Contents1"/>
            <w:rPr/>
          </w:pPr>
          <w:hyperlink w:anchor="__RefHeading___Toc3401_68767826">
            <w:r>
              <w:rPr>
                <w:rStyle w:val="IndexLink"/>
              </w:rPr>
              <w:t>Discussion</w:t>
              <w:tab/>
              <w:t>12</w:t>
            </w:r>
          </w:hyperlink>
        </w:p>
        <w:p>
          <w:pPr>
            <w:pStyle w:val="Contents1"/>
            <w:rPr/>
          </w:pPr>
          <w:hyperlink w:anchor="__RefHeading___Toc3529_2542618767">
            <w:r>
              <w:rPr>
                <w:rStyle w:val="IndexLink"/>
              </w:rPr>
              <w:t>Acknowledgements</w:t>
              <w:tab/>
              <w:t>13</w:t>
            </w:r>
          </w:hyperlink>
        </w:p>
        <w:p>
          <w:pPr>
            <w:pStyle w:val="Contents1"/>
            <w:rPr/>
          </w:pPr>
          <w:hyperlink w:anchor="__RefHeading___Toc3405_68767826">
            <w:r>
              <w:rPr>
                <w:rStyle w:val="IndexLink"/>
              </w:rPr>
              <w:t>References</w:t>
              <w:tab/>
              <w:t>14</w:t>
            </w:r>
          </w:hyperlink>
        </w:p>
        <w:p>
          <w:pPr>
            <w:pStyle w:val="Contents1"/>
            <w:rPr/>
          </w:pPr>
          <w:hyperlink w:anchor="__RefHeading___Toc3407_68767826">
            <w:r>
              <w:rPr>
                <w:rStyle w:val="IndexLink"/>
              </w:rPr>
              <w:t>Figure Captions</w:t>
              <w:tab/>
              <w:t>18</w:t>
            </w:r>
          </w:hyperlink>
        </w:p>
        <w:p>
          <w:pPr>
            <w:pStyle w:val="Contents1"/>
            <w:rPr/>
          </w:pPr>
          <w:hyperlink w:anchor="__RefHeading___Toc4426_1817233446">
            <w:r>
              <w:rPr>
                <w:rStyle w:val="IndexLink"/>
              </w:rPr>
              <w:t>Tables</w:t>
              <w:tab/>
              <w:t>20</w:t>
            </w:r>
          </w:hyperlink>
        </w:p>
        <w:p>
          <w:pPr>
            <w:pStyle w:val="Heading1"/>
            <w:rPr/>
          </w:pPr>
          <w:bookmarkStart w:id="0" w:name="__RefHeading___Toc4424_1817233446"/>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 xml:space="preserve">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 </w:t>
      </w:r>
      <w:r>
        <w:rPr/>
        <w:t>In the absence of evidence that the molds ever made it to Houston, it seems at least equally likely that the missing bones in HMNS 175 were cast and supplied by Dinolab, using the second-generation molds described blow.</w:t>
      </w:r>
    </w:p>
    <w:p>
      <w:pPr>
        <w:pStyle w:val="TextBody"/>
        <w:rPr/>
      </w:pPr>
      <w:r>
        <w:rPr/>
        <w:t>As recently as 1988, Rolfe (1988) wrote on behalf of the Royal Museum of Scoland,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 This interpretation may be supported by the claim that “Somewhere along the line, as the story goes, the molds received from the Carnegie had been shipped to a school down south and never arrived. So they were lost.” But Rocky mount is about 2000 miles east of Vernal, not South, so “a school down south” is not a good description of a museum out east.</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 xml:space="preserve">However, the arrangement with the Las Vegas Museum fell through. In a letter to James H. Madsen, Field House curator Sue Ann Bilbey said only that “Las Vegas is no longer interested in obtaining a copy of making new molds” (Bilbey 1989), </w:t>
      </w:r>
      <w:r>
        <w:rPr/>
        <w:t>and a letter from RMS Keeper of Geology William D. I. Rolfe (1988) to LuRae Caldwell of the Field House makes it clear that the Las Vegas plans had been abandoned by 24 October 1988. T</w:t>
      </w:r>
      <w:r>
        <w:rPr/>
        <w:t xml:space="preserve">he Las Vegas Museum </w:t>
      </w:r>
      <w:r>
        <w:rPr/>
        <w:t xml:space="preserve">was to go </w:t>
      </w:r>
      <w:r>
        <w:rPr/>
        <w:t xml:space="preserve">bankrupt and close in 1990 (Michele Jones, pers. comm., 2022), </w:t>
      </w:r>
      <w:r>
        <w:rPr/>
        <w:t xml:space="preserve">so </w:t>
      </w:r>
      <w:r>
        <w:rPr/>
        <w:t>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bookmarkStart w:id="11"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w:t>
      </w:r>
      <w:r>
        <w:rPr/>
        <w:t xml:space="preserve">(nine months </w:t>
      </w:r>
      <w:r>
        <w:rPr>
          <w:i/>
          <w:iCs/>
        </w:rPr>
        <w:t>after</w:t>
      </w:r>
      <w:r>
        <w:rPr>
          <w:i w:val="false"/>
          <w:iCs w:val="false"/>
        </w:rPr>
        <w:t xml:space="preserve"> the Vernal delivery</w:t>
      </w:r>
      <w:r>
        <w:rPr/>
        <w:t xml:space="preserve">) </w:t>
      </w:r>
      <w:r>
        <w:rPr/>
        <w:t>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4" w:name="__DdeLink__701_1817233446"/>
      <w:r>
        <w:rPr/>
        <w:t>Utah State University Eastern campus</w:t>
      </w:r>
      <w:bookmarkEnd w:id="14"/>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5" w:name="__RefHeading___Toc3401_68767826"/>
      <w:bookmarkEnd w:id="15"/>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Heading1"/>
        <w:numPr>
          <w:ilvl w:val="0"/>
          <w:numId w:val="2"/>
        </w:numPr>
        <w:rPr/>
      </w:pPr>
      <w:bookmarkStart w:id="16" w:name="__RefHeading___Toc3529_2542618767"/>
      <w:bookmarkEnd w:id="16"/>
      <w:r>
        <w:rPr/>
        <w:t>Acknowledgements</w:t>
      </w:r>
    </w:p>
    <w:p>
      <w:pPr>
        <w:pStyle w:val="TextBody"/>
        <w:rPr/>
      </w:pPr>
      <w:r>
        <w:rPr>
          <w:highlight w:val="yellow"/>
        </w:rPr>
        <w:t>XXX To do</w:t>
      </w:r>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true"/>
        <w:ind w:left="0" w:hanging="0"/>
        <w:jc w:val="left"/>
        <w:rPr/>
      </w:pPr>
      <w:r>
        <w:rPr/>
      </w:r>
      <w:r>
        <w:br w:type="page"/>
      </w:r>
    </w:p>
    <w:p>
      <w:pPr>
        <w:pStyle w:val="Heading1"/>
        <w:numPr>
          <w:ilvl w:val="0"/>
          <w:numId w:val="2"/>
        </w:numPr>
        <w:rPr/>
      </w:pPr>
      <w:bookmarkStart w:id="17" w:name="__RefHeading___Toc3405_68767826"/>
      <w:bookmarkEnd w:id="17"/>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rStyle w:val="ListLabel12"/>
          </w:rPr>
          <w:t xml:space="preserve">Anonymous. 1991. Dippy returns as beast of new mold. </w:t>
        </w:r>
      </w:hyperlink>
      <w:r>
        <w:rPr>
          <w:i/>
          <w:iCs/>
        </w:rPr>
        <w:t>Vernal Express</w:t>
      </w:r>
      <w:r>
        <w:rPr/>
        <w:t xml:space="preserve">, 26 June 1991, page 1. </w:t>
      </w:r>
      <w:hyperlink r:id="rId10">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VisitedInternet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8" w:name="__DdeLink__11501_941453575"/>
      <w:r>
        <w:rPr/>
        <w:t>Contorno</w:t>
      </w:r>
      <w:bookmarkEnd w:id="18"/>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rStyle w:val="ListLabel12"/>
        </w:rPr>
        <w:t xml:space="preserve">Kirby, Robert. 1998. Danny and the dinosaurs. </w:t>
      </w:r>
      <w:r>
        <w:rPr>
          <w:rStyle w:val="ListLabel12"/>
          <w:i/>
          <w:iCs/>
        </w:rPr>
        <w:t>Chamber Spirit</w:t>
      </w:r>
      <w:r>
        <w:rPr>
          <w:rStyle w:val="ListLabel12"/>
        </w:rPr>
        <w:t xml:space="preserve"> (newsletter of the Vernal area Chamber of Commerce) </w:t>
      </w:r>
      <w:r>
        <w:rPr>
          <w:rStyle w:val="ListLabel12"/>
          <w:b/>
          <w:bCs/>
        </w:rPr>
        <w:t>3(4)</w:t>
      </w:r>
      <w:hyperlink r:id="rId15">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9" w:name="__DdeLink__20580_446257137"/>
      <w:r>
        <w:rPr/>
        <w:t>Private agreement.</w:t>
      </w:r>
      <w:bookmarkEnd w:id="19"/>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0" w:name="__DdeLink__16582_68767826"/>
      <w:r>
        <w:rPr/>
        <w:t>Nieuwland</w:t>
      </w:r>
      <w:bookmarkEnd w:id="20"/>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VisitedInternet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r>
        <w:br w:type="page"/>
      </w:r>
    </w:p>
    <w:p>
      <w:pPr>
        <w:pStyle w:val="Heading1"/>
        <w:numPr>
          <w:ilvl w:val="0"/>
          <w:numId w:val="2"/>
        </w:numPr>
        <w:rPr/>
      </w:pPr>
      <w:bookmarkStart w:id="21" w:name="__RefHeading___Toc3407_68767826"/>
      <w:bookmarkEnd w:id="21"/>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2" w:name="__RefHeading___Toc4426_1817233446"/>
      <w:bookmarkEnd w:id="22"/>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62"/>
        <w:gridCol w:w="1428"/>
        <w:gridCol w:w="1191"/>
        <w:gridCol w:w="1074"/>
        <w:gridCol w:w="1125"/>
        <w:gridCol w:w="1096"/>
        <w:gridCol w:w="1484"/>
        <w:gridCol w:w="1676"/>
      </w:tblGrid>
      <w:tr>
        <w:trPr>
          <w:tblHeader w:val="true"/>
        </w:trPr>
        <w:tc>
          <w:tcPr>
            <w:tcW w:w="562" w:type="dxa"/>
            <w:tcBorders/>
            <w:shd w:fill="auto" w:val="clear"/>
          </w:tcPr>
          <w:p>
            <w:pPr>
              <w:pStyle w:val="TextBody"/>
              <w:widowControl w:val="false"/>
              <w:spacing w:before="0" w:after="140"/>
              <w:rPr>
                <w:b/>
                <w:b/>
                <w:bCs/>
                <w:sz w:val="22"/>
                <w:szCs w:val="22"/>
              </w:rPr>
            </w:pPr>
            <w:r>
              <w:rPr>
                <w:b/>
                <w:bCs/>
                <w:sz w:val="22"/>
                <w:szCs w:val="22"/>
              </w:rPr>
              <w:t>#</w:t>
            </w:r>
          </w:p>
        </w:tc>
        <w:tc>
          <w:tcPr>
            <w:tcW w:w="1428"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4" w:type="dxa"/>
            <w:tcBorders/>
            <w:shd w:fill="auto" w:val="clear"/>
          </w:tcPr>
          <w:p>
            <w:pPr>
              <w:pStyle w:val="TextBody"/>
              <w:widowControl w:val="false"/>
              <w:spacing w:before="0" w:after="140"/>
              <w:rPr>
                <w:b/>
                <w:b/>
                <w:bCs/>
                <w:sz w:val="22"/>
                <w:szCs w:val="22"/>
              </w:rPr>
            </w:pPr>
            <w:r>
              <w:rPr>
                <w:b/>
                <w:bCs/>
                <w:sz w:val="22"/>
                <w:szCs w:val="22"/>
              </w:rPr>
              <w:t>City</w:t>
            </w:r>
          </w:p>
        </w:tc>
        <w:tc>
          <w:tcPr>
            <w:tcW w:w="1125" w:type="dxa"/>
            <w:tcBorders/>
            <w:shd w:fill="auto" w:val="clear"/>
          </w:tcPr>
          <w:p>
            <w:pPr>
              <w:pStyle w:val="TextBody"/>
              <w:widowControl w:val="false"/>
              <w:spacing w:before="0" w:after="140"/>
              <w:rPr>
                <w:b/>
                <w:b/>
                <w:bCs/>
                <w:sz w:val="22"/>
                <w:szCs w:val="22"/>
              </w:rPr>
            </w:pPr>
            <w:r>
              <w:rPr>
                <w:b/>
                <w:bCs/>
                <w:sz w:val="22"/>
                <w:szCs w:val="22"/>
              </w:rPr>
              <w:t>Region</w:t>
            </w:r>
          </w:p>
        </w:tc>
        <w:tc>
          <w:tcPr>
            <w:tcW w:w="1096" w:type="dxa"/>
            <w:tcBorders/>
            <w:shd w:fill="auto" w:val="clear"/>
          </w:tcPr>
          <w:p>
            <w:pPr>
              <w:pStyle w:val="TextBody"/>
              <w:widowControl w:val="false"/>
              <w:spacing w:before="0" w:after="140"/>
              <w:rPr>
                <w:b/>
                <w:b/>
                <w:bCs/>
                <w:sz w:val="22"/>
                <w:szCs w:val="22"/>
              </w:rPr>
            </w:pPr>
            <w:r>
              <w:rPr>
                <w:b/>
                <w:bCs/>
                <w:sz w:val="22"/>
                <w:szCs w:val="22"/>
              </w:rPr>
              <w:t>Country</w:t>
            </w:r>
          </w:p>
        </w:tc>
        <w:tc>
          <w:tcPr>
            <w:tcW w:w="3160"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62" w:type="dxa"/>
            <w:tcBorders/>
            <w:shd w:fill="auto" w:val="clear"/>
          </w:tcPr>
          <w:p>
            <w:pPr>
              <w:pStyle w:val="TextBody"/>
              <w:widowControl w:val="false"/>
              <w:spacing w:before="0" w:after="140"/>
              <w:rPr>
                <w:b/>
                <w:b/>
                <w:bCs/>
                <w:sz w:val="22"/>
                <w:szCs w:val="22"/>
              </w:rPr>
            </w:pPr>
            <w:r>
              <w:rPr>
                <w:b/>
                <w:bCs/>
                <w:sz w:val="22"/>
                <w:szCs w:val="22"/>
              </w:rPr>
            </w:r>
          </w:p>
        </w:tc>
        <w:tc>
          <w:tcPr>
            <w:tcW w:w="1428"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4" w:type="dxa"/>
            <w:tcBorders/>
            <w:shd w:fill="auto" w:val="clear"/>
          </w:tcPr>
          <w:p>
            <w:pPr>
              <w:pStyle w:val="TextBody"/>
              <w:widowControl w:val="false"/>
              <w:spacing w:before="0" w:after="140"/>
              <w:rPr>
                <w:b/>
                <w:b/>
                <w:bCs/>
                <w:sz w:val="22"/>
                <w:szCs w:val="22"/>
              </w:rPr>
            </w:pPr>
            <w:r>
              <w:rPr>
                <w:b/>
                <w:bCs/>
                <w:sz w:val="22"/>
                <w:szCs w:val="22"/>
              </w:rPr>
            </w:r>
          </w:p>
        </w:tc>
        <w:tc>
          <w:tcPr>
            <w:tcW w:w="1125" w:type="dxa"/>
            <w:tcBorders/>
            <w:shd w:fill="auto" w:val="clear"/>
          </w:tcPr>
          <w:p>
            <w:pPr>
              <w:pStyle w:val="TextBody"/>
              <w:widowControl w:val="false"/>
              <w:spacing w:before="0" w:after="140"/>
              <w:rPr>
                <w:b/>
                <w:b/>
                <w:bCs/>
                <w:sz w:val="22"/>
                <w:szCs w:val="22"/>
              </w:rPr>
            </w:pPr>
            <w:r>
              <w:rPr>
                <w:b/>
                <w:bCs/>
                <w:sz w:val="22"/>
                <w:szCs w:val="22"/>
              </w:rPr>
            </w:r>
          </w:p>
        </w:tc>
        <w:tc>
          <w:tcPr>
            <w:tcW w:w="1096"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6"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62" w:type="dxa"/>
            <w:tcBorders/>
            <w:shd w:fill="auto" w:val="clear"/>
          </w:tcPr>
          <w:p>
            <w:pPr>
              <w:pStyle w:val="TextBody"/>
              <w:widowControl w:val="false"/>
              <w:spacing w:before="0" w:after="140"/>
              <w:rPr>
                <w:sz w:val="22"/>
                <w:szCs w:val="22"/>
              </w:rPr>
            </w:pPr>
            <w:r>
              <w:rPr>
                <w:sz w:val="22"/>
                <w:szCs w:val="22"/>
              </w:rPr>
              <w:t>1</w:t>
            </w:r>
          </w:p>
        </w:tc>
        <w:tc>
          <w:tcPr>
            <w:tcW w:w="1428"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4" w:type="dxa"/>
            <w:tcBorders/>
            <w:shd w:fill="auto" w:val="clear"/>
          </w:tcPr>
          <w:p>
            <w:pPr>
              <w:pStyle w:val="TextBody"/>
              <w:widowControl w:val="false"/>
              <w:spacing w:before="0" w:after="140"/>
              <w:rPr>
                <w:sz w:val="22"/>
                <w:szCs w:val="22"/>
              </w:rPr>
            </w:pPr>
            <w:r>
              <w:rPr>
                <w:sz w:val="22"/>
                <w:szCs w:val="22"/>
              </w:rPr>
              <w:t>Odawara</w:t>
            </w:r>
          </w:p>
        </w:tc>
        <w:tc>
          <w:tcPr>
            <w:tcW w:w="1125" w:type="dxa"/>
            <w:tcBorders/>
            <w:shd w:fill="auto" w:val="clear"/>
          </w:tcPr>
          <w:p>
            <w:pPr>
              <w:pStyle w:val="TextBody"/>
              <w:widowControl w:val="false"/>
              <w:spacing w:before="0" w:after="140"/>
              <w:rPr>
                <w:sz w:val="22"/>
                <w:szCs w:val="22"/>
              </w:rPr>
            </w:pPr>
            <w:r>
              <w:rPr>
                <w:sz w:val="22"/>
                <w:szCs w:val="22"/>
              </w:rPr>
              <w:t>Kanagawa</w:t>
            </w:r>
          </w:p>
        </w:tc>
        <w:tc>
          <w:tcPr>
            <w:tcW w:w="1096"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6" w:type="dxa"/>
            <w:tcBorders/>
            <w:shd w:fill="auto" w:val="clear"/>
          </w:tcPr>
          <w:p>
            <w:pPr>
              <w:pStyle w:val="TextBody"/>
              <w:widowControl w:val="false"/>
              <w:spacing w:before="0" w:after="140"/>
              <w:rPr>
                <w:sz w:val="22"/>
                <w:szCs w:val="22"/>
              </w:rPr>
            </w:pPr>
            <w:r>
              <w:rPr>
                <w:sz w:val="22"/>
                <w:szCs w:val="22"/>
              </w:rPr>
              <w:t>N/A</w:t>
            </w:r>
          </w:p>
        </w:tc>
      </w:tr>
      <w:tr>
        <w:trPr/>
        <w:tc>
          <w:tcPr>
            <w:tcW w:w="562" w:type="dxa"/>
            <w:tcBorders/>
            <w:shd w:fill="auto" w:val="clear"/>
          </w:tcPr>
          <w:p>
            <w:pPr>
              <w:pStyle w:val="TextBody"/>
              <w:widowControl w:val="false"/>
              <w:spacing w:before="0" w:after="140"/>
              <w:rPr>
                <w:sz w:val="22"/>
                <w:szCs w:val="22"/>
              </w:rPr>
            </w:pPr>
            <w:r>
              <w:rPr>
                <w:sz w:val="22"/>
                <w:szCs w:val="22"/>
              </w:rPr>
              <w:t>2</w:t>
            </w:r>
          </w:p>
        </w:tc>
        <w:tc>
          <w:tcPr>
            <w:tcW w:w="1428"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4" w:type="dxa"/>
            <w:tcBorders/>
            <w:shd w:fill="auto" w:val="clear"/>
          </w:tcPr>
          <w:p>
            <w:pPr>
              <w:pStyle w:val="TextBody"/>
              <w:widowControl w:val="false"/>
              <w:spacing w:before="0" w:after="140"/>
              <w:rPr>
                <w:sz w:val="22"/>
                <w:szCs w:val="22"/>
              </w:rPr>
            </w:pPr>
            <w:r>
              <w:rPr>
                <w:sz w:val="22"/>
                <w:szCs w:val="22"/>
              </w:rPr>
              <w:t>Shiramine</w:t>
            </w:r>
          </w:p>
        </w:tc>
        <w:tc>
          <w:tcPr>
            <w:tcW w:w="1125" w:type="dxa"/>
            <w:tcBorders/>
            <w:shd w:fill="auto" w:val="clear"/>
          </w:tcPr>
          <w:p>
            <w:pPr>
              <w:pStyle w:val="TextBody"/>
              <w:widowControl w:val="false"/>
              <w:spacing w:before="0" w:after="140"/>
              <w:rPr>
                <w:sz w:val="22"/>
                <w:szCs w:val="22"/>
              </w:rPr>
            </w:pPr>
            <w:r>
              <w:rPr>
                <w:sz w:val="22"/>
                <w:szCs w:val="22"/>
              </w:rPr>
              <w:t>Ishikawa</w:t>
            </w:r>
          </w:p>
        </w:tc>
        <w:tc>
          <w:tcPr>
            <w:tcW w:w="1096"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6" w:type="dxa"/>
            <w:tcBorders/>
            <w:shd w:fill="auto" w:val="clear"/>
          </w:tcPr>
          <w:p>
            <w:pPr>
              <w:pStyle w:val="TextBody"/>
              <w:widowControl w:val="false"/>
              <w:spacing w:before="0" w:after="140"/>
              <w:rPr>
                <w:sz w:val="22"/>
                <w:szCs w:val="22"/>
              </w:rPr>
            </w:pPr>
            <w:r>
              <w:rPr>
                <w:sz w:val="22"/>
                <w:szCs w:val="22"/>
              </w:rPr>
              <w:t>N/A</w:t>
            </w:r>
          </w:p>
        </w:tc>
      </w:tr>
      <w:tr>
        <w:trPr/>
        <w:tc>
          <w:tcPr>
            <w:tcW w:w="562" w:type="dxa"/>
            <w:tcBorders/>
            <w:shd w:fill="auto" w:val="clear"/>
          </w:tcPr>
          <w:p>
            <w:pPr>
              <w:pStyle w:val="TextBody"/>
              <w:widowControl w:val="false"/>
              <w:spacing w:before="0" w:after="140"/>
              <w:rPr>
                <w:sz w:val="22"/>
                <w:szCs w:val="22"/>
              </w:rPr>
            </w:pPr>
            <w:r>
              <w:rPr>
                <w:sz w:val="22"/>
                <w:szCs w:val="22"/>
              </w:rPr>
              <w:t>3</w:t>
            </w:r>
          </w:p>
        </w:tc>
        <w:tc>
          <w:tcPr>
            <w:tcW w:w="1428"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6"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6"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62" w:type="dxa"/>
            <w:tcBorders/>
            <w:shd w:fill="auto" w:val="clear"/>
          </w:tcPr>
          <w:p>
            <w:pPr>
              <w:pStyle w:val="TextBody"/>
              <w:widowControl w:val="false"/>
              <w:spacing w:before="0" w:after="140"/>
              <w:rPr>
                <w:sz w:val="22"/>
                <w:szCs w:val="22"/>
              </w:rPr>
            </w:pPr>
            <w:r>
              <w:rPr>
                <w:sz w:val="22"/>
                <w:szCs w:val="22"/>
              </w:rPr>
              <w:t>4</w:t>
            </w:r>
          </w:p>
        </w:tc>
        <w:tc>
          <w:tcPr>
            <w:tcW w:w="1428"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4" w:type="dxa"/>
            <w:tcBorders/>
            <w:shd w:fill="auto" w:val="clear"/>
          </w:tcPr>
          <w:p>
            <w:pPr>
              <w:pStyle w:val="TextBody"/>
              <w:widowControl w:val="false"/>
              <w:spacing w:before="0" w:after="140"/>
              <w:rPr>
                <w:sz w:val="22"/>
                <w:szCs w:val="22"/>
              </w:rPr>
            </w:pPr>
            <w:r>
              <w:rPr>
                <w:sz w:val="22"/>
                <w:szCs w:val="22"/>
              </w:rPr>
              <w:t>Shimizu</w:t>
            </w:r>
          </w:p>
        </w:tc>
        <w:tc>
          <w:tcPr>
            <w:tcW w:w="1125" w:type="dxa"/>
            <w:tcBorders/>
            <w:shd w:fill="auto" w:val="clear"/>
          </w:tcPr>
          <w:p>
            <w:pPr>
              <w:pStyle w:val="Normal"/>
              <w:widowControl w:val="false"/>
              <w:rPr>
                <w:sz w:val="22"/>
                <w:szCs w:val="22"/>
              </w:rPr>
            </w:pPr>
            <w:r>
              <w:rPr>
                <w:sz w:val="22"/>
                <w:szCs w:val="22"/>
              </w:rPr>
              <w:t>Tokai</w:t>
            </w:r>
          </w:p>
        </w:tc>
        <w:tc>
          <w:tcPr>
            <w:tcW w:w="1096"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6"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62" w:type="dxa"/>
            <w:tcBorders/>
            <w:shd w:fill="auto" w:val="clear"/>
          </w:tcPr>
          <w:p>
            <w:pPr>
              <w:pStyle w:val="TextBody"/>
              <w:widowControl w:val="false"/>
              <w:spacing w:before="0" w:after="140"/>
              <w:rPr>
                <w:sz w:val="22"/>
                <w:szCs w:val="22"/>
              </w:rPr>
            </w:pPr>
            <w:r>
              <w:rPr>
                <w:sz w:val="22"/>
                <w:szCs w:val="22"/>
              </w:rPr>
              <w:t>5</w:t>
            </w:r>
          </w:p>
        </w:tc>
        <w:tc>
          <w:tcPr>
            <w:tcW w:w="1428"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4" w:type="dxa"/>
            <w:tcBorders/>
            <w:shd w:fill="auto" w:val="clear"/>
          </w:tcPr>
          <w:p>
            <w:pPr>
              <w:pStyle w:val="TextBody"/>
              <w:widowControl w:val="false"/>
              <w:spacing w:before="0" w:after="140"/>
              <w:rPr>
                <w:sz w:val="22"/>
                <w:szCs w:val="22"/>
              </w:rPr>
            </w:pPr>
            <w:r>
              <w:rPr>
                <w:sz w:val="22"/>
                <w:szCs w:val="22"/>
              </w:rPr>
              <w:t>Vernal</w:t>
            </w:r>
          </w:p>
        </w:tc>
        <w:tc>
          <w:tcPr>
            <w:tcW w:w="1125" w:type="dxa"/>
            <w:tcBorders/>
            <w:shd w:fill="auto" w:val="clear"/>
          </w:tcPr>
          <w:p>
            <w:pPr>
              <w:pStyle w:val="Normal"/>
              <w:widowControl w:val="false"/>
              <w:rPr>
                <w:sz w:val="22"/>
                <w:szCs w:val="22"/>
              </w:rPr>
            </w:pPr>
            <w:r>
              <w:rPr>
                <w:sz w:val="22"/>
                <w:szCs w:val="22"/>
              </w:rPr>
              <w:t>Utah</w:t>
            </w:r>
          </w:p>
        </w:tc>
        <w:tc>
          <w:tcPr>
            <w:tcW w:w="1096"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6"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62" w:type="dxa"/>
            <w:tcBorders/>
            <w:shd w:fill="auto" w:val="clear"/>
          </w:tcPr>
          <w:p>
            <w:pPr>
              <w:pStyle w:val="TextBody"/>
              <w:widowControl w:val="false"/>
              <w:spacing w:before="0" w:after="140"/>
              <w:rPr>
                <w:sz w:val="22"/>
                <w:szCs w:val="22"/>
              </w:rPr>
            </w:pPr>
            <w:r>
              <w:rPr>
                <w:sz w:val="22"/>
                <w:szCs w:val="22"/>
              </w:rPr>
              <w:t>6</w:t>
            </w:r>
          </w:p>
        </w:tc>
        <w:tc>
          <w:tcPr>
            <w:tcW w:w="1428"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4" w:type="dxa"/>
            <w:tcBorders/>
            <w:shd w:fill="auto" w:val="clear"/>
          </w:tcPr>
          <w:p>
            <w:pPr>
              <w:pStyle w:val="TextBody"/>
              <w:widowControl w:val="false"/>
              <w:spacing w:before="0" w:after="140"/>
              <w:rPr>
                <w:sz w:val="22"/>
                <w:szCs w:val="22"/>
              </w:rPr>
            </w:pPr>
            <w:r>
              <w:rPr>
                <w:sz w:val="22"/>
                <w:szCs w:val="22"/>
              </w:rPr>
              <w:t>Tokyo</w:t>
            </w:r>
          </w:p>
        </w:tc>
        <w:tc>
          <w:tcPr>
            <w:tcW w:w="1125" w:type="dxa"/>
            <w:tcBorders/>
            <w:shd w:fill="auto" w:val="clear"/>
          </w:tcPr>
          <w:p>
            <w:pPr>
              <w:pStyle w:val="Normal"/>
              <w:widowControl w:val="false"/>
              <w:rPr>
                <w:sz w:val="22"/>
                <w:szCs w:val="22"/>
              </w:rPr>
            </w:pPr>
            <w:r>
              <w:rPr>
                <w:sz w:val="22"/>
                <w:szCs w:val="22"/>
              </w:rPr>
            </w:r>
          </w:p>
        </w:tc>
        <w:tc>
          <w:tcPr>
            <w:tcW w:w="1096"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6"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62" w:type="dxa"/>
            <w:tcBorders/>
            <w:shd w:fill="auto" w:val="clear"/>
          </w:tcPr>
          <w:p>
            <w:pPr>
              <w:pStyle w:val="TextBody"/>
              <w:widowControl w:val="false"/>
              <w:spacing w:before="0" w:after="140"/>
              <w:rPr>
                <w:sz w:val="22"/>
                <w:szCs w:val="22"/>
              </w:rPr>
            </w:pPr>
            <w:r>
              <w:rPr>
                <w:sz w:val="22"/>
                <w:szCs w:val="22"/>
              </w:rPr>
              <w:t>7</w:t>
            </w:r>
          </w:p>
        </w:tc>
        <w:tc>
          <w:tcPr>
            <w:tcW w:w="1428"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4" w:type="dxa"/>
            <w:tcBorders/>
            <w:shd w:fill="auto" w:val="clear"/>
          </w:tcPr>
          <w:p>
            <w:pPr>
              <w:pStyle w:val="TextBody"/>
              <w:widowControl w:val="false"/>
              <w:spacing w:before="0" w:after="140"/>
              <w:rPr>
                <w:sz w:val="22"/>
                <w:szCs w:val="22"/>
              </w:rPr>
            </w:pPr>
            <w:r>
              <w:rPr>
                <w:sz w:val="22"/>
                <w:szCs w:val="22"/>
              </w:rPr>
              <w:t>Tampa</w:t>
            </w:r>
          </w:p>
        </w:tc>
        <w:tc>
          <w:tcPr>
            <w:tcW w:w="1125" w:type="dxa"/>
            <w:tcBorders/>
            <w:shd w:fill="auto" w:val="clear"/>
          </w:tcPr>
          <w:p>
            <w:pPr>
              <w:pStyle w:val="Normal"/>
              <w:widowControl w:val="false"/>
              <w:rPr>
                <w:sz w:val="22"/>
                <w:szCs w:val="22"/>
              </w:rPr>
            </w:pPr>
            <w:r>
              <w:rPr>
                <w:sz w:val="22"/>
                <w:szCs w:val="22"/>
              </w:rPr>
              <w:t>Florida</w:t>
            </w:r>
          </w:p>
        </w:tc>
        <w:tc>
          <w:tcPr>
            <w:tcW w:w="1096"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6"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62" w:type="dxa"/>
            <w:tcBorders/>
            <w:shd w:fill="auto" w:val="clear"/>
          </w:tcPr>
          <w:p>
            <w:pPr>
              <w:pStyle w:val="TextBody"/>
              <w:widowControl w:val="false"/>
              <w:spacing w:before="0" w:after="140"/>
              <w:rPr>
                <w:sz w:val="22"/>
                <w:szCs w:val="22"/>
              </w:rPr>
            </w:pPr>
            <w:r>
              <w:rPr>
                <w:sz w:val="22"/>
                <w:szCs w:val="22"/>
              </w:rPr>
              <w:t>9–12</w:t>
            </w:r>
          </w:p>
        </w:tc>
        <w:tc>
          <w:tcPr>
            <w:tcW w:w="9074"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62" w:type="dxa"/>
            <w:tcBorders/>
            <w:shd w:fill="auto" w:val="clear"/>
          </w:tcPr>
          <w:p>
            <w:pPr>
              <w:pStyle w:val="TextBody"/>
              <w:widowControl w:val="false"/>
              <w:spacing w:before="0" w:after="140"/>
              <w:rPr>
                <w:sz w:val="22"/>
                <w:szCs w:val="22"/>
              </w:rPr>
            </w:pPr>
            <w:r>
              <w:rPr>
                <w:sz w:val="22"/>
                <w:szCs w:val="22"/>
              </w:rPr>
              <w:t>13</w:t>
            </w:r>
          </w:p>
        </w:tc>
        <w:tc>
          <w:tcPr>
            <w:tcW w:w="1428"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4" w:type="dxa"/>
            <w:tcBorders/>
            <w:shd w:fill="auto" w:val="clear"/>
          </w:tcPr>
          <w:p>
            <w:pPr>
              <w:pStyle w:val="TextBody"/>
              <w:widowControl w:val="false"/>
              <w:spacing w:before="0" w:after="140"/>
              <w:rPr>
                <w:sz w:val="22"/>
                <w:szCs w:val="22"/>
              </w:rPr>
            </w:pPr>
            <w:r>
              <w:rPr>
                <w:sz w:val="22"/>
                <w:szCs w:val="22"/>
              </w:rPr>
              <w:t>Cocoa Beach</w:t>
            </w:r>
          </w:p>
        </w:tc>
        <w:tc>
          <w:tcPr>
            <w:tcW w:w="1125" w:type="dxa"/>
            <w:tcBorders/>
            <w:shd w:fill="auto" w:val="clear"/>
          </w:tcPr>
          <w:p>
            <w:pPr>
              <w:pStyle w:val="Normal"/>
              <w:widowControl w:val="false"/>
              <w:rPr>
                <w:sz w:val="22"/>
                <w:szCs w:val="22"/>
              </w:rPr>
            </w:pPr>
            <w:r>
              <w:rPr>
                <w:sz w:val="22"/>
                <w:szCs w:val="22"/>
              </w:rPr>
              <w:t>Florida</w:t>
            </w:r>
          </w:p>
        </w:tc>
        <w:tc>
          <w:tcPr>
            <w:tcW w:w="1096"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6"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newspapers.lib.utah.edu/ark:/87278/s62v6594/22643733"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30993</TotalTime>
  <Application>LibreOffice/7.3.5.2$Linux_X86_64 LibreOffice_project/30$Build-2</Application>
  <AppVersion>15.0000</AppVersion>
  <DocSecurity>0</DocSecurity>
  <Pages>20</Pages>
  <Words>9440</Words>
  <Characters>49323</Characters>
  <CharactersWithSpaces>58502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2022-08-20T11:41:33Z</dcterms:modified>
  <cp:revision>590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