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 </w:t>
      </w: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id w:val="1255541996"/>
      </w:sdtPr>
      <w:sdtContent>
        <w:p>
          <w:pPr>
            <w:pStyle w:val="Contents1"/>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rPr/>
          </w:pPr>
          <w:hyperlink w:anchor="__RefHeading___Toc3401_68767826">
            <w:r>
              <w:rPr>
                <w:rStyle w:val="IndexLink"/>
              </w:rPr>
              <w:t>Discussion</w:t>
              <w:tab/>
              <w:t>10</w:t>
            </w:r>
          </w:hyperlink>
        </w:p>
        <w:p>
          <w:pPr>
            <w:pStyle w:val="Contents1"/>
            <w:rPr/>
          </w:pPr>
          <w:hyperlink w:anchor="__RefHeading___Toc3529_2542618767">
            <w:r>
              <w:rPr>
                <w:rStyle w:val="IndexLink"/>
              </w:rPr>
              <w:t>Acknowledgements</w:t>
              <w:tab/>
              <w:t>10</w:t>
            </w:r>
          </w:hyperlink>
        </w:p>
        <w:p>
          <w:pPr>
            <w:pStyle w:val="Contents1"/>
            <w:rPr/>
          </w:pPr>
          <w:hyperlink w:anchor="__RefHeading___Toc3405_68767826">
            <w:r>
              <w:rPr>
                <w:rStyle w:val="IndexLink"/>
              </w:rPr>
              <w:t>References</w:t>
              <w:tab/>
              <w:t>11</w:t>
            </w:r>
          </w:hyperlink>
        </w:p>
        <w:p>
          <w:pPr>
            <w:pStyle w:val="Contents1"/>
            <w:rPr/>
          </w:pPr>
          <w:hyperlink w:anchor="__RefHeading___Toc3407_68767826">
            <w:r>
              <w:rPr>
                <w:rStyle w:val="IndexLink"/>
              </w:rPr>
              <w:t>Figure Captions</w:t>
              <w:tab/>
              <w:t>14</w:t>
            </w:r>
          </w:hyperlink>
        </w:p>
      </w:sdtContent>
    </w:sdt>
    <w:p>
      <w:pPr>
        <w:pStyle w:val="TextBody"/>
        <w:rPr>
          <w:i/>
          <w:i/>
          <w:iCs/>
        </w:rPr>
      </w:pPr>
      <w:r>
        <w:rPr>
          <w:i/>
          <w:iCs/>
        </w:rPr>
      </w:r>
      <w:r>
        <w:rPr>
          <w:i/>
          <w:iCs/>
        </w:rPr>
        <w:fldChar w:fldCharType="end"/>
      </w:r>
    </w:p>
    <w:p>
      <w:pPr>
        <w:pStyle w:val="Heading1"/>
        <w:numPr>
          <w:ilvl w:val="0"/>
          <w:numId w:val="1"/>
        </w:numPr>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w:t>
      </w:r>
      <w:commentRangeStart w:id="0"/>
      <w:r>
        <w:rPr/>
        <w:t>Harvey (1991)</w:t>
      </w:r>
      <w:r>
        <w:rPr/>
      </w:r>
      <w:commentRangeEnd w:id="0"/>
      <w:r>
        <w:commentReference w:id="0"/>
      </w:r>
      <w:r>
        <w:rPr/>
        <w:t xml:space="preserve">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w:t>
      </w:r>
      <w:commentRangeStart w:id="1"/>
      <w:r>
        <w:rPr/>
        <w:t>even occasional helpers at the excavation</w:t>
      </w:r>
      <w:r>
        <w:rPr/>
      </w:r>
      <w:commentRangeEnd w:id="1"/>
      <w:r>
        <w:commentReference w:id="1"/>
      </w:r>
      <w:r>
        <w:rPr/>
        <w:t>.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 xml:space="preserve">As recounted by Untermann and Untermann (1970), the genesis of the Field House lay with Arthur G. Nord, supervisor of the Ashley National Forest, one of those who was concerned that the fossil wealth of the Vernal area was being shipped to museums outside the locality. The Vernal Lions Club first proposed the creation of a museum in Vernal at its meeting of </w:t>
      </w:r>
      <w:commentRangeStart w:id="2"/>
      <w:r>
        <w:rPr/>
        <w:t>9 September 1934</w:t>
      </w:r>
      <w:r>
        <w:rPr/>
      </w:r>
      <w:commentRangeEnd w:id="2"/>
      <w:r>
        <w:commentReference w:id="2"/>
      </w:r>
      <w:r>
        <w:rPr/>
        <w:t xml:space="preserve">, returning to the idea on </w:t>
      </w:r>
      <w:commentRangeStart w:id="3"/>
      <w:r>
        <w:rPr/>
        <w:t>6 September 1943</w:t>
      </w:r>
      <w:r>
        <w:rPr/>
      </w:r>
      <w:commentRangeEnd w:id="3"/>
      <w:r>
        <w:commentReference w:id="3"/>
      </w:r>
      <w:r>
        <w:rPr/>
        <w:t xml:space="preserve"> (Anonymous 1969). A </w:t>
      </w:r>
      <w:commentRangeStart w:id="4"/>
      <w:r>
        <w:rPr/>
        <w:t>museum committee was formed</w:t>
      </w:r>
      <w:r>
        <w:rPr/>
      </w:r>
      <w:commentRangeEnd w:id="4"/>
      <w:r>
        <w:commentReference w:id="4"/>
      </w:r>
      <w:r>
        <w:rPr/>
        <w:t xml:space="preserve">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highlight w:val="yellow"/>
        </w:rPr>
        <w:t>XXX much of what follows is from Ken Carpenter’s Facebook comment https://www.facebook.com/groups/152704619882/posts/10160780758459883/?comment_id=10160781331834883</w:t>
      </w:r>
    </w:p>
    <w:p>
      <w:pPr>
        <w:pStyle w:val="TextBody"/>
        <w:rPr/>
      </w:pPr>
      <w:r>
        <w:rPr/>
        <w:t xml:space="preserve">The head of the Carnegie Museum’s department of vertebrate paleontology in the early 1950s was J. LeRoy Kay, a native of Vernal whose entry to palaeontology had been working with Earl Douglass at what the Carnegie Quarry. After digging there </w:t>
      </w:r>
      <w:commentRangeStart w:id="5"/>
      <w:r>
        <w:rPr/>
        <w:t>ended in 1922, Douglass had recommended that the Carnegie Museum hire Kay t</w:t>
      </w:r>
      <w:r>
        <w:rPr/>
      </w:r>
      <w:commentRangeEnd w:id="5"/>
      <w:r>
        <w:commentReference w:id="5"/>
      </w:r>
      <w:r>
        <w:rPr/>
        <w:t>o continue work on removing the collected dinosaur bones from their encasing rock. In 1952, Carnegie Museum director Graham Netting started thinking about purging the collections of the dinosaur material (</w:t>
      </w:r>
      <w:r>
        <w:rPr>
          <w:highlight w:val="yellow"/>
        </w:rPr>
        <w:t>XXX letter from U of Colorado Museum director Roderick to NPS Superintendent Canfield, 2 July 1952 [DINO archives]</w:t>
      </w:r>
      <w:r>
        <w:rPr/>
        <w:t>) because the dinosaur bones took up too much storage space (</w:t>
      </w:r>
      <w:r>
        <w:rPr>
          <w:highlight w:val="yellow"/>
        </w:rPr>
        <w:t>XXX Lee, memo, June 16, 1955, DINO archives</w:t>
      </w:r>
      <w:r>
        <w:rPr/>
        <w:t>).</w:t>
      </w:r>
    </w:p>
    <w:p>
      <w:pPr>
        <w:pStyle w:val="TextBody"/>
        <w:rPr/>
      </w:pPr>
      <w:r>
        <w:rPr/>
        <w:t>The plan was later scaled back to just the duplicate material, which Kay announced to the vertebrate paleontology community (</w:t>
      </w:r>
      <w:r>
        <w:rPr>
          <w:highlight w:val="yellow"/>
        </w:rPr>
        <w:t>XXX Soc. Vert. Paleo. News Bulletin 46, p. 27</w:t>
      </w:r>
      <w:r>
        <w:rPr/>
        <w:t xml:space="preserve">). Among the materials to be disposed of were the plaster of Paris molds for the </w:t>
      </w:r>
      <w:r>
        <w:rPr>
          <w:i/>
          <w:iCs/>
        </w:rPr>
        <w:t>D</w:t>
      </w:r>
      <w:r>
        <w:rPr/>
        <w:t xml:space="preserve">. </w:t>
      </w:r>
      <w:r>
        <w:rPr>
          <w:i/>
          <w:iCs/>
        </w:rPr>
        <w:t>carnegii</w:t>
      </w:r>
      <w:r>
        <w:rPr/>
        <w:t xml:space="preserve"> skeleton. The molds were large, some were damaged and coated with coal dust from the coal fired heating system. Kay was at this time soon to retire and planned to move back to Vernal. He first contacted the Utah State Museum (now the Museum of Natural History of Utah) offering the molds, but the museum was not willing to pay for shipping.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 xml:space="preserve">The completed outdoor cast was dedicated on 6 June, 1957 (Untermann and Untermann 1970). The work had taken about a year and a half, from early 1956, and cost only $10,000 in total </w:t>
      </w:r>
      <w:r>
        <w:rPr/>
        <w:t>(about $105,449 in 2022 money)</w:t>
      </w:r>
      <w:r>
        <w:rPr/>
        <w:t xml:space="preserve">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w:t>
      </w:r>
      <w:r>
        <w:rPr/>
        <w:t>collected by</w:t>
      </w:r>
      <w:r>
        <w:rPr/>
        <w:t xml:space="preserve">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w:t>
      </w:r>
      <w:r>
        <w:rPr/>
        <w:t>a decade after his death, his preference would not have held such weight.</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TextBody"/>
        <w:rPr/>
      </w:pPr>
      <w:r>
        <w:rPr/>
        <w:t>All other pers. Comms.</w:t>
      </w:r>
    </w:p>
    <w:p>
      <w:pPr>
        <w:pStyle w:val="TextBody"/>
        <w:rPr/>
      </w:pPr>
      <w:r>
        <w:rPr/>
        <w:t>XXX More to follow.</w:t>
      </w:r>
    </w:p>
    <w:p>
      <w:pPr>
        <w:pStyle w:val="Heading1"/>
        <w:numPr>
          <w:ilvl w:val="0"/>
          <w:numId w:val="3"/>
        </w:numPr>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5">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6">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7">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8">
        <w:r>
          <w:rPr>
            <w:rStyle w:val="FollowedHyper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9">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0">
        <w:r>
          <w:rPr>
            <w:rStyle w:val="FollowedHyper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t>Madsen, James H., James E. King, Jerry A. Miller, Alden H. Hamblin and Richard L. Barker. 1989. Agreement between Dinolab, inc., and the Utah Field House of Natural History State Park. Private agreement.</w:t>
      </w:r>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6">
        <w:r>
          <w:rPr>
            <w:rStyle w:val="InternetLink"/>
          </w:rPr>
          <w:t>https://newspapers.lib.utah.edu/ark:/87278/s6r53f0k/22649899</w:t>
        </w:r>
      </w:hyperlink>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7">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8">
        <w:r>
          <w:rPr>
            <w:rStyle w:val="FollowedHyperlink"/>
          </w:rPr>
          <w:t>https://wusfnews.wusf.usf.edu/news/2017-05-18/mosi-to-close-imax-other-exhibits-in-cost-saving-reconfiguration</w:t>
        </w:r>
      </w:hyperlink>
      <w:r>
        <w:rPr/>
        <w:t xml:space="preserve">, archived at </w:t>
      </w:r>
      <w:hyperlink r:id="rId19">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Heading1"/>
        <w:numPr>
          <w:ilvl w:val="0"/>
          <w:numId w:val="3"/>
        </w:numPr>
        <w:rPr/>
      </w:pPr>
      <w:bookmarkStart w:id="18" w:name="__RefHeading___Toc3407_68767826"/>
      <w:bookmarkEnd w:id="18"/>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spacing w:before="0" w:after="142"/>
        <w:ind w:left="283" w:hanging="28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2-07-20T11:23:00Z" w:initials="-">
    <w:p>
      <w:r>
        <w:rPr>
          <w:rFonts w:ascii="Liberation Serif" w:hAnsi="Liberation Serif" w:eastAsia="Tahoma" w:cs="Tahoma"/>
          <w:kern w:val="0"/>
          <w:lang w:val="en-US" w:eastAsia="en-US" w:bidi="en-US"/>
        </w:rPr>
        <w:t>For update, see my article Rocky Start to Dinosaur National Monument</w:t>
      </w:r>
    </w:p>
  </w:comment>
  <w:comment w:id="1" w:author="-" w:date="2022-07-20T11:25:00Z" w:initials="-">
    <w:p>
      <w:r>
        <w:rPr>
          <w:rFonts w:ascii="Liberation Serif" w:hAnsi="Liberation Serif" w:eastAsia="Tahoma" w:cs="Tahoma"/>
          <w:kern w:val="0"/>
          <w:lang w:val="en-US" w:eastAsia="en-US" w:bidi="en-US"/>
        </w:rPr>
        <w:t>More than occasional. His entire crew were locals. Names given in my article. Two, Golden York and LeRoy “Pop” Kay would go on to work at the University of Utah and Carnegie Museum Nat. Hist. respectively.</w:t>
      </w:r>
    </w:p>
  </w:comment>
  <w:comment w:id="2" w:author="-" w:date="2022-07-20T11:35:00Z" w:initials="-">
    <w:p>
      <w:r>
        <w:rPr>
          <w:rFonts w:ascii="Liberation Serif" w:hAnsi="Liberation Serif" w:eastAsia="Tahoma" w:cs="Tahoma"/>
          <w:kern w:val="0"/>
          <w:lang w:val="en-US" w:eastAsia="en-US" w:bidi="en-US"/>
        </w:rPr>
        <w:t>Actually, the idea was suggested to the Lions Club Vernal Express, September 27, 19234 “ Construction of Museum at Vernal Urged. The construction of a rock museum building to house local collections of fossils Indian relics and curios was urged at the regular Lions club luncheon held Wednesday noon at the Commercial Hotel by Dr. J. E. Broadus of the state museum expedition", i.e., refers to the State Museum Association tour.</w:t>
      </w:r>
    </w:p>
  </w:comment>
  <w:comment w:id="3" w:author="-" w:date="2022-07-20T12:02:00Z" w:initials="-">
    <w:p>
      <w:r>
        <w:rPr>
          <w:rFonts w:ascii="Liberation Serif" w:hAnsi="Liberation Serif" w:eastAsia="Tahoma" w:cs="Tahoma"/>
          <w:kern w:val="0"/>
          <w:lang w:val="en-US" w:eastAsia="en-US" w:bidi="en-US"/>
        </w:rPr>
        <w:t xml:space="preserve">Vernal Express, September 9, 1943 “Field Museum at Vernal is Proposed: </w:t>
      </w:r>
      <w:r>
        <w:rPr>
          <w:rFonts w:ascii="Liberation Serif" w:hAnsi="Liberation Serif" w:eastAsia="Tahoma" w:cs="Tahoma"/>
          <w:kern w:val="0"/>
          <w:sz w:val="25"/>
          <w:szCs w:val="25"/>
          <w:lang w:val="en-US" w:eastAsia="en-US" w:bidi="en-US"/>
        </w:rPr>
        <w:t xml:space="preserve">Legis1ative </w:t>
      </w:r>
      <w:r>
        <w:rPr>
          <w:rFonts w:ascii="Liberation Serif" w:hAnsi="Liberation Serif" w:eastAsia="Tahoma" w:cs="Tahoma"/>
          <w:kern w:val="0"/>
          <w:sz w:val="32"/>
          <w:szCs w:val="32"/>
          <w:lang w:val="en-US" w:eastAsia="en-US" w:bidi="en-US"/>
        </w:rPr>
        <w:t xml:space="preserve">Funds </w:t>
      </w:r>
      <w:r>
        <w:rPr>
          <w:rFonts w:ascii="Liberation Serif" w:hAnsi="Liberation Serif" w:eastAsia="Tahoma" w:cs="Tahoma"/>
          <w:kern w:val="0"/>
          <w:sz w:val="25"/>
          <w:szCs w:val="25"/>
          <w:lang w:val="en-US" w:eastAsia="en-US" w:bidi="en-US"/>
        </w:rPr>
        <w:t xml:space="preserve">To be </w:t>
      </w:r>
      <w:r>
        <w:rPr>
          <w:rFonts w:ascii="Liberation Serif" w:hAnsi="Liberation Serif" w:eastAsia="Tahoma" w:cs="Tahoma"/>
          <w:kern w:val="0"/>
          <w:sz w:val="65"/>
          <w:szCs w:val="65"/>
          <w:lang w:val="en-US" w:eastAsia="en-US" w:bidi="en-US"/>
        </w:rPr>
        <w:t xml:space="preserve">Sought </w:t>
      </w:r>
      <w:r>
        <w:rPr>
          <w:rFonts w:ascii="Liberation Serif" w:hAnsi="Liberation Serif" w:eastAsia="Tahoma" w:cs="Tahoma"/>
          <w:kern w:val="0"/>
          <w:sz w:val="25"/>
          <w:szCs w:val="25"/>
          <w:lang w:val="en-US" w:eastAsia="en-US" w:bidi="en-US"/>
        </w:rPr>
        <w:t>To E</w:t>
      </w:r>
      <w:r>
        <w:rPr>
          <w:rFonts w:ascii="Liberation Serif" w:hAnsi="Liberation Serif" w:eastAsia="Tahoma" w:cs="Tahoma"/>
          <w:kern w:val="0"/>
          <w:sz w:val="23"/>
          <w:szCs w:val="23"/>
          <w:lang w:val="en-US" w:eastAsia="en-US" w:bidi="en-US"/>
        </w:rPr>
        <w:t>rect Structure</w:t>
      </w:r>
      <w:r>
        <w:rPr>
          <w:rFonts w:ascii="Liberation Serif" w:hAnsi="Liberation Serif" w:eastAsia="Tahoma" w:cs="Tahoma"/>
          <w:kern w:val="0"/>
          <w:lang w:val="en-US" w:eastAsia="en-US" w:bidi="en-US"/>
        </w:rPr>
        <w:t>”</w:t>
      </w:r>
    </w:p>
  </w:comment>
  <w:comment w:id="4" w:author="-" w:date="2022-07-20T12:10:00Z" w:initials="-">
    <w:p>
      <w:r>
        <w:rPr>
          <w:rFonts w:ascii="Liberation Serif" w:hAnsi="Liberation Serif" w:eastAsia="Tahoma" w:cs="Tahoma"/>
          <w:kern w:val="0"/>
          <w:lang w:val="en-US" w:eastAsia="en-US" w:bidi="en-US"/>
        </w:rPr>
        <w:t>Vernal Express Sept. 23, 1943 “Committee for Museum to Make Plans for Project”</w:t>
      </w:r>
    </w:p>
  </w:comment>
  <w:comment w:id="5" w:author="-" w:date="2022-07-20T12:23:00Z" w:initials="-">
    <w:p>
      <w:r>
        <w:rPr>
          <w:rFonts w:ascii="Liberation Serif" w:hAnsi="Liberation Serif" w:eastAsia="Tahoma" w:cs="Tahoma"/>
          <w:kern w:val="0"/>
          <w:lang w:val="en-US" w:eastAsia="en-US" w:bidi="en-US"/>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 Douglass to museum director Stewart, Sept. 20, 1922</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link w:val="CommentText"/>
    <w:uiPriority w:val="99"/>
    <w:semiHidden/>
    <w:qFormat/>
    <w:rsid w:val="00f13f43"/>
    <w:rPr>
      <w:rFonts w:ascii="Baskerville" w:hAnsi="Baskerville" w:cs="Mangal"/>
      <w:szCs w:val="18"/>
    </w:rPr>
  </w:style>
  <w:style w:type="character" w:styleId="CommentSubjectChar" w:customStyle="1">
    <w:name w:val="Comment Subject Char"/>
    <w:basedOn w:val="CommentTextChar"/>
    <w:link w:val="CommentSubject"/>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rPr>
  </w:style>
  <w:style w:type="character" w:styleId="ListLabel23">
    <w:name w:val="ListLabel 23"/>
    <w:qFormat/>
    <w:rPr/>
  </w:style>
  <w:style w:type="character" w:styleId="ListLabel24">
    <w:name w:val="ListLabel 24"/>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newspapers.lib.utah.edu/ark:/87278/s6pk1vwz/21595150" TargetMode="External"/><Relationship Id="rId7" Type="http://schemas.openxmlformats.org/officeDocument/2006/relationships/hyperlink" Target="https://newspapers.lib.utah.edu/ark:/87278/s6515c19/21656624" TargetMode="External"/><Relationship Id="rId8" Type="http://schemas.openxmlformats.org/officeDocument/2006/relationships/hyperlink" Target="https://newspapers.lib.utah.edu/ark:/87278/s62v6594/22643733" TargetMode="External"/><Relationship Id="rId9" Type="http://schemas.openxmlformats.org/officeDocument/2006/relationships/hyperlink" Target="https://newspapers.lib.utah.edu/ark:/87278/s6rv4bxq/22646163" TargetMode="External"/><Relationship Id="rId10" Type="http://schemas.openxmlformats.org/officeDocument/2006/relationships/hyperlink" Target="https://newspapers.lib.utah.edu/details?id=22648688&amp;page=3&amp;q=Dippy&amp;sort=date_tdt+asc%2Cparent_i+asc%2Cpage_i+asc&amp;facet_paper=&quot;Vernal+Express&quot;"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s://newspapers.lib.utah.edu/ark:/87278/s6r53f0k/22649899" TargetMode="External"/><Relationship Id="rId17" Type="http://schemas.openxmlformats.org/officeDocument/2006/relationships/hyperlink" Target="http://hdl.handle.net/2246/6497" TargetMode="External"/><Relationship Id="rId18" Type="http://schemas.openxmlformats.org/officeDocument/2006/relationships/hyperlink" Target="https://wusfnews.wusf.usf.edu/news/2017-05-18/mosi-to-close-imax-other-exhibits-in-cost-saving-reconfiguration" TargetMode="External"/><Relationship Id="rId19" Type="http://schemas.openxmlformats.org/officeDocument/2006/relationships/hyperlink" Target="https://web.archive.org/web/20210507091810/https://wusfnews.wusf.usf.edu/news/2017-05-18/mosi-to-close-imax-other-exhibits-in-cost-saving-reconfiguration" TargetMode="External"/><Relationship Id="rId20" Type="http://schemas.openxmlformats.org/officeDocument/2006/relationships/hyperlink" Target="https://peacepalacelibrary.nl/blog/2017/diplodocus-carnegii-peace-diplomacy-dinosaur" TargetMode="External"/><Relationship Id="rId21" Type="http://schemas.openxmlformats.org/officeDocument/2006/relationships/comments" Target="comments.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29873</TotalTime>
  <Application>LibreOffice/6.1.3.2$MacOSX_X86_64 LibreOffice_project/86daf60bf00efa86ad547e59e09d6bb77c699acb</Application>
  <Pages>15</Pages>
  <Words>6961</Words>
  <Characters>36999</Characters>
  <CharactersWithSpaces>43793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2022-08-03T01:42:04Z</dcterms:modified>
  <cp:revision>501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