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initially in plaster and more recently in various plastics, one stands alone as having been cast in concrete. This skeleton, made from the original Carnegie molds starting in 195</w:t>
      </w:r>
      <w:r>
        <w:rPr>
          <w:i w:val="false"/>
          <w:iCs w:val="false"/>
        </w:rPr>
        <w:t>6–7</w:t>
      </w:r>
      <w:r>
        <w:rPr>
          <w:i w:val="false"/>
          <w:iCs w:val="false"/>
        </w:rPr>
        <w:t xml:space="preserve">, was unveiled at the Utah Field House of Natural History in Vernal, Utah, in 1957, and stood outside the museum for </w:t>
      </w:r>
      <w:r>
        <w:rPr>
          <w:i w:val="false"/>
          <w:iCs w:val="false"/>
        </w:rPr>
        <w:t>three decades</w:t>
      </w:r>
      <w:r>
        <w:rPr>
          <w:i w:val="false"/>
          <w:iCs w:val="false"/>
        </w:rPr>
        <w:t xml:space="preserve">. The fate of the molds after this casting is uncertain. The concrete </w:t>
      </w:r>
      <w:r>
        <w:rPr>
          <w:i/>
          <w:iCs/>
        </w:rPr>
        <w:t>Diplodocus</w:t>
      </w:r>
      <w:r>
        <w:rPr>
          <w:i w:val="false"/>
          <w:iCs w:val="false"/>
        </w:rPr>
        <w:t xml:space="preserve"> was the museum’s icon for 3</w:t>
      </w:r>
      <w:r>
        <w:rPr>
          <w:i w:val="false"/>
          <w:iCs w:val="false"/>
        </w:rPr>
        <w:t>2</w:t>
      </w:r>
      <w:r>
        <w:rPr>
          <w:i w:val="false"/>
          <w:iCs w:val="false"/>
        </w:rPr>
        <w:t xml:space="preserve"> years until the weather damage because too great. The cast was then taken down </w:t>
      </w:r>
      <w:r>
        <w:rPr>
          <w:i w:val="false"/>
          <w:iCs w:val="false"/>
        </w:rPr>
        <w:t xml:space="preserve">and repaired, </w:t>
      </w:r>
      <w:r>
        <w:rPr>
          <w:i w:val="false"/>
          <w:iCs w:val="false"/>
        </w:rPr>
        <w:t>and fresh molds made from it by Dinolab in Salt Lake City. From these molds, a new replica was cast in water-expanded polyester (WEP) and mounted inside the Field House. This cast moved to the Field House’s new location in 20</w:t>
      </w:r>
      <w:r>
        <w:rPr>
          <w:i w:val="false"/>
          <w:iCs w:val="false"/>
        </w:rPr>
        <w:t>04</w:t>
      </w:r>
      <w:r>
        <w:rPr>
          <w:i w:val="false"/>
          <w:iCs w:val="false"/>
        </w:rPr>
        <w:t xml:space="preserve"> and was remounted in the atrium, but the old concrete cast could not be easily remounted and was </w:t>
      </w:r>
      <w:r>
        <w:rPr>
          <w:i w:val="false"/>
          <w:iCs w:val="false"/>
        </w:rPr>
        <w:t xml:space="preserve">instead </w:t>
      </w:r>
      <w:r>
        <w:rPr>
          <w:i w:val="false"/>
          <w:iCs w:val="false"/>
        </w:rPr>
        <w:t xml:space="preserve">sent on long-term loan to the Prehistoric Museum at Price, Utah. It has, however, yet to be remounted there, as it awaits a new building for the museum. </w:t>
      </w:r>
      <w:r>
        <w:rPr>
          <w:i w:val="false"/>
          <w:iCs w:val="false"/>
        </w:rPr>
        <w:t>M</w:t>
      </w:r>
      <w:r>
        <w:rPr>
          <w:i w:val="false"/>
          <w:iCs w:val="false"/>
        </w:rPr>
        <w:t>ean</w:t>
      </w:r>
      <w:r>
        <w:rPr>
          <w:i w:val="false"/>
          <w:iCs w:val="false"/>
        </w:rPr>
        <w:t>while</w:t>
      </w:r>
      <w:r>
        <w:rPr>
          <w:i w:val="false"/>
          <w:iCs w:val="false"/>
        </w:rPr>
        <w:t xml:space="preserve">, the new molds have been </w:t>
      </w:r>
      <w:r>
        <w:rPr>
          <w:i w:val="false"/>
          <w:iCs w:val="false"/>
        </w:rPr>
        <w:t>used</w:t>
      </w:r>
      <w:r>
        <w:rPr>
          <w:i w:val="false"/>
          <w:iCs w:val="false"/>
        </w:rPr>
        <w:t xml:space="preserve"> to create more </w:t>
      </w:r>
      <w:r>
        <w:rPr>
          <w:i/>
          <w:iCs/>
        </w:rPr>
        <w:t>Diplodocus</w:t>
      </w:r>
      <w:r>
        <w:rPr>
          <w:i w:val="false"/>
          <w:iCs w:val="false"/>
        </w:rPr>
        <w:t xml:space="preserve"> casts that are mounted in Japan and elsewhere, and have also furnished missing parts of the </w:t>
      </w:r>
      <w:r>
        <w:rPr>
          <w:i w:val="false"/>
          <w:iCs w:val="false"/>
        </w:rPr>
        <w:t>iconic rearing</w:t>
      </w:r>
      <w:r>
        <w:rPr>
          <w:i w:val="false"/>
          <w:iCs w:val="false"/>
        </w:rPr>
        <w:t xml:space="preserve">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615_3219802390">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9</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11</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13</w:t>
        </w:r>
      </w:hyperlink>
    </w:p>
    <w:p>
      <w:pPr>
        <w:pStyle w:val="Contents2"/>
        <w:tabs>
          <w:tab w:val="clear" w:pos="9355"/>
          <w:tab w:val="right" w:pos="9638" w:leader="dot"/>
        </w:tabs>
        <w:rPr/>
      </w:pPr>
      <w:hyperlink w:anchor="__RefHeading___Toc3005_1175089729">
        <w:r>
          <w:rPr>
            <w:rStyle w:val="IndexLink"/>
          </w:rPr>
          <w:t>The fate of the new molds</w:t>
          <w:tab/>
          <w:t>14</w:t>
        </w:r>
      </w:hyperlink>
    </w:p>
    <w:p>
      <w:pPr>
        <w:pStyle w:val="Contents1"/>
        <w:tabs>
          <w:tab w:val="right" w:pos="9638" w:leader="dot"/>
        </w:tabs>
        <w:rPr/>
      </w:pPr>
      <w:hyperlink w:anchor="__RefHeading___Toc3401_68767826">
        <w:r>
          <w:rPr>
            <w:rStyle w:val="IndexLink"/>
          </w:rPr>
          <w:t>Discussion</w:t>
          <w:tab/>
          <w:t>14</w:t>
        </w:r>
      </w:hyperlink>
    </w:p>
    <w:p>
      <w:pPr>
        <w:pStyle w:val="Contents1"/>
        <w:tabs>
          <w:tab w:val="right" w:pos="9638" w:leader="dot"/>
        </w:tabs>
        <w:rPr/>
      </w:pPr>
      <w:hyperlink w:anchor="__RefHeading___Toc3529_2542618767">
        <w:r>
          <w:rPr>
            <w:rStyle w:val="IndexLink"/>
          </w:rPr>
          <w:t>Acknowledgements</w:t>
          <w:tab/>
          <w:t>15</w:t>
        </w:r>
      </w:hyperlink>
    </w:p>
    <w:p>
      <w:pPr>
        <w:pStyle w:val="Contents1"/>
        <w:tabs>
          <w:tab w:val="right" w:pos="9638" w:leader="dot"/>
        </w:tabs>
        <w:rPr/>
      </w:pPr>
      <w:hyperlink w:anchor="__RefHeading___Toc3405_68767826">
        <w:r>
          <w:rPr>
            <w:rStyle w:val="IndexLink"/>
          </w:rPr>
          <w:t>References</w:t>
          <w:tab/>
          <w:t>17</w:t>
        </w:r>
      </w:hyperlink>
    </w:p>
    <w:p>
      <w:pPr>
        <w:pStyle w:val="Contents1"/>
        <w:tabs>
          <w:tab w:val="right" w:pos="9638" w:leader="dot"/>
        </w:tabs>
        <w:rPr/>
      </w:pPr>
      <w:hyperlink w:anchor="__RefHeading___Toc3407_68767826">
        <w:r>
          <w:rPr>
            <w:rStyle w:val="IndexLink"/>
          </w:rPr>
          <w:t>Figure Captions</w:t>
          <w:tab/>
          <w:t>21</w:t>
        </w:r>
      </w:hyperlink>
    </w:p>
    <w:p>
      <w:pPr>
        <w:pStyle w:val="Contents1"/>
        <w:tabs>
          <w:tab w:val="right" w:pos="9638" w:leader="dot"/>
        </w:tabs>
        <w:rPr/>
      </w:pPr>
      <w:hyperlink w:anchor="__RefHeading___Toc4426_1817233446">
        <w:r>
          <w:rPr>
            <w:rStyle w:val="IndexLink"/>
          </w:rPr>
          <w:t>Tables</w:t>
          <w:tab/>
          <w:t>23</w:t>
        </w:r>
      </w:hyperlink>
    </w:p>
    <w:p>
      <w:pPr>
        <w:pStyle w:val="Heading1"/>
        <w:rPr/>
      </w:pPr>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w:t>
      </w:r>
      <w:r>
        <w:rPr/>
        <w:t>by</w:t>
      </w:r>
      <w:r>
        <w:rPr/>
        <w:t xml:space="preserve">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0" w:name="__RefHeading___Toc943_1155462304"/>
      <w:bookmarkEnd w:id="0"/>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1" w:name="__RefHeading___Toc5349_68767826"/>
      <w:bookmarkEnd w:id="1"/>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2" w:name="__RefHeading___Toc1946_2786159041"/>
      <w:bookmarkEnd w:id="2"/>
      <w:r>
        <w:rPr/>
        <w:t xml:space="preserve">History of the concrete </w:t>
      </w:r>
      <w:r>
        <w:rPr>
          <w:i/>
          <w:iCs/>
        </w:rPr>
        <w:t>Diplodocus</w:t>
      </w:r>
    </w:p>
    <w:p>
      <w:pPr>
        <w:pStyle w:val="Heading2"/>
        <w:rPr/>
      </w:pPr>
      <w:bookmarkStart w:id="3" w:name="__RefHeading___Toc1948_2786159041"/>
      <w:bookmarkEnd w:id="3"/>
      <w:r>
        <w:rPr/>
        <w:t xml:space="preserve">The original Carnegie </w:t>
      </w:r>
      <w:r>
        <w:rPr>
          <w:i/>
          <w:iCs/>
        </w:rPr>
        <w:t>Diplodocus</w:t>
      </w:r>
    </w:p>
    <w:p>
      <w:pPr>
        <w:pStyle w:val="TextBody"/>
        <w:rPr/>
      </w:pPr>
      <w:r>
        <w:rPr/>
        <w:t xml:space="preserve">As related </w:t>
      </w:r>
      <w:r>
        <w:rPr/>
        <w:t>by</w:t>
      </w:r>
      <w:r>
        <w:rPr/>
        <w:t xml:space="preserve">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t>
      </w:r>
      <w:r>
        <w:rPr/>
        <w:t xml:space="preserve">was </w:t>
      </w:r>
      <w:r>
        <w:rPr/>
        <w:t xml:space="preserve">designated the holotype of the new species </w:t>
      </w:r>
      <w:r>
        <w:rPr>
          <w:i/>
          <w:iCs/>
        </w:rPr>
        <w:t>Apatosaurus louisae</w:t>
      </w:r>
      <w:r>
        <w:rPr/>
        <w:t xml:space="preserve"> (</w:t>
      </w:r>
      <w:r>
        <w:rPr/>
        <w:t xml:space="preserve">Holland 1915, </w:t>
      </w:r>
      <w:r>
        <w:rPr/>
        <w:t xml:space="preserve">Gilmore 1936). The </w:t>
      </w:r>
      <w:r>
        <w:rPr>
          <w:i/>
          <w:iCs/>
        </w:rPr>
        <w:t>Diplodocus</w:t>
      </w:r>
      <w:r>
        <w:rPr/>
        <w:t xml:space="preserve"> skeleton, known by the rather inelegant nickname “Dippy”, has been moved and modified several times in the years since its initial mounting, most recently in </w:t>
      </w:r>
      <w:r>
        <w:rPr/>
        <w:t>a</w:t>
      </w:r>
      <w:r>
        <w:rPr/>
        <w:t xml:space="preserve"> major redesign of the Carnegie Museum </w:t>
      </w:r>
      <w:r>
        <w:rPr/>
        <w:t>in 2005–2007</w:t>
      </w:r>
      <w:r>
        <w:rPr/>
        <w:t>. It presently co-stars with CM 3018 in the new Jurassic Hall.</w:t>
      </w:r>
    </w:p>
    <w:p>
      <w:pPr>
        <w:pStyle w:val="Heading2"/>
        <w:rPr/>
      </w:pPr>
      <w:bookmarkStart w:id="4" w:name="__RefHeading___Toc1950_2786159041"/>
      <w:bookmarkEnd w:id="4"/>
      <w:r>
        <w:rPr/>
        <w:t xml:space="preserve">The first casts of the Carnegie </w:t>
      </w:r>
      <w:r>
        <w:rPr>
          <w:i/>
          <w:iCs/>
        </w:rPr>
        <w:t>Diplodocus</w:t>
      </w:r>
    </w:p>
    <w:p>
      <w:pPr>
        <w:pStyle w:val="TextBody"/>
        <w:rPr/>
      </w:pPr>
      <w:r>
        <w:rPr/>
        <w:t xml:space="preserve">Well before the mounting of the real bones of CM 84, King Edward VII of England </w:t>
      </w:r>
      <w:r>
        <w:rPr/>
        <w:t xml:space="preserve">asked </w:t>
      </w:r>
      <w:r>
        <w:rPr/>
        <w:t>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w:t>
      </w:r>
      <w:r>
        <w:rPr/>
        <w:t>s chief fossil preparator Arthur Coggeshall</w:t>
      </w:r>
      <w:r>
        <w:rPr/>
        <w:t xml:space="preserve"> oversaw the creation of a set of plaster molds </w:t>
      </w:r>
      <w:r>
        <w:rPr/>
        <w:t>by a crew of Italian plasterers led by Serafino Agostini. The molds</w:t>
      </w:r>
      <w:r>
        <w:rPr/>
        <w:t xml:space="preserve"> correspond</w:t>
      </w:r>
      <w:r>
        <w:rPr/>
        <w:t xml:space="preserve">ed </w:t>
      </w:r>
      <w:r>
        <w:rPr/>
        <w:t xml:space="preserve">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w:t>
      </w:r>
      <w:r>
        <w:rPr/>
        <w:t>replica</w:t>
      </w:r>
      <w:r>
        <w:rPr/>
        <w: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5" w:name="__RefHeading___Toc947_1155462304"/>
      <w:bookmarkEnd w:id="5"/>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 xml:space="preserve">As recounted by Untermann and Untermann (1970), the genesis of the Field House lay with Arthur G. Nord, supervisor of the Ashley National Forest, one of those who was concerned that the fossil wealth of the Vernal area was being stripped by museums outside the locality. </w:t>
      </w:r>
      <w:r>
        <w:rPr/>
        <w:t>R</w:t>
      </w:r>
      <w:r>
        <w:rPr/>
        <w:t>ealis</w:t>
      </w:r>
      <w:r>
        <w:rPr/>
        <w:t>ing</w:t>
      </w:r>
      <w:r>
        <w:rPr/>
        <w:t xml:space="preserve"> </w:t>
      </w:r>
      <w:r>
        <w:rPr/>
        <w:t>t</w:t>
      </w:r>
      <w:r>
        <w:rPr/>
        <w:t xml:space="preserve">he importance of tourism to Utah, </w:t>
      </w:r>
      <w:r>
        <w:rPr/>
        <w:t>he</w:t>
      </w:r>
      <w:r>
        <w:rPr/>
        <w:t xml:space="preserve"> recommended that a museum could position Vernal as a gateway to the state on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6" w:name="__RefHeading___Toc26119_446257137"/>
      <w:bookmarkEnd w:id="6"/>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T</w:t>
      </w:r>
      <w:r>
        <w:rPr/>
        <w:t xml:space="preserve">he </w:t>
      </w:r>
      <w:r>
        <w:rPr/>
        <w:t xml:space="preserve">initial </w:t>
      </w:r>
      <w:r>
        <w:rPr/>
        <w:t xml:space="preserve">downsizing plan was </w:t>
      </w:r>
      <w:r>
        <w:rPr/>
        <w:t xml:space="preserve">soon </w:t>
      </w:r>
      <w:r>
        <w:rPr/>
        <w:t xml:space="preserve">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t>
      </w:r>
      <w:r>
        <w:rPr/>
        <w:t>who</w:t>
      </w:r>
      <w:r>
        <w:rPr/>
        <w:t xml:space="preserve">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 xml:space="preserve">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w:t>
      </w:r>
      <w:r>
        <w:rPr/>
        <w:t xml:space="preserve">a </w:t>
      </w:r>
      <w:r>
        <w:rPr/>
        <w:t>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w:t>
      </w:r>
      <w:r>
        <w:rPr/>
        <w:t>r</w:t>
      </w:r>
      <w:r>
        <w:rPr/>
        <w:t>glass to protect them from the elements. The Buehner Company benefitted from its involvement with the casting, as they discovered in the course of the process that fib</w:t>
      </w:r>
      <w:r>
        <w:rPr/>
        <w:t>e</w:t>
      </w:r>
      <w:r>
        <w:rPr/>
        <w:t>rglass made a better and cheaper adhesive than they had previously been using to repair Italian marble when it was broken in transit. The Field House also adopted fib</w:t>
      </w:r>
      <w:r>
        <w:rPr/>
        <w:t>er</w:t>
      </w:r>
      <w:r>
        <w:rPr/>
        <w:t>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w:t>
      </w:r>
      <w:r>
        <w:rPr/>
        <w:t>r</w:t>
      </w:r>
      <w:r>
        <w:rPr/>
        <w:t>glass. The assembled bones were then laid out in the workshop to verify that everything was present and correct (Figure D; Untermann 1959:figures 1, 2).</w:t>
      </w:r>
    </w:p>
    <w:p>
      <w:pPr>
        <w:pStyle w:val="TextBody"/>
        <w:rPr/>
      </w:pPr>
      <w:r>
        <w:rPr/>
        <w:t xml:space="preserve">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w:t>
      </w:r>
      <w:r>
        <w:rPr/>
        <w:t>caudal</w:t>
      </w:r>
      <w:r>
        <w:rPr/>
        <w:t xml:space="preserve"> and cervical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on 8 June during the Utah State Lions Club convention at Vernal (Anonymous, undated</w:t>
      </w:r>
      <w:r>
        <w:rPr/>
        <w:t>), in a ceremony attended by J. LeRoy Kay, Arthur G. Nord and G. Ernest Untermann (Anonymous 1957</w:t>
      </w:r>
      <w:r>
        <w:rPr/>
        <w:t xml:space="preserve">) — </w:t>
      </w:r>
      <w:r>
        <w:rPr/>
        <w:t xml:space="preserve">not </w:t>
      </w:r>
      <w:r>
        <w:rPr/>
        <w:t xml:space="preserve">on 6 June </w:t>
      </w:r>
      <w:r>
        <w:rPr/>
        <w:t xml:space="preserve">as reported by </w:t>
      </w:r>
      <w:r>
        <w:rPr/>
        <w:t xml:space="preserve">Untermann and Untermann </w:t>
      </w:r>
      <w:r>
        <w:rPr/>
        <w:t>(</w:t>
      </w:r>
      <w:r>
        <w:rPr/>
        <w:t xml:space="preserve">1970). The work had taken about a year and a half, from early 1956, and cost only $10,000 in total (about $105,449 in 2022 money) — almost all of it in salary. The cast stood for 32 years (Figure F). It was repainted on 22 June 1967 (Figure G) in what was likely a </w:t>
      </w:r>
      <w:r>
        <w:rPr/>
        <w:t>periodic</w:t>
      </w:r>
      <w:r>
        <w:rPr/>
        <w:t xml:space="preserve"> event (Anonymous 1967).</w:t>
      </w:r>
    </w:p>
    <w:p>
      <w:pPr>
        <w:pStyle w:val="Heading2"/>
        <w:rPr/>
      </w:pPr>
      <w:bookmarkStart w:id="7" w:name="__RefHeading___Toc430_3962850034"/>
      <w:bookmarkEnd w:id="7"/>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w:t>
      </w:r>
      <w:r>
        <w:rPr/>
        <w:t xml:space="preserve">uncertain and accounts are </w:t>
      </w:r>
      <w:r>
        <w:rPr/>
        <w:t xml:space="preserve">contradictory. Sassaman (1988) reported that “the molds finally fell apart because of old age soon after it [the concrete </w:t>
      </w:r>
      <w:r>
        <w:rPr>
          <w:i/>
          <w:iCs/>
        </w:rPr>
        <w:t>Diplodocus</w:t>
      </w:r>
      <w:r>
        <w:rPr/>
        <w:t>] was made”. Similarly, Ilja Nie</w:t>
      </w:r>
      <w:r>
        <w:rPr/>
        <w:t>u</w:t>
      </w:r>
      <w:r>
        <w:rPr/>
        <w:t xml:space="preserve">wland (pers. comm., 2022) </w:t>
      </w:r>
      <w:r>
        <w:rPr/>
        <w:t>says</w:t>
      </w:r>
      <w:r>
        <w:rPr/>
        <w:t xml:space="preserve">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1960a;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w:t>
      </w:r>
      <w:r>
        <w:rPr/>
        <w:t>R</w:t>
      </w:r>
      <w:r>
        <w:rPr/>
        <w:t xml:space="preserve">eports in the </w:t>
      </w:r>
      <w:r>
        <w:rPr>
          <w:i/>
          <w:iCs/>
        </w:rPr>
        <w:t>Rocky Mount Evening Telegram</w:t>
      </w:r>
      <w:r>
        <w:rPr/>
        <w:t xml:space="preserve"> from April to July 1960 (Williams 1960, Bell 1960a, Bell 1960b, Anonymous 1960b) enthusiastically announce and discuss the impeding arrival, and the later articles say that museum board president Harold Minges has left for Utah to collect to molds — but then the newspaper goes silent on the subject, and the project is never mentioned again. There is no positive evidence that the molds even arrived in Rocky Mount, far less that they were used to create a new mount. Thus newspaper reports from both Utah and North Carolina say that the molds set out on their journey from one to the other, but neither confirms that they ever arrived. On the other hand, there is also no report of the molds being lost or destroyed, so perhaps the most likely interpretation is that they arrived in Rocky Mount, but were found to be in worse condition than expected and quietly left in storage. This interpretation is supported by Rea (2001:210) who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the molds’ arrival or any subsequent use. The museum was located next door to a municipal water treatment facility that also flooded and released unknown chemicals, so museum property that might have otherwise been salvageable in that area was deemed contaminated and </w:t>
      </w:r>
      <w:r>
        <w:rPr/>
        <w:t>had</w:t>
      </w:r>
      <w:r>
        <w:rPr/>
        <w:t xml:space="preserve"> to be destroyed. If the molds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was ever made, most staff who worked at the museum in the 1980s </w:t>
      </w:r>
      <w:r>
        <w:rPr/>
        <w:t xml:space="preserve">at its old location </w:t>
      </w:r>
      <w:r>
        <w:rPr/>
        <w:t xml:space="preserve">do not recall any such cast (Leigh White, pers. comm., 2022). </w:t>
      </w:r>
      <w:r>
        <w:rPr/>
        <w:t>Potentially c</w:t>
      </w:r>
      <w:r>
        <w:rPr/>
        <w:t xml:space="preserve">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verify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 xml:space="preserve">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w:t>
      </w:r>
      <w:r>
        <w:rPr/>
        <w:t>to</w:t>
      </w:r>
      <w:r>
        <w:rPr/>
        <w:t xml:space="preserve"> “the South”, a </w:t>
      </w:r>
      <w:r>
        <w:rPr/>
        <w:t>region</w:t>
      </w:r>
      <w:r>
        <w:rPr/>
        <w:t xml:space="preserve"> composed mostly of </w:t>
      </w:r>
      <w:r>
        <w:rPr/>
        <w:t xml:space="preserve">states that were </w:t>
      </w:r>
      <w:r>
        <w:rPr/>
        <w:t>Confederate during the civil war — a designation that includes both North Carolina and Texas.</w:t>
      </w:r>
    </w:p>
    <w:p>
      <w:pPr>
        <w:pStyle w:val="TextBody"/>
        <w:rPr/>
      </w:pPr>
      <w:r>
        <w:rPr/>
        <w:t>Putting it all together, there is no way that all the reports cited here can be accurate. Perhaps the most likely scenario is this: the molds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8" w:name="__DdeLink__7953_1817233446"/>
      <w:r>
        <w:rPr/>
        <w:t>Langston</w:t>
      </w:r>
      <w:bookmarkEnd w:id="8"/>
      <w:r>
        <w:rPr/>
        <w:t xml:space="preserve"> cited in Madsen 1990:4). </w:t>
      </w:r>
      <w:r>
        <w:rPr/>
        <w:t>It is possible that this</w:t>
      </w:r>
      <w:r>
        <w:rPr/>
        <w:t xml:space="preserve"> happened in late 1988 or early 1989, between Rolfe’s (1988) letter that expressed an interest in using the molds and Langston’s personal communication to Madsen in 1989. Where the molds are now, and why they did not arrive, we can only speculate. As Madsen (1990:4) concluded, “It is truly a mystery that an estimated 3–6 tons of plaster molds could simply vanish!”</w:t>
      </w:r>
    </w:p>
    <w:p>
      <w:pPr>
        <w:pStyle w:val="Heading2"/>
        <w:rPr/>
      </w:pPr>
      <w:bookmarkStart w:id="9" w:name="__RefHeading___Toc949_1155462304"/>
      <w:bookmarkEnd w:id="9"/>
      <w:r>
        <w:rPr/>
        <w:t>The lightweight cast in Vernal</w:t>
      </w:r>
    </w:p>
    <w:p>
      <w:pPr>
        <w:pStyle w:val="TextBody"/>
        <w:rPr/>
      </w:pPr>
      <w:r>
        <w:rPr/>
        <w:t xml:space="preserve">By </w:t>
      </w:r>
      <w:r>
        <w:rPr/>
        <w:t xml:space="preserve">the late 1980s, </w:t>
      </w:r>
      <w:r>
        <w:rPr/>
        <w:t xml:space="preserve">the concrete </w:t>
      </w:r>
      <w:r>
        <w:rPr>
          <w:i/>
          <w:iCs/>
        </w:rPr>
        <w:t>Diplodocus</w:t>
      </w:r>
      <w:r>
        <w:rPr/>
        <w:t xml:space="preserve"> was inevitably deteriorating (Madsen 1990:3). M</w:t>
      </w:r>
      <w:r>
        <w:rPr/>
        <w:t xml:space="preserve">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w:t>
      </w:r>
      <w:r>
        <w:rPr/>
        <w:t>r</w:t>
      </w:r>
      <w:r>
        <w:rPr/>
        <w:t xml:space="preserve"> making new molds” (Bilbey 1989), and a letter from R</w:t>
      </w:r>
      <w:r>
        <w:rPr/>
        <w:t xml:space="preserve">oyal </w:t>
      </w:r>
      <w:r>
        <w:rPr/>
        <w:t>M</w:t>
      </w:r>
      <w:r>
        <w:rPr/>
        <w:t xml:space="preserve">useum of </w:t>
      </w:r>
      <w:r>
        <w:rPr/>
        <w:t>S</w:t>
      </w:r>
      <w:r>
        <w:rPr/>
        <w:t>cotland’s</w:t>
      </w:r>
      <w:r>
        <w:rPr/>
        <w:t xml:space="preserve">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 xml:space="preserve">Madsen’s reservations </w:t>
      </w:r>
      <w:r>
        <w:rPr/>
        <w:t>were evidently overcome</w:t>
      </w:r>
      <w:r>
        <w:rPr/>
        <w:t>,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w:t>
      </w:r>
      <w:r>
        <w:rPr/>
        <w:t xml:space="preserve">intended to </w:t>
      </w:r>
      <w:r>
        <w:rPr/>
        <w:t xml:space="preserve">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w:t>
      </w:r>
      <w:r>
        <w:rPr/>
        <w:t>9</w:t>
      </w:r>
      <w:r>
        <w:rPr/>
        <w:t xml:space="preserve">4, a referred specimen of </w:t>
      </w:r>
      <w:r>
        <w:rPr>
          <w:i/>
          <w:iCs/>
        </w:rPr>
        <w:t>Diplodocus carnegii</w:t>
      </w:r>
      <w:r>
        <w:rPr/>
        <w:t xml:space="preserve">,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w:t>
      </w:r>
      <w:r>
        <w:rPr/>
        <w:t>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w:t>
      </w:r>
      <w:r>
        <w:rPr/>
        <w:t>It was intended that t</w:t>
      </w:r>
      <w:r>
        <w:rPr/>
        <w:t>he new cast w</w:t>
      </w:r>
      <w:r>
        <w:rPr/>
        <w:t xml:space="preserve">ould </w:t>
      </w:r>
      <w:r>
        <w:rPr/>
        <w:t xml:space="preserve">be assembled that winter (Anonymous 1991), but delays </w:t>
      </w:r>
      <w:r>
        <w:rPr/>
        <w:t>were to</w:t>
      </w:r>
      <w:r>
        <w:rPr/>
        <w:t xml:space="preserve"> prevent the public from seeing it for nearly three further years. By 23 June 1993, only the libs and torso had been erected (Anonymous 1993). In June 1994, the mount of the new cast was finally completed, with its head and neck looming over the admission counter (Figure C).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w:t>
      </w:r>
      <w:r>
        <w:rPr/>
        <w:t>ingenuity</w:t>
      </w:r>
      <w:r>
        <w:rPr/>
        <w:t xml:space="preserve">,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I).</w:t>
      </w:r>
    </w:p>
    <w:p>
      <w:pPr>
        <w:pStyle w:val="Heading2"/>
        <w:rPr/>
      </w:pPr>
      <w:bookmarkStart w:id="10" w:name="__RefHeading___Toc418_3962850034"/>
      <w:bookmarkEnd w:id="10"/>
      <w:r>
        <w:rPr/>
        <w:t xml:space="preserve">New casts made from molds of the concrete </w:t>
      </w:r>
      <w:r>
        <w:rPr>
          <w:i/>
          <w:iCs/>
        </w:rPr>
        <w:t>Diplodocus</w:t>
      </w:r>
    </w:p>
    <w:p>
      <w:pPr>
        <w:pStyle w:val="TextBody"/>
        <w:rPr/>
      </w:pPr>
      <w:bookmarkStart w:id="11" w:name="__DdeLink__11815_2767870788"/>
      <w:r>
        <w:rPr/>
        <w:t xml:space="preserve">In subsequent years, further casts were made from the Dinolab molds: Table 1 summarises information from Madsen’s (1993) report to the Carnegie Museum and the Field House, </w:t>
      </w:r>
      <w:r>
        <w:rPr/>
        <w:t>together with</w:t>
      </w:r>
      <w:r>
        <w:rPr/>
        <w:t xml:space="preserve">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1"/>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w:t>
      </w:r>
      <w:r>
        <w:rPr/>
        <w:t>(MOSI)</w:t>
      </w:r>
      <w:r>
        <w:rPr/>
        <w:t xml:space="preserve"> in Tampa, Florida (David Letasi, pers. comm., 2022). </w:t>
      </w:r>
      <w:r>
        <w:rPr/>
        <w:t xml:space="preserve">When </w:t>
      </w:r>
      <w:r>
        <w:rPr/>
        <w:t xml:space="preserve">Susan Swartz of MOSI obtained a $500,000 grant from the National Science Foundation for the “Assemble a Sauropod” project, </w:t>
      </w:r>
      <w:r>
        <w:rPr/>
        <w:t>t</w:t>
      </w:r>
      <w:r>
        <w:rPr/>
        <w:t xml:space="preserve">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w:t>
      </w:r>
      <w:r>
        <w:rPr/>
        <w:t>active</w:t>
      </w:r>
      <w:r>
        <w:rPr/>
        <w:t xml:space="preserve">, defensive pose of the quadrupedal skeleton; Phil Currie on the dynamics of the whiplash tail; and Kent Stevens on the mechanics of the rearing posture. Sauropod specialist John S. McIntosh reviewed the </w:t>
      </w:r>
      <w:r>
        <w:rPr/>
        <w:t xml:space="preserve">resulting </w:t>
      </w:r>
      <w:r>
        <w:rPr/>
        <w:t>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K).</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w:t>
      </w:r>
      <w:r>
        <w:rPr/>
        <w:t>surviving</w:t>
      </w:r>
      <w:r>
        <w:rPr/>
        <w:t xml:space="preserve">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w:t>
      </w:r>
      <w:r>
        <w:rPr/>
        <w:t>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rPr/>
      </w:pPr>
      <w:bookmarkStart w:id="12" w:name="__RefHeading___Toc953_1155462304"/>
      <w:bookmarkEnd w:id="12"/>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w:t>
      </w:r>
      <w:r>
        <w:rPr/>
        <w:t>is</w:t>
      </w:r>
      <w:r>
        <w:rPr/>
        <w:t xml:space="preserve"> cast was returned to them some time before the end of June 1991, it was not a simple matter to re-mount it outside the museum, as the scaffolding on which was mounted had been cut in order to take it down (Anonymous 1991). As a result, the </w:t>
      </w:r>
      <w:r>
        <w:rPr/>
        <w:t>concrete</w:t>
      </w:r>
      <w:r>
        <w:rPr/>
        <w:t xml:space="preserve"> cast was never remounted at the Field House, and was instead stored in the building crawl space.</w:t>
      </w:r>
    </w:p>
    <w:p>
      <w:pPr>
        <w:pStyle w:val="TextBody"/>
        <w:rPr/>
      </w:pPr>
      <w:r>
        <w:rPr/>
        <w:t xml:space="preserve">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At this time, the concrete casts were squeezed into collections at the new building, but there was not room for them to be properly stored and they had to sit in the middle of the repository aisle. It was apparent that, despite the concrete cast’s important role in the </w:t>
      </w:r>
      <w:r>
        <w:rPr/>
        <w:t>Field House’s</w:t>
      </w:r>
      <w:r>
        <w:rPr/>
        <w:t xml:space="preserve"> history, it was no longer wanted.</w:t>
      </w:r>
    </w:p>
    <w:p>
      <w:pPr>
        <w:pStyle w:val="TextBody"/>
        <w:rPr/>
      </w:pPr>
      <w:r>
        <w:rPr/>
        <w:t>S</w:t>
      </w:r>
      <w:r>
        <w:rPr/>
        <w:t xml:space="preserve">ince the cast it was state property and so had to go to a state repository, Steve Sroka, the museum palaeontologist, contacted Ken Carpenter to ask whether Utah State University (USU) could take </w:t>
      </w:r>
      <w:r>
        <w:rPr/>
        <w:t>it</w:t>
      </w:r>
      <w:r>
        <w:rPr/>
        <w:t xml:space="preserve">.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3" w:name="__DdeLink__991_3219802390"/>
      <w:r>
        <w:rPr/>
        <w:t xml:space="preserve">8 April </w:t>
      </w:r>
      <w:bookmarkEnd w:id="13"/>
      <w:r>
        <w:rPr/>
        <w:t>2013 (Figure J.A). It then sat in Carpenter’s garage for several years (Figure J.B), until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preparator Carrie Herbel nine months to sandblast the old paint off,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us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the Carpenter discussed with the USU chancellor the possibility of temporarily mounting the skeleton on campus. However, this idea was not pursued since Carpenter feared that mounting and later dismantling the cast to move it to a new museum would damage it. So it currently sits in the basement storage area on the </w:t>
      </w:r>
      <w:bookmarkStart w:id="14" w:name="__DdeLink__701_1817233446"/>
      <w:r>
        <w:rPr/>
        <w:t>Utah State University Eastern campus</w:t>
      </w:r>
      <w:bookmarkEnd w:id="14"/>
      <w:r>
        <w:rPr/>
        <w:t>, waiting for a new museum building where it can be displayed outdoors.</w:t>
      </w:r>
    </w:p>
    <w:p>
      <w:pPr>
        <w:pStyle w:val="Heading2"/>
        <w:rPr/>
      </w:pPr>
      <w:bookmarkStart w:id="15" w:name="__RefHeading___Toc3005_1175089729"/>
      <w:bookmarkEnd w:id="15"/>
      <w:r>
        <w:rPr/>
        <w:t>The fate of the new molds</w:t>
      </w:r>
    </w:p>
    <w:p>
      <w:pPr>
        <w:pStyle w:val="TextBody"/>
        <w:rPr/>
      </w:pPr>
      <w:r>
        <w:rPr/>
        <w:t xml:space="preserve">Dinolab proprietor Jim Madsen died in 2009 at age 77 (Anonymous 2007), and Dinolab began to wind down.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6" w:name="__RefHeading___Toc3401_68767826"/>
      <w:bookmarkEnd w:id="16"/>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to rely on;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so,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w:t>
      </w:r>
    </w:p>
    <w:p>
      <w:pPr>
        <w:pStyle w:val="TextBody"/>
        <w:numPr>
          <w:ilvl w:val="0"/>
          <w:numId w:val="2"/>
        </w:numPr>
        <w:rPr/>
      </w:pPr>
      <w:r>
        <w:rPr/>
        <w:t xml:space="preserve">Working on this project has been a rather melancholy task at times. It is noticeable that project which begin with excitement often end rather sadly, or trail away into nothing. The original Carnegie molds that yielded the </w:t>
      </w:r>
      <w:r>
        <w:rPr>
          <w:i/>
          <w:iCs/>
        </w:rPr>
        <w:t>Diplodocus</w:t>
      </w:r>
      <w:r>
        <w:rPr/>
        <w:t xml:space="preserve"> replicas received with such excitement in London, Paris and other great cities were lost, stolen or destroyed some time between 1960 and 1990 — more than that, we cannot say. The replica </w:t>
      </w:r>
      <w:r>
        <w:rPr>
          <w:i/>
          <w:iCs/>
        </w:rPr>
        <w:t>Diplodocus</w:t>
      </w:r>
      <w:r>
        <w:rPr/>
        <w:t xml:space="preserve"> that was to have been erected in Sunset Park by the Rocky Mount Children’s Museum either was destroyed by Hurricane Floyd, or more likely was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via a garage to another museum’s basement, where it awaits the building yet a third museum. The new molds that were made from the concrete casts seem to have sat unloved in the Dinolab building for some years until it was torn down, and now lurk in RCI’s storage. The double-</w:t>
      </w:r>
      <w:r>
        <w:rPr>
          <w:i/>
          <w:iCs/>
        </w:rPr>
        <w:t>Diplodocus</w:t>
      </w:r>
      <w:r>
        <w:rPr/>
        <w:t xml:space="preserve"> display at MOSI was taken down as part of a retrenchment program to save the museum money, and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7" w:name="__RefHeading___Toc3529_2542618767"/>
      <w:bookmarkEnd w:id="17"/>
      <w:r>
        <w:rPr/>
        <w:t>Acknowledgements</w:t>
      </w:r>
    </w:p>
    <w:p>
      <w:pPr>
        <w:pStyle w:val="TextBody"/>
        <w:rPr/>
      </w:pPr>
      <w:r>
        <w:rPr/>
        <w:t>No paper is ever written without the help of other people, but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(Curator of Education at Rocky Mount Children’s Museum, North Carolina) provided invaluable information about the museum. Michele Jones (Natural History Collections Manager, Las Vegas Natural History Museum) explained to us the various natural history museums that have existed in Las Vegas. David Letasi (formerly of the Museum of Science and Industry, Tampa) provided extensive background on the double </w:t>
      </w:r>
      <w:r>
        <w:rPr>
          <w:i/>
          <w:iCs/>
        </w:rPr>
        <w:t>Diplodocus</w:t>
      </w:r>
      <w:r>
        <w:rPr/>
        <w:t xml:space="preserve"> mount at the Museum of Science and Industry, Tampa, Florida. Chris Madsen (Dinolab, inc.) identified his father’s unpublished manuscript (Madsen 1990); he and his sister Lisa Madsen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C. Mathew J. Wedel provided the photograph of the Field House’s current </w:t>
      </w:r>
      <w:r>
        <w:rPr>
          <w:i/>
          <w:iCs/>
        </w:rPr>
        <w:t>Diplodocus</w:t>
      </w:r>
      <w:r>
        <w:rPr/>
        <w:t xml:space="preserve"> mount for Figure I. Anthony Pelaez (Senior Director of Exhibits, Museum of Science &amp; Industry, Tampa, FL) provided the photograph of the double-</w:t>
      </w:r>
      <w:r>
        <w:rPr>
          <w:i/>
          <w:iCs/>
        </w:rPr>
        <w:t>Diplodocus</w:t>
      </w:r>
      <w:r>
        <w:rPr/>
        <w:t xml:space="preserve"> mount for Figure K. Andy Farke (Raymond M. Alf Museum of Paleontology) and John Foster (Utah Field House of Natural History) went to great lengths attempting to help us track down references. Brian Curtice (Fossil Crates), Peter May (Research Casting International) </w:t>
      </w:r>
      <w:r>
        <w:rPr/>
        <w:t>and Ilja Nieuwland (Huygens Institute, Royal Netherlands Academy of Arts and Sciences)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artefact with magical powers.</w:t>
      </w:r>
      <w:r>
        <w:br w:type="page"/>
      </w:r>
    </w:p>
    <w:p>
      <w:pPr>
        <w:pStyle w:val="Heading1"/>
        <w:numPr>
          <w:ilvl w:val="0"/>
          <w:numId w:val="2"/>
        </w:numPr>
        <w:rPr/>
      </w:pPr>
      <w:bookmarkStart w:id="18" w:name="__RefHeading___Toc3405_68767826"/>
      <w:bookmarkEnd w:id="18"/>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rStyle w:val="ListLabel12"/>
          </w:rPr>
          <w:t xml:space="preserve">Anonymous. 1991. Dippy returns as beast of new mold. </w:t>
        </w:r>
      </w:hyperlink>
      <w:r>
        <w:rPr>
          <w:i/>
          <w:iCs/>
        </w:rPr>
        <w:t>Vernal Express</w:t>
      </w:r>
      <w:r>
        <w:rPr/>
        <w:t xml:space="preserve">, 26 June 1991, page 1. </w:t>
      </w:r>
      <w:hyperlink r:id="rId14">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FollowedHyper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19" w:name="__DdeLink__11501_941453575"/>
      <w:r>
        <w:rPr/>
        <w:t>Contorno</w:t>
      </w:r>
      <w:bookmarkEnd w:id="19"/>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3">
        <w:r>
          <w:rPr>
            <w:rStyle w:val="ListLabel12"/>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24">
        <w:r>
          <w:rPr>
            <w:rStyle w:val="InternetLink"/>
          </w:rPr>
          <w:t>https://archiveswest.orbiscascade.org/ark:/80444/xv38626</w:t>
        </w:r>
      </w:hyperlink>
      <w:r>
        <w:rPr/>
        <w:t xml:space="preserve">, archived at </w:t>
      </w:r>
      <w:hyperlink r:id="rId25">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(Carnegie Museum of Natural History) and Alden H. Hamblin (Utah Field House). 29 January 1993.</w:t>
      </w:r>
    </w:p>
    <w:p>
      <w:pPr>
        <w:pStyle w:val="Reference"/>
        <w:rPr/>
      </w:pPr>
      <w:r>
        <w:rPr/>
        <w:t xml:space="preserve">Madsen, James H., James E. King, Jerry A. Miller, Alden H. Hamblin and Richard L. Barker. 1989. Agreement between Dinolab, inc., and the Utah Field House of Natural History State Park. </w:t>
      </w:r>
      <w:bookmarkStart w:id="20" w:name="__DdeLink__20580_446257137"/>
      <w:r>
        <w:rPr/>
        <w:t>Private agreement.</w:t>
      </w:r>
      <w:bookmarkEnd w:id="20"/>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6">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1" w:name="__DdeLink__16582_68767826"/>
      <w:r>
        <w:rPr/>
        <w:t>Nieuwland</w:t>
      </w:r>
      <w:bookmarkEnd w:id="21"/>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7">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t>Rodeck, Hugo G. 1952. Untitled letter from the Director of the University of Colorado Museum to David Canfied, Superintendant of Rocky Mountain National Park. 2 July 1952.</w:t>
      </w:r>
    </w:p>
    <w:p>
      <w:pPr>
        <w:pStyle w:val="Reference"/>
        <w:rPr/>
      </w:pPr>
      <w:r>
        <w:rPr/>
        <w:t>Rolfe, William D. I. 1988. Untitled letter to LuRae Caldwell (Utah Field House).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8">
        <w:r>
          <w:rPr>
            <w:rStyle w:val="FollowedHyperlink"/>
          </w:rPr>
          <w:t>https://wusfnews.wusf.usf.edu/news/2017-05-18/mosi-to-close-imax-other-exhibits-in-cost-saving-reconfiguration</w:t>
        </w:r>
      </w:hyperlink>
      <w:r>
        <w:rPr/>
        <w:t xml:space="preserve">, archived at </w:t>
      </w:r>
      <w:hyperlink r:id="rId29">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 when available.</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bookmarkStart w:id="22" w:name="__DdeLink__3619_3219802390"/>
      <w:r>
        <w:rPr>
          <w:highlight w:val="yellow"/>
        </w:rPr>
        <w:t xml:space="preserve"> when available</w:t>
      </w:r>
      <w:bookmarkEnd w:id="22"/>
      <w:r>
        <w:rPr>
          <w:highlight w:val="yellow"/>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0">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3" w:name="__RefHeading___Toc3407_68767826"/>
      <w:bookmarkEnd w:id="23"/>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K.</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r>
        <w:br w:type="page"/>
      </w:r>
    </w:p>
    <w:p>
      <w:pPr>
        <w:pStyle w:val="Heading1"/>
        <w:rPr/>
      </w:pPr>
      <w:bookmarkStart w:id="24" w:name="__RefHeading___Toc4426_1817233446"/>
      <w:bookmarkEnd w:id="24"/>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Borders/>
        <w:tblCellMar>
          <w:top w:w="0" w:type="dxa"/>
          <w:left w:w="0" w:type="dxa"/>
          <w:bottom w:w="0" w:type="dxa"/>
          <w:right w:w="0" w:type="dxa"/>
        </w:tblCellMar>
      </w:tblPr>
      <w:tblGrid>
        <w:gridCol w:w="559"/>
        <w:gridCol w:w="1431"/>
        <w:gridCol w:w="1191"/>
        <w:gridCol w:w="1078"/>
        <w:gridCol w:w="1119"/>
        <w:gridCol w:w="2"/>
        <w:gridCol w:w="1099"/>
        <w:gridCol w:w="2"/>
        <w:gridCol w:w="1482"/>
        <w:gridCol w:w="2"/>
        <w:gridCol w:w="1671"/>
      </w:tblGrid>
      <w:tr>
        <w:trPr>
          <w:tblHeader w:val="true"/>
        </w:trPr>
        <w:tc>
          <w:tcPr>
            <w:tcW w:w="559" w:type="dxa"/>
            <w:tcBorders/>
            <w:shd w:fill="auto" w:val="clear"/>
          </w:tcPr>
          <w:p>
            <w:pPr>
              <w:pStyle w:val="TextBody"/>
              <w:widowControl w:val="false"/>
              <w:spacing w:before="0" w:after="140"/>
              <w:rPr>
                <w:b/>
                <w:b/>
                <w:bCs/>
                <w:sz w:val="22"/>
                <w:szCs w:val="22"/>
              </w:rPr>
            </w:pPr>
            <w:r>
              <w:rPr>
                <w:b/>
                <w:bCs/>
                <w:sz w:val="22"/>
                <w:szCs w:val="22"/>
              </w:rPr>
              <w:t>#</w:t>
            </w:r>
          </w:p>
        </w:tc>
        <w:tc>
          <w:tcPr>
            <w:tcW w:w="1431" w:type="dxa"/>
            <w:tcBorders/>
            <w:shd w:fill="auto" w:val="clear"/>
          </w:tcPr>
          <w:p>
            <w:pPr>
              <w:pStyle w:val="TextBody"/>
              <w:widowControl w:val="false"/>
              <w:spacing w:before="0" w:after="140"/>
              <w:rPr>
                <w:b/>
                <w:b/>
                <w:bCs/>
                <w:sz w:val="22"/>
                <w:szCs w:val="22"/>
              </w:rPr>
            </w:pPr>
            <w:r>
              <w:rPr>
                <w:b/>
                <w:bCs/>
                <w:sz w:val="22"/>
                <w:szCs w:val="22"/>
              </w:rPr>
              <w:t>Date</w:t>
            </w:r>
          </w:p>
        </w:tc>
        <w:tc>
          <w:tcPr>
            <w:tcW w:w="1191" w:type="dxa"/>
            <w:tcBorders/>
            <w:shd w:fill="auto" w:val="clear"/>
          </w:tcPr>
          <w:p>
            <w:pPr>
              <w:pStyle w:val="TextBody"/>
              <w:widowControl w:val="false"/>
              <w:spacing w:before="0" w:after="140"/>
              <w:rPr>
                <w:b/>
                <w:b/>
                <w:bCs/>
                <w:sz w:val="22"/>
                <w:szCs w:val="22"/>
              </w:rPr>
            </w:pPr>
            <w:r>
              <w:rPr>
                <w:b/>
                <w:bCs/>
                <w:sz w:val="22"/>
                <w:szCs w:val="22"/>
              </w:rPr>
              <w:t>Client</w:t>
            </w:r>
          </w:p>
        </w:tc>
        <w:tc>
          <w:tcPr>
            <w:tcW w:w="1078" w:type="dxa"/>
            <w:tcBorders/>
            <w:shd w:fill="auto" w:val="clear"/>
          </w:tcPr>
          <w:p>
            <w:pPr>
              <w:pStyle w:val="TextBody"/>
              <w:widowControl w:val="false"/>
              <w:spacing w:before="0" w:after="140"/>
              <w:rPr>
                <w:b/>
                <w:b/>
                <w:bCs/>
                <w:sz w:val="22"/>
                <w:szCs w:val="22"/>
              </w:rPr>
            </w:pPr>
            <w:r>
              <w:rPr>
                <w:b/>
                <w:bCs/>
                <w:sz w:val="22"/>
                <w:szCs w:val="22"/>
              </w:rPr>
              <w:t>City</w:t>
            </w:r>
          </w:p>
        </w:tc>
        <w:tc>
          <w:tcPr>
            <w:tcW w:w="1119" w:type="dxa"/>
            <w:tcBorders/>
            <w:shd w:fill="auto" w:val="clear"/>
          </w:tcPr>
          <w:p>
            <w:pPr>
              <w:pStyle w:val="TextBody"/>
              <w:widowControl w:val="false"/>
              <w:spacing w:before="0" w:after="140"/>
              <w:rPr>
                <w:b/>
                <w:b/>
                <w:bCs/>
                <w:sz w:val="22"/>
                <w:szCs w:val="22"/>
              </w:rPr>
            </w:pPr>
            <w:r>
              <w:rPr>
                <w:b/>
                <w:bCs/>
                <w:sz w:val="22"/>
                <w:szCs w:val="22"/>
              </w:rPr>
              <w:t>Region</w:t>
            </w:r>
          </w:p>
        </w:tc>
        <w:tc>
          <w:tcPr>
            <w:tcW w:w="1101" w:type="dxa"/>
            <w:gridSpan w:val="2"/>
            <w:tcBorders/>
            <w:shd w:fill="auto" w:val="clear"/>
          </w:tcPr>
          <w:p>
            <w:pPr>
              <w:pStyle w:val="TextBody"/>
              <w:widowControl w:val="false"/>
              <w:spacing w:before="0" w:after="140"/>
              <w:rPr>
                <w:b/>
                <w:b/>
                <w:bCs/>
                <w:sz w:val="22"/>
                <w:szCs w:val="22"/>
              </w:rPr>
            </w:pPr>
            <w:r>
              <w:rPr>
                <w:b/>
                <w:bCs/>
                <w:sz w:val="22"/>
                <w:szCs w:val="22"/>
              </w:rPr>
              <w:t>Country</w:t>
            </w:r>
          </w:p>
        </w:tc>
        <w:tc>
          <w:tcPr>
            <w:tcW w:w="3157" w:type="dxa"/>
            <w:gridSpan w:val="4"/>
            <w:tcBorders/>
            <w:shd w:fill="auto" w:val="clear"/>
          </w:tcPr>
          <w:p>
            <w:pPr>
              <w:pStyle w:val="TextBody"/>
              <w:widowControl w:val="false"/>
              <w:spacing w:before="0" w:after="140"/>
              <w:rPr>
                <w:b/>
                <w:b/>
                <w:bCs/>
                <w:sz w:val="22"/>
                <w:szCs w:val="22"/>
              </w:rPr>
            </w:pPr>
            <w:r>
              <w:rPr>
                <w:b/>
                <w:bCs/>
                <w:sz w:val="22"/>
                <w:szCs w:val="22"/>
              </w:rPr>
              <w:t>Royalties paid</w:t>
            </w:r>
          </w:p>
        </w:tc>
      </w:tr>
      <w:tr>
        <w:trPr/>
        <w:tc>
          <w:tcPr>
            <w:tcW w:w="559" w:type="dxa"/>
            <w:tcBorders/>
            <w:shd w:fill="auto" w:val="clear"/>
          </w:tcPr>
          <w:p>
            <w:pPr>
              <w:pStyle w:val="TextBody"/>
              <w:widowControl w:val="false"/>
              <w:spacing w:before="0" w:after="140"/>
              <w:rPr>
                <w:b/>
                <w:b/>
                <w:bCs/>
                <w:sz w:val="22"/>
                <w:szCs w:val="22"/>
              </w:rPr>
            </w:pPr>
            <w:r>
              <w:rPr>
                <w:b/>
                <w:bCs/>
                <w:sz w:val="22"/>
                <w:szCs w:val="22"/>
              </w:rPr>
            </w:r>
          </w:p>
        </w:tc>
        <w:tc>
          <w:tcPr>
            <w:tcW w:w="1431" w:type="dxa"/>
            <w:tcBorders/>
            <w:shd w:fill="auto" w:val="clear"/>
          </w:tcPr>
          <w:p>
            <w:pPr>
              <w:pStyle w:val="TextBody"/>
              <w:widowControl w:val="false"/>
              <w:spacing w:before="0" w:after="140"/>
              <w:rPr>
                <w:b/>
                <w:b/>
                <w:bCs/>
                <w:sz w:val="22"/>
                <w:szCs w:val="22"/>
              </w:rPr>
            </w:pPr>
            <w:r>
              <w:rPr>
                <w:b/>
                <w:bCs/>
                <w:sz w:val="22"/>
                <w:szCs w:val="22"/>
              </w:rPr>
            </w:r>
          </w:p>
        </w:tc>
        <w:tc>
          <w:tcPr>
            <w:tcW w:w="1191" w:type="dxa"/>
            <w:tcBorders/>
            <w:shd w:fill="auto" w:val="clear"/>
          </w:tcPr>
          <w:p>
            <w:pPr>
              <w:pStyle w:val="TextBody"/>
              <w:widowControl w:val="false"/>
              <w:spacing w:before="0" w:after="140"/>
              <w:rPr>
                <w:b/>
                <w:b/>
                <w:bCs/>
                <w:sz w:val="22"/>
                <w:szCs w:val="22"/>
              </w:rPr>
            </w:pPr>
            <w:r>
              <w:rPr>
                <w:b/>
                <w:bCs/>
                <w:sz w:val="22"/>
                <w:szCs w:val="22"/>
              </w:rPr>
            </w:r>
          </w:p>
        </w:tc>
        <w:tc>
          <w:tcPr>
            <w:tcW w:w="1078" w:type="dxa"/>
            <w:tcBorders/>
            <w:shd w:fill="auto" w:val="clear"/>
          </w:tcPr>
          <w:p>
            <w:pPr>
              <w:pStyle w:val="TextBody"/>
              <w:widowControl w:val="false"/>
              <w:spacing w:before="0" w:after="140"/>
              <w:rPr>
                <w:b/>
                <w:b/>
                <w:bCs/>
                <w:sz w:val="22"/>
                <w:szCs w:val="22"/>
              </w:rPr>
            </w:pPr>
            <w:r>
              <w:rPr>
                <w:b/>
                <w:bCs/>
                <w:sz w:val="22"/>
                <w:szCs w:val="22"/>
              </w:rPr>
            </w:r>
          </w:p>
        </w:tc>
        <w:tc>
          <w:tcPr>
            <w:tcW w:w="1119" w:type="dxa"/>
            <w:tcBorders/>
            <w:shd w:fill="auto" w:val="clear"/>
          </w:tcPr>
          <w:p>
            <w:pPr>
              <w:pStyle w:val="TextBody"/>
              <w:widowControl w:val="false"/>
              <w:spacing w:before="0" w:after="140"/>
              <w:rPr>
                <w:b/>
                <w:b/>
                <w:bCs/>
                <w:sz w:val="22"/>
                <w:szCs w:val="22"/>
              </w:rPr>
            </w:pPr>
            <w:r>
              <w:rPr>
                <w:b/>
                <w:bCs/>
                <w:sz w:val="22"/>
                <w:szCs w:val="22"/>
              </w:rPr>
            </w:r>
          </w:p>
        </w:tc>
        <w:tc>
          <w:tcPr>
            <w:tcW w:w="1101" w:type="dxa"/>
            <w:gridSpan w:val="2"/>
            <w:tcBorders/>
            <w:shd w:fill="auto" w:val="clear"/>
          </w:tcPr>
          <w:p>
            <w:pPr>
              <w:pStyle w:val="TextBody"/>
              <w:widowControl w:val="false"/>
              <w:spacing w:before="0" w:after="140"/>
              <w:rPr>
                <w:b/>
                <w:b/>
                <w:bCs/>
                <w:sz w:val="22"/>
                <w:szCs w:val="22"/>
              </w:rPr>
            </w:pPr>
            <w:r>
              <w:rPr>
                <w:b/>
                <w:bCs/>
                <w:sz w:val="22"/>
                <w:szCs w:val="22"/>
              </w:rPr>
            </w:r>
          </w:p>
        </w:tc>
        <w:tc>
          <w:tcPr>
            <w:tcW w:w="1484" w:type="dxa"/>
            <w:gridSpan w:val="2"/>
            <w:tcBorders/>
            <w:shd w:fill="auto" w:val="clear"/>
          </w:tcPr>
          <w:p>
            <w:pPr>
              <w:pStyle w:val="TextBody"/>
              <w:widowControl w:val="false"/>
              <w:spacing w:before="0" w:after="140"/>
              <w:rPr>
                <w:b/>
                <w:b/>
                <w:bCs/>
                <w:sz w:val="22"/>
                <w:szCs w:val="22"/>
              </w:rPr>
            </w:pPr>
            <w:r>
              <w:rPr>
                <w:b/>
                <w:bCs/>
                <w:sz w:val="22"/>
                <w:szCs w:val="22"/>
              </w:rPr>
              <w:t>Field House</w:t>
            </w:r>
          </w:p>
        </w:tc>
        <w:tc>
          <w:tcPr>
            <w:tcW w:w="1673" w:type="dxa"/>
            <w:gridSpan w:val="2"/>
            <w:tcBorders/>
            <w:shd w:fill="auto" w:val="clear"/>
          </w:tcPr>
          <w:p>
            <w:pPr>
              <w:pStyle w:val="TextBody"/>
              <w:widowControl w:val="false"/>
              <w:spacing w:before="0" w:after="140"/>
              <w:rPr>
                <w:b/>
                <w:b/>
                <w:bCs/>
                <w:sz w:val="22"/>
                <w:szCs w:val="22"/>
              </w:rPr>
            </w:pPr>
            <w:r>
              <w:rPr>
                <w:b/>
                <w:bCs/>
                <w:sz w:val="22"/>
                <w:szCs w:val="22"/>
              </w:rPr>
              <w:t>Carnegie</w:t>
            </w:r>
          </w:p>
        </w:tc>
      </w:tr>
      <w:tr>
        <w:trPr/>
        <w:tc>
          <w:tcPr>
            <w:tcW w:w="559" w:type="dxa"/>
            <w:tcBorders/>
            <w:shd w:fill="auto" w:val="clear"/>
          </w:tcPr>
          <w:p>
            <w:pPr>
              <w:pStyle w:val="TextBody"/>
              <w:widowControl w:val="false"/>
              <w:spacing w:before="0" w:after="140"/>
              <w:rPr>
                <w:sz w:val="22"/>
                <w:szCs w:val="22"/>
              </w:rPr>
            </w:pPr>
            <w:r>
              <w:rPr>
                <w:sz w:val="22"/>
                <w:szCs w:val="22"/>
              </w:rPr>
              <w:t>1</w:t>
            </w:r>
          </w:p>
        </w:tc>
        <w:tc>
          <w:tcPr>
            <w:tcW w:w="1431" w:type="dxa"/>
            <w:tcBorders/>
            <w:shd w:fill="auto" w:val="clear"/>
          </w:tcPr>
          <w:p>
            <w:pPr>
              <w:pStyle w:val="TextBody"/>
              <w:widowControl w:val="false"/>
              <w:spacing w:before="0" w:after="140"/>
              <w:rPr>
                <w:sz w:val="22"/>
                <w:szCs w:val="22"/>
              </w:rPr>
            </w:pPr>
            <w:r>
              <w:rPr>
                <w:sz w:val="22"/>
                <w:szCs w:val="22"/>
              </w:rPr>
              <w:t>January 1990</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Odawara</w:t>
            </w:r>
          </w:p>
        </w:tc>
        <w:tc>
          <w:tcPr>
            <w:tcW w:w="1119" w:type="dxa"/>
            <w:tcBorders/>
            <w:shd w:fill="auto" w:val="clear"/>
          </w:tcPr>
          <w:p>
            <w:pPr>
              <w:pStyle w:val="TextBody"/>
              <w:widowControl w:val="false"/>
              <w:spacing w:before="0" w:after="140"/>
              <w:rPr>
                <w:sz w:val="22"/>
                <w:szCs w:val="22"/>
              </w:rPr>
            </w:pPr>
            <w:r>
              <w:rPr>
                <w:sz w:val="22"/>
                <w:szCs w:val="22"/>
              </w:rPr>
              <w:t>Kanagawa</w:t>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2</w:t>
            </w:r>
          </w:p>
        </w:tc>
        <w:tc>
          <w:tcPr>
            <w:tcW w:w="1431" w:type="dxa"/>
            <w:tcBorders/>
            <w:shd w:fill="auto" w:val="clear"/>
          </w:tcPr>
          <w:p>
            <w:pPr>
              <w:pStyle w:val="TextBody"/>
              <w:widowControl w:val="false"/>
              <w:spacing w:before="0" w:after="140"/>
              <w:rPr>
                <w:sz w:val="22"/>
                <w:szCs w:val="22"/>
              </w:rPr>
            </w:pPr>
            <w:r>
              <w:rPr>
                <w:sz w:val="22"/>
                <w:szCs w:val="22"/>
              </w:rPr>
              <w:t>October 1992</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Shiramine</w:t>
            </w:r>
          </w:p>
        </w:tc>
        <w:tc>
          <w:tcPr>
            <w:tcW w:w="1119" w:type="dxa"/>
            <w:tcBorders/>
            <w:shd w:fill="auto" w:val="clear"/>
          </w:tcPr>
          <w:p>
            <w:pPr>
              <w:pStyle w:val="TextBody"/>
              <w:widowControl w:val="false"/>
              <w:spacing w:before="0" w:after="140"/>
              <w:rPr>
                <w:sz w:val="22"/>
                <w:szCs w:val="22"/>
              </w:rPr>
            </w:pPr>
            <w:r>
              <w:rPr>
                <w:sz w:val="22"/>
                <w:szCs w:val="22"/>
              </w:rPr>
              <w:t>Ishikawa</w:t>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3</w:t>
            </w:r>
          </w:p>
        </w:tc>
        <w:tc>
          <w:tcPr>
            <w:tcW w:w="1431" w:type="dxa"/>
            <w:tcBorders/>
            <w:shd w:fill="auto" w:val="clear"/>
          </w:tcPr>
          <w:p>
            <w:pPr>
              <w:pStyle w:val="TextBody"/>
              <w:widowControl w:val="false"/>
              <w:spacing w:before="0" w:after="140"/>
              <w:rPr>
                <w:sz w:val="22"/>
                <w:szCs w:val="22"/>
              </w:rPr>
            </w:pPr>
            <w:r>
              <w:rPr>
                <w:sz w:val="22"/>
                <w:szCs w:val="22"/>
              </w:rPr>
              <w:t>May 1992</w:t>
            </w:r>
          </w:p>
        </w:tc>
        <w:tc>
          <w:tcPr>
            <w:tcW w:w="1191" w:type="dxa"/>
            <w:tcBorders/>
            <w:shd w:fill="auto" w:val="clear"/>
          </w:tcPr>
          <w:p>
            <w:pPr>
              <w:pStyle w:val="TextBody"/>
              <w:widowControl w:val="false"/>
              <w:spacing w:before="0" w:after="140"/>
              <w:rPr>
                <w:sz w:val="22"/>
                <w:szCs w:val="22"/>
              </w:rPr>
            </w:pPr>
            <w:r>
              <w:rPr>
                <w:sz w:val="22"/>
                <w:szCs w:val="22"/>
              </w:rPr>
              <w:t>Mitzukoshi</w:t>
            </w:r>
          </w:p>
        </w:tc>
        <w:tc>
          <w:tcPr>
            <w:tcW w:w="2199" w:type="dxa"/>
            <w:gridSpan w:val="3"/>
            <w:tcBorders/>
            <w:shd w:fill="auto" w:val="clear"/>
          </w:tcPr>
          <w:p>
            <w:pPr>
              <w:pStyle w:val="TextBody"/>
              <w:widowControl w:val="false"/>
              <w:spacing w:before="0" w:after="140"/>
              <w:rPr>
                <w:i/>
                <w:i/>
                <w:iCs/>
                <w:sz w:val="22"/>
                <w:szCs w:val="22"/>
              </w:rPr>
            </w:pPr>
            <w:r>
              <w:rPr>
                <w:i/>
                <w:iCs/>
                <w:sz w:val="22"/>
                <w:szCs w:val="22"/>
              </w:rPr>
              <w:t>(Travelling exhibit)</w:t>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1" w:type="dxa"/>
            <w:tcBorders/>
            <w:shd w:fill="auto" w:val="clear"/>
          </w:tcPr>
          <w:p>
            <w:pPr>
              <w:pStyle w:val="TextBody"/>
              <w:widowControl w:val="false"/>
              <w:spacing w:before="0" w:after="140"/>
              <w:rPr>
                <w:sz w:val="22"/>
                <w:szCs w:val="22"/>
              </w:rPr>
            </w:pPr>
            <w:r>
              <w:rPr>
                <w:sz w:val="22"/>
                <w:szCs w:val="22"/>
              </w:rPr>
              <w:t>$3,500</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4</w:t>
            </w:r>
          </w:p>
        </w:tc>
        <w:tc>
          <w:tcPr>
            <w:tcW w:w="1431" w:type="dxa"/>
            <w:tcBorders/>
            <w:shd w:fill="auto" w:val="clear"/>
          </w:tcPr>
          <w:p>
            <w:pPr>
              <w:pStyle w:val="TextBody"/>
              <w:widowControl w:val="false"/>
              <w:spacing w:before="0" w:after="140"/>
              <w:rPr>
                <w:sz w:val="22"/>
                <w:szCs w:val="22"/>
              </w:rPr>
            </w:pPr>
            <w:r>
              <w:rPr>
                <w:sz w:val="22"/>
                <w:szCs w:val="22"/>
              </w:rPr>
              <w:t>June 1992</w:t>
            </w:r>
          </w:p>
        </w:tc>
        <w:tc>
          <w:tcPr>
            <w:tcW w:w="1191" w:type="dxa"/>
            <w:tcBorders/>
            <w:shd w:fill="auto" w:val="clear"/>
          </w:tcPr>
          <w:p>
            <w:pPr>
              <w:pStyle w:val="TextBody"/>
              <w:widowControl w:val="false"/>
              <w:spacing w:before="0" w:after="140"/>
              <w:rPr>
                <w:sz w:val="22"/>
                <w:szCs w:val="22"/>
              </w:rPr>
            </w:pPr>
            <w:r>
              <w:rPr>
                <w:sz w:val="22"/>
                <w:szCs w:val="22"/>
              </w:rPr>
              <w:t>RCI</w:t>
            </w:r>
          </w:p>
        </w:tc>
        <w:tc>
          <w:tcPr>
            <w:tcW w:w="1078" w:type="dxa"/>
            <w:tcBorders/>
            <w:shd w:fill="auto" w:val="clear"/>
          </w:tcPr>
          <w:p>
            <w:pPr>
              <w:pStyle w:val="TextBody"/>
              <w:widowControl w:val="false"/>
              <w:spacing w:before="0" w:after="140"/>
              <w:rPr>
                <w:sz w:val="22"/>
                <w:szCs w:val="22"/>
              </w:rPr>
            </w:pPr>
            <w:r>
              <w:rPr>
                <w:sz w:val="22"/>
                <w:szCs w:val="22"/>
              </w:rPr>
              <w:t>Shimizu</w:t>
            </w:r>
          </w:p>
        </w:tc>
        <w:tc>
          <w:tcPr>
            <w:tcW w:w="1119" w:type="dxa"/>
            <w:tcBorders/>
            <w:shd w:fill="auto" w:val="clear"/>
          </w:tcPr>
          <w:p>
            <w:pPr>
              <w:pStyle w:val="Normal"/>
              <w:widowControl w:val="false"/>
              <w:rPr>
                <w:sz w:val="22"/>
                <w:szCs w:val="22"/>
              </w:rPr>
            </w:pPr>
            <w:r>
              <w:rPr>
                <w:sz w:val="22"/>
                <w:szCs w:val="22"/>
              </w:rPr>
              <w:t>Tokai</w:t>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5</w:t>
            </w:r>
          </w:p>
        </w:tc>
        <w:tc>
          <w:tcPr>
            <w:tcW w:w="1431" w:type="dxa"/>
            <w:tcBorders/>
            <w:shd w:fill="auto" w:val="clear"/>
          </w:tcPr>
          <w:p>
            <w:pPr>
              <w:pStyle w:val="TextBody"/>
              <w:widowControl w:val="false"/>
              <w:spacing w:before="0" w:after="140"/>
              <w:rPr>
                <w:sz w:val="22"/>
                <w:szCs w:val="22"/>
              </w:rPr>
            </w:pPr>
            <w:r>
              <w:rPr>
                <w:sz w:val="22"/>
                <w:szCs w:val="22"/>
              </w:rPr>
              <w:t>May 1991</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Vernal</w:t>
            </w:r>
          </w:p>
        </w:tc>
        <w:tc>
          <w:tcPr>
            <w:tcW w:w="1119" w:type="dxa"/>
            <w:tcBorders/>
            <w:shd w:fill="auto" w:val="clear"/>
          </w:tcPr>
          <w:p>
            <w:pPr>
              <w:pStyle w:val="Normal"/>
              <w:widowControl w:val="false"/>
              <w:rPr>
                <w:sz w:val="22"/>
                <w:szCs w:val="22"/>
              </w:rPr>
            </w:pPr>
            <w:r>
              <w:rPr>
                <w:sz w:val="22"/>
                <w:szCs w:val="22"/>
              </w:rPr>
              <w:t>Utah</w:t>
            </w:r>
          </w:p>
        </w:tc>
        <w:tc>
          <w:tcPr>
            <w:tcW w:w="1101"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t>N/A</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6</w:t>
            </w:r>
          </w:p>
        </w:tc>
        <w:tc>
          <w:tcPr>
            <w:tcW w:w="1431" w:type="dxa"/>
            <w:tcBorders/>
            <w:shd w:fill="auto" w:val="clear"/>
          </w:tcPr>
          <w:p>
            <w:pPr>
              <w:pStyle w:val="TextBody"/>
              <w:widowControl w:val="false"/>
              <w:spacing w:before="0" w:after="140"/>
              <w:rPr>
                <w:sz w:val="22"/>
                <w:szCs w:val="22"/>
              </w:rPr>
            </w:pPr>
            <w:r>
              <w:rPr>
                <w:sz w:val="22"/>
                <w:szCs w:val="22"/>
              </w:rPr>
              <w:t>February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Tokyo</w:t>
            </w:r>
          </w:p>
        </w:tc>
        <w:tc>
          <w:tcPr>
            <w:tcW w:w="1119" w:type="dxa"/>
            <w:tcBorders/>
            <w:shd w:fill="auto" w:val="clear"/>
          </w:tcPr>
          <w:p>
            <w:pPr>
              <w:pStyle w:val="Normal"/>
              <w:widowControl w:val="false"/>
              <w:rPr>
                <w:sz w:val="22"/>
                <w:szCs w:val="22"/>
              </w:rPr>
            </w:pPr>
            <w:r>
              <w:rPr>
                <w:sz w:val="22"/>
                <w:szCs w:val="22"/>
              </w:rPr>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7</w:t>
            </w:r>
          </w:p>
        </w:tc>
        <w:tc>
          <w:tcPr>
            <w:tcW w:w="1431" w:type="dxa"/>
            <w:tcBorders/>
            <w:shd w:fill="auto" w:val="clear"/>
          </w:tcPr>
          <w:p>
            <w:pPr>
              <w:pStyle w:val="TextBody"/>
              <w:widowControl w:val="false"/>
              <w:spacing w:before="0" w:after="140"/>
              <w:rPr>
                <w:sz w:val="22"/>
                <w:szCs w:val="22"/>
              </w:rPr>
            </w:pPr>
            <w:r>
              <w:rPr>
                <w:sz w:val="22"/>
                <w:szCs w:val="22"/>
              </w:rPr>
              <w:t>October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Tampa</w:t>
            </w:r>
          </w:p>
        </w:tc>
        <w:tc>
          <w:tcPr>
            <w:tcW w:w="1119" w:type="dxa"/>
            <w:tcBorders/>
            <w:shd w:fill="auto" w:val="clear"/>
          </w:tcPr>
          <w:p>
            <w:pPr>
              <w:pStyle w:val="Normal"/>
              <w:widowControl w:val="false"/>
              <w:rPr>
                <w:sz w:val="22"/>
                <w:szCs w:val="22"/>
              </w:rPr>
            </w:pPr>
            <w:r>
              <w:rPr>
                <w:sz w:val="22"/>
                <w:szCs w:val="22"/>
              </w:rPr>
              <w:t>Florida</w:t>
            </w:r>
          </w:p>
        </w:tc>
        <w:tc>
          <w:tcPr>
            <w:tcW w:w="1101"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9–12</w:t>
            </w:r>
          </w:p>
        </w:tc>
        <w:tc>
          <w:tcPr>
            <w:tcW w:w="9077" w:type="dxa"/>
            <w:gridSpan w:val="10"/>
            <w:tcBorders/>
            <w:shd w:fill="auto" w:val="clear"/>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13</w:t>
            </w:r>
          </w:p>
        </w:tc>
        <w:tc>
          <w:tcPr>
            <w:tcW w:w="1431" w:type="dxa"/>
            <w:tcBorders/>
            <w:shd w:fill="auto" w:val="clear"/>
          </w:tcPr>
          <w:p>
            <w:pPr>
              <w:pStyle w:val="TextBody"/>
              <w:widowControl w:val="false"/>
              <w:spacing w:before="0" w:after="140"/>
              <w:rPr>
                <w:sz w:val="22"/>
                <w:szCs w:val="22"/>
              </w:rPr>
            </w:pPr>
            <w:r>
              <w:rPr>
                <w:sz w:val="22"/>
                <w:szCs w:val="22"/>
              </w:rPr>
              <w:t>2006</w:t>
            </w:r>
          </w:p>
        </w:tc>
        <w:tc>
          <w:tcPr>
            <w:tcW w:w="1191" w:type="dxa"/>
            <w:tcBorders/>
            <w:shd w:fill="auto" w:val="clear"/>
          </w:tcPr>
          <w:p>
            <w:pPr>
              <w:pStyle w:val="TextBody"/>
              <w:widowControl w:val="false"/>
              <w:spacing w:before="0" w:after="140"/>
              <w:rPr>
                <w:sz w:val="22"/>
                <w:szCs w:val="22"/>
              </w:rPr>
            </w:pPr>
            <w:r>
              <w:rPr>
                <w:sz w:val="22"/>
                <w:szCs w:val="22"/>
              </w:rPr>
              <w:t>The Dinosaur Store</w:t>
            </w:r>
          </w:p>
        </w:tc>
        <w:tc>
          <w:tcPr>
            <w:tcW w:w="1078" w:type="dxa"/>
            <w:tcBorders/>
            <w:shd w:fill="auto" w:val="clear"/>
          </w:tcPr>
          <w:p>
            <w:pPr>
              <w:pStyle w:val="TextBody"/>
              <w:widowControl w:val="false"/>
              <w:spacing w:before="0" w:after="140"/>
              <w:rPr>
                <w:sz w:val="22"/>
                <w:szCs w:val="22"/>
              </w:rPr>
            </w:pPr>
            <w:r>
              <w:rPr>
                <w:sz w:val="22"/>
                <w:szCs w:val="22"/>
              </w:rPr>
              <w:t>Cocoa Beach</w:t>
            </w:r>
          </w:p>
        </w:tc>
        <w:tc>
          <w:tcPr>
            <w:tcW w:w="1119" w:type="dxa"/>
            <w:tcBorders/>
            <w:shd w:fill="auto" w:val="clear"/>
          </w:tcPr>
          <w:p>
            <w:pPr>
              <w:pStyle w:val="Normal"/>
              <w:widowControl w:val="false"/>
              <w:rPr>
                <w:sz w:val="22"/>
                <w:szCs w:val="22"/>
              </w:rPr>
            </w:pPr>
            <w:r>
              <w:rPr>
                <w:sz w:val="22"/>
                <w:szCs w:val="22"/>
              </w:rPr>
              <w:t>Florida</w:t>
            </w:r>
          </w:p>
        </w:tc>
        <w:tc>
          <w:tcPr>
            <w:tcW w:w="1101"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bl>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i w:val="false"/>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newspapers.lib.utah.edu/ark:/87278/s62v6594/22643733" TargetMode="External"/><Relationship Id="rId24" Type="http://schemas.openxmlformats.org/officeDocument/2006/relationships/hyperlink" Target="https://archiveswest.orbiscascade.org/ark:/80444/xv38626" TargetMode="External"/><Relationship Id="rId25" Type="http://schemas.openxmlformats.org/officeDocument/2006/relationships/hyperlink" Target="https://web.archive.org/web/20220610005257/https://archiveswest.orbiscascade.org/ark:/80444/xv38626" TargetMode="External"/><Relationship Id="rId26" Type="http://schemas.openxmlformats.org/officeDocument/2006/relationships/hyperlink" Target="https://newspapers.lib.utah.edu/ark:/87278/s6r53f0k/22649899" TargetMode="External"/><Relationship Id="rId27" Type="http://schemas.openxmlformats.org/officeDocument/2006/relationships/hyperlink" Target="http://hdl.handle.net/2246/6497" TargetMode="External"/><Relationship Id="rId28" Type="http://schemas.openxmlformats.org/officeDocument/2006/relationships/hyperlink" Target="https://wusfnews.wusf.usf.edu/news/2017-05-18/mosi-to-close-imax-other-exhibits-in-cost-saving-reconfiguration" TargetMode="External"/><Relationship Id="rId29" Type="http://schemas.openxmlformats.org/officeDocument/2006/relationships/hyperlink" Target="https://web.archive.org/web/20210507091810/https://wusfnews.wusf.usf.edu/news/2017-05-18/mosi-to-close-imax-other-exhibits-in-cost-saving-reconfiguration" TargetMode="External"/><Relationship Id="rId30" Type="http://schemas.openxmlformats.org/officeDocument/2006/relationships/hyperlink" Target="https://newspaperarchive.com/rocky-mount-evening-telegram-apr-24-1960-p-11/" TargetMode="Externa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31619</TotalTime>
  <Application>LibreOffice/6.1.3.2$MacOSX_X86_64 LibreOffice_project/86daf60bf00efa86ad547e59e09d6bb77c699acb</Application>
  <Pages>23</Pages>
  <Words>11487</Words>
  <Characters>60235</Characters>
  <CharactersWithSpaces>71461</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2022-08-25T23:44:35Z</dcterms:modified>
  <cp:revision>664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