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7949_1817233446">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8</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11</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3005_1175089729">
        <w:r>
          <w:rPr>
            <w:rStyle w:val="IndexLink"/>
          </w:rPr>
          <w:t>The fate of the new molds</w:t>
          <w:tab/>
          <w:t>13</w:t>
        </w:r>
      </w:hyperlink>
    </w:p>
    <w:p>
      <w:pPr>
        <w:pStyle w:val="Contents1"/>
        <w:tabs>
          <w:tab w:val="right" w:pos="9638" w:leader="dot"/>
        </w:tabs>
        <w:rPr/>
      </w:pPr>
      <w:hyperlink w:anchor="__RefHeading___Toc3401_68767826">
        <w:r>
          <w:rPr>
            <w:rStyle w:val="IndexLink"/>
          </w:rPr>
          <w:t>Discussion</w:t>
          <w:tab/>
          <w:t>14</w:t>
        </w:r>
      </w:hyperlink>
    </w:p>
    <w:p>
      <w:pPr>
        <w:pStyle w:val="Contents1"/>
        <w:tabs>
          <w:tab w:val="right" w:pos="9638" w:leader="dot"/>
        </w:tabs>
        <w:rPr/>
      </w:pPr>
      <w:hyperlink w:anchor="__RefHeading___Toc3529_2542618767">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15</w:t>
        </w:r>
      </w:hyperlink>
    </w:p>
    <w:p>
      <w:pPr>
        <w:pStyle w:val="Contents1"/>
        <w:tabs>
          <w:tab w:val="right" w:pos="9638" w:leader="dot"/>
        </w:tabs>
        <w:rPr/>
      </w:pPr>
      <w:hyperlink w:anchor="__RefHeading___Toc3407_68767826">
        <w:r>
          <w:rPr>
            <w:rStyle w:val="IndexLink"/>
          </w:rPr>
          <w:t>Figure Captions</w:t>
          <w:tab/>
          <w:t>19</w:t>
        </w:r>
      </w:hyperlink>
    </w:p>
    <w:p>
      <w:pPr>
        <w:pStyle w:val="Contents1"/>
        <w:tabs>
          <w:tab w:val="right" w:pos="9638" w:leader="dot"/>
        </w:tabs>
        <w:rPr/>
      </w:pPr>
      <w:hyperlink w:anchor="__RefHeading___Toc4426_1817233446">
        <w:r>
          <w:rPr>
            <w:rStyle w:val="IndexLink"/>
          </w:rPr>
          <w:t>Tables</w:t>
          <w:tab/>
          <w:t>21</w:t>
        </w:r>
      </w:hyperlink>
    </w:p>
    <w:p>
      <w:pPr>
        <w:pStyle w:val="Heading1"/>
        <w:rPr/>
      </w:pPr>
      <w:bookmarkStart w:id="0" w:name="__RefHeading___Toc7949_1817233446"/>
      <w:bookmarkEnd w:id="0"/>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stripped by museums outside the locality. As World War II was ending, he realised he importance of tourism to Utah, and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in her own right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Similarly,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A sequence of reports in the Rocky Mount Evening Telegram from April to July 1960 (Williams 1960, Bell 1960a, Bell 1960b, Anonymous 1960b) enthusiastically announce and discuss the impeding arrival, and the later articles say that museum board president Harold Minges has left for Utah to collect to molds — but then the newspaper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required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do not recall any such cast (Leigh White, pers. comm., 2022).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 </w:t>
      </w:r>
      <w:r>
        <w:rPr>
          <w:highlight w:val="yellow"/>
          <w:u w:val="none"/>
        </w:rPr>
        <w:t>XXX follow up with Hicks.</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the “the South”, an area composed mostly of the Confederate states during the civil war — a designation that includes both North Carolina and Texas.</w:t>
      </w:r>
    </w:p>
    <w:p>
      <w:pPr>
        <w:pStyle w:val="TextBody"/>
        <w:rPr/>
      </w:pPr>
      <w:r>
        <w:rPr/>
        <w:t>Putting it all together, there is no way that all the reports cited here can be accurate. Perhaps the most likely scenario is this: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This may have happened in late 1988 or early 1989, between Rolfe’s (1988) letter that expressed an interest in using the molds and Langston’s personal communication to Madsen in 1989. Where the molds are now, and why they did not arrive,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and a letter from RMS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inventiveness, but other responsibilities meant that very nearly five years were to elapse after the removal of the outdoor concrete </w:t>
      </w:r>
      <w:r>
        <w:rPr>
          <w:i/>
          <w:iCs/>
        </w:rPr>
        <w:t>Diplodocus</w:t>
      </w:r>
      <w:r>
        <w:rPr/>
        <w:t xml:space="preserve"> before the unveiling of its indoor WEP successor (Figure C). </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I).</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and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says this was RCI. Awaiting confirmation from Peter May.</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McIntosh helped to broker a deal between Dinolab and RCI whereby the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the cast was returned to them some time before the end of June 1991, it was not a simple matter to re-mount it outside the museum, as the scaffolding on which was mounted had been cut in order to take it down (Anonymous 1991). As a result, the old cast was never remounted at the Field House, and was instead stored in the building crawl space.</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museum’s history, it was no longer wanted.</w:t>
      </w:r>
    </w:p>
    <w:p>
      <w:pPr>
        <w:pStyle w:val="TextBody"/>
        <w:rPr/>
      </w:pPr>
      <w:r>
        <w:rPr/>
        <w:t>Steve Sroka, the museum palaeontologist, contacted Ken Carpenter to ask whether Utah State University (USU) could take the cast, since it was state property and so had to go to a state repository.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in April 2013 (Figure J). It then sat in Carpenter’s garage for several years, until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preparator Carrie Herbel nine months to sandblast the old paint off,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us no space on the south side because that is where the city holds outdoor events, and no room on the north side because of the parking lot and overhead main power line for downtown businesses. </w:t>
      </w:r>
      <w:r>
        <w:rPr/>
        <w:t xml:space="preserve">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the Carpenter discussed with the USU chancellor the possibility of temporarily mounting the skeleton on campus. However, this idea was not pursued since Carpenter feared that mounting and later dismantling the cast to move it to a new museum would damage it. So it currently sits in the basement storage area on the </w:t>
      </w:r>
      <w:bookmarkStart w:id="14" w:name="__DdeLink__701_1817233446"/>
      <w:r>
        <w:rPr/>
        <w:t>Utah State University Eastern campus</w:t>
      </w:r>
      <w:bookmarkEnd w:id="14"/>
      <w:r>
        <w:rPr/>
        <w:t>, waiting for a new museum building where it can be displayed outdoors.</w:t>
      </w:r>
    </w:p>
    <w:p>
      <w:pPr>
        <w:pStyle w:val="Heading2"/>
        <w:rPr/>
      </w:pPr>
      <w:bookmarkStart w:id="15" w:name="__RefHeading___Toc3005_1175089729"/>
      <w:bookmarkEnd w:id="15"/>
      <w:r>
        <w:rPr/>
        <w:t>The fate of the new molds</w:t>
      </w:r>
    </w:p>
    <w:p>
      <w:pPr>
        <w:pStyle w:val="TextBody"/>
        <w:rPr/>
      </w:pPr>
      <w:r>
        <w:rPr/>
        <w:t xml:space="preserve">Dinolab proprietor Jim Madsen died in 2009 at age 77 (Anonymous 2007), and Dinolab began to wind down.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w:t>
      </w:r>
      <w:r>
        <w:rPr/>
        <w:t>for Dinolab</w:t>
      </w:r>
      <w:r>
        <w:rPr/>
        <w:t xml:space="preserve">: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6" w:name="__RefHeading___Toc3401_68767826"/>
      <w:bookmarkEnd w:id="16"/>
      <w:r>
        <w:rPr/>
        <w:t>Discussion</w:t>
      </w:r>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 I suppose most endings are sad, but the project definitely has a melancholy feel.</w:t>
      </w:r>
    </w:p>
    <w:p>
      <w:pPr>
        <w:pStyle w:val="TextBody"/>
        <w:numPr>
          <w:ilvl w:val="0"/>
          <w:numId w:val="2"/>
        </w:numPr>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7" w:name="__RefHeading___Toc3529_2542618767"/>
      <w:bookmarkEnd w:id="17"/>
      <w:r>
        <w:rPr/>
        <w:t>Acknowledgements</w:t>
      </w:r>
    </w:p>
    <w:p>
      <w:pPr>
        <w:pStyle w:val="TextBody"/>
        <w:rPr/>
      </w:pPr>
      <w:r>
        <w:rPr>
          <w:highlight w:val="yellow"/>
        </w:rPr>
        <w:t>XXX To do</w:t>
      </w:r>
    </w:p>
    <w:p>
      <w:pPr>
        <w:pStyle w:val="TextBody"/>
        <w:rPr/>
      </w:pPr>
      <w:r>
        <w:rPr/>
        <w:t xml:space="preserve">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rPr/>
      </w:pPr>
      <w:r>
        <w:rPr/>
        <w:t>John Foster</w:t>
      </w:r>
    </w:p>
    <w:p>
      <w:pPr>
        <w:pStyle w:val="TextBody"/>
        <w:rPr/>
      </w:pPr>
      <w:r>
        <w:rPr/>
        <w:t>Ilja Niewland’s unparalleled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FigureCaption"/>
        <w:rPr/>
      </w:pPr>
      <w:r>
        <w:rPr/>
        <w:t xml:space="preserve">Chris Madsen identified his father’s manuscript (Madsen 1990); he and his sister Lisa gave permission to list Dinolab’s records of what </w:t>
      </w:r>
      <w:r>
        <w:rPr>
          <w:i/>
          <w:iCs/>
        </w:rPr>
        <w:t>Diplodocus</w:t>
      </w:r>
      <w:r>
        <w:rPr/>
        <w:t xml:space="preserve"> casts they created from the Vernal molds.</w:t>
      </w:r>
    </w:p>
    <w:p>
      <w:pPr>
        <w:pStyle w:val="TextBody"/>
        <w:rPr/>
      </w:pPr>
      <w:r>
        <w:rPr/>
        <w:t>All other pers. Comms.</w:t>
      </w:r>
    </w:p>
    <w:p>
      <w:pPr>
        <w:pStyle w:val="TextBody"/>
        <w:rPr/>
      </w:pPr>
      <w:r>
        <w:rPr/>
        <w:t>XXX More to follow.</w:t>
      </w:r>
    </w:p>
    <w:p>
      <w:pPr>
        <w:pStyle w:val="Heading1"/>
        <w:widowControl/>
        <w:numPr>
          <w:ilvl w:val="0"/>
          <w:numId w:val="0"/>
        </w:numPr>
        <w:suppressAutoHyphens w:val="true"/>
        <w:overflowPunct w:val="false"/>
        <w:ind w:left="0" w:hanging="0"/>
        <w:jc w:val="left"/>
        <w:rPr/>
      </w:pPr>
      <w:r>
        <w:rPr/>
      </w:r>
      <w:r>
        <w:br w:type="page"/>
      </w:r>
    </w:p>
    <w:p>
      <w:pPr>
        <w:pStyle w:val="Heading1"/>
        <w:numPr>
          <w:ilvl w:val="0"/>
          <w:numId w:val="2"/>
        </w:numPr>
        <w:rPr/>
      </w:pPr>
      <w:bookmarkStart w:id="18" w:name="__RefHeading___Toc3405_68767826"/>
      <w:bookmarkEnd w:id="18"/>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7">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hyperlink r:id="rId10">
        <w:r>
          <w:rPr>
            <w:rStyle w:val="ListLabel12"/>
          </w:rPr>
          <w:t xml:space="preserve">Anonymous. 1991. Dippy returns as beast of new mold. </w:t>
        </w:r>
      </w:hyperlink>
      <w:r>
        <w:rPr>
          <w:i/>
          <w:iCs/>
        </w:rPr>
        <w:t>Vernal Express</w:t>
      </w:r>
      <w:r>
        <w:rPr/>
        <w:t xml:space="preserve">, 26 June 1991, page 1. </w:t>
      </w:r>
      <w:hyperlink r:id="rId11">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FollowedHyperlink"/>
          </w:rPr>
          <w:t>https://newspapers.lib.utah.edu/ark:/87278/s6b88zdc/22648688</w:t>
        </w:r>
      </w:hyperlink>
    </w:p>
    <w:p>
      <w:pPr>
        <w:pStyle w:val="Reference"/>
        <w:rPr/>
      </w:pPr>
      <w:r>
        <w:rPr/>
        <w:t xml:space="preserve">Anonymous. 2007. James Madsen Obituary. </w:t>
      </w:r>
      <w:hyperlink r:id="rId13">
        <w:r>
          <w:rPr>
            <w:rStyle w:val="InternetLink"/>
          </w:rPr>
          <w:t>https://www.legacy.com/us/obituaries/deseretnews/name/james-madsen-obituary?id=28417430</w:t>
        </w:r>
      </w:hyperlink>
      <w:r>
        <w:rPr/>
        <w:t xml:space="preserve">, archived at </w:t>
      </w:r>
      <w:hyperlink r:id="rId14">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5">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6">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7">
        <w:r>
          <w:rPr>
            <w:rStyle w:val="InternetLink"/>
          </w:rPr>
          <w:t>https://collections.lib.utah.edu/details?id=1086142</w:t>
        </w:r>
      </w:hyperlink>
    </w:p>
    <w:p>
      <w:pPr>
        <w:pStyle w:val="Reference"/>
        <w:rPr/>
      </w:pPr>
      <w:bookmarkStart w:id="19" w:name="__DdeLink__11501_941453575"/>
      <w:r>
        <w:rPr/>
        <w:t>Contorno</w:t>
      </w:r>
      <w:bookmarkEnd w:id="19"/>
      <w:r>
        <w:rPr/>
        <w:t xml:space="preserve">, Steve. 2017. MOSI to close most of its building, IMAX to save money before move to downtown Tampa. </w:t>
      </w:r>
      <w:r>
        <w:rPr>
          <w:i/>
          <w:iCs/>
        </w:rPr>
        <w:t>Tampa Bay Times</w:t>
      </w:r>
      <w:r>
        <w:rPr/>
        <w:t xml:space="preserve">, 18 May 2017. </w:t>
      </w:r>
      <w:hyperlink r:id="rId18">
        <w:r>
          <w:rPr>
            <w:rStyle w:val="InternetLink"/>
          </w:rPr>
          <w:t>https://www.tampabay.com/news/business/tourism/mosi-to-close-part-of-its-building-to-save-money-before-move-to-downtown/2324358/</w:t>
        </w:r>
      </w:hyperlink>
      <w:r>
        <w:rPr/>
        <w:t xml:space="preserve">, archived at </w:t>
      </w:r>
      <w:hyperlink r:id="rId19">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0">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21">
        <w:r>
          <w:rPr>
            <w:rStyle w:val="InternetLink"/>
          </w:rPr>
          <w:t>https://archiveswest.orbiscascade.org/ark:/80444/xv38626</w:t>
        </w:r>
      </w:hyperlink>
      <w:r>
        <w:rPr/>
        <w:t xml:space="preserve">, archived at </w:t>
      </w:r>
      <w:hyperlink r:id="rId22">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20" w:name="__DdeLink__20580_446257137"/>
      <w:r>
        <w:rPr/>
        <w:t>Private agreement.</w:t>
      </w:r>
      <w:bookmarkEnd w:id="20"/>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3">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1" w:name="__DdeLink__16582_68767826"/>
      <w:r>
        <w:rPr/>
        <w:t>Nieuwland</w:t>
      </w:r>
      <w:bookmarkEnd w:id="21"/>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4">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Rolfe, William D. I. 1988. Untitled letter to LuRae Caldwell (Utah Field House).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5">
        <w:r>
          <w:rPr>
            <w:rStyle w:val="FollowedHyperlink"/>
          </w:rPr>
          <w:t>https://wusfnews.wusf.usf.edu/news/2017-05-18/mosi-to-close-imax-other-exhibits-in-cost-saving-reconfiguration</w:t>
        </w:r>
      </w:hyperlink>
      <w:r>
        <w:rPr/>
        <w:t xml:space="preserve">, archived at </w:t>
      </w:r>
      <w:hyperlink r:id="rId26">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27">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2" w:name="__RefHeading___Toc3407_68767826"/>
      <w:bookmarkEnd w:id="22"/>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packed onto wooden pallets outside the new Field House building on 8 April 2013. They has been prepared for transportation to the Utah State University Eastern campus in Price, Utah, about 100 miles southwest of Vernal. </w:t>
      </w:r>
      <w:r>
        <w:rPr>
          <w:b w:val="false"/>
          <w:bCs w:val="false"/>
        </w:rPr>
        <w:t>Photograph by Steven D. Sroka.</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r>
        <w:br w:type="page"/>
      </w:r>
    </w:p>
    <w:p>
      <w:pPr>
        <w:pStyle w:val="Heading1"/>
        <w:rPr/>
      </w:pPr>
      <w:bookmarkStart w:id="23" w:name="__RefHeading___Toc4426_1817233446"/>
      <w:bookmarkEnd w:id="23"/>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59"/>
        <w:gridCol w:w="1431"/>
        <w:gridCol w:w="1191"/>
        <w:gridCol w:w="1075"/>
        <w:gridCol w:w="1124"/>
        <w:gridCol w:w="1097"/>
        <w:gridCol w:w="1484"/>
        <w:gridCol w:w="1675"/>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5" w:type="dxa"/>
            <w:tcBorders/>
            <w:shd w:fill="auto" w:val="clear"/>
          </w:tcPr>
          <w:p>
            <w:pPr>
              <w:pStyle w:val="TextBody"/>
              <w:widowControl w:val="false"/>
              <w:spacing w:before="0" w:after="140"/>
              <w:rPr>
                <w:b/>
                <w:b/>
                <w:bCs/>
                <w:sz w:val="22"/>
                <w:szCs w:val="22"/>
              </w:rPr>
            </w:pPr>
            <w:r>
              <w:rPr>
                <w:b/>
                <w:bCs/>
                <w:sz w:val="22"/>
                <w:szCs w:val="22"/>
              </w:rPr>
              <w:t>City</w:t>
            </w:r>
          </w:p>
        </w:tc>
        <w:tc>
          <w:tcPr>
            <w:tcW w:w="1124" w:type="dxa"/>
            <w:tcBorders/>
            <w:shd w:fill="auto" w:val="clear"/>
          </w:tcPr>
          <w:p>
            <w:pPr>
              <w:pStyle w:val="TextBody"/>
              <w:widowControl w:val="false"/>
              <w:spacing w:before="0" w:after="140"/>
              <w:rPr>
                <w:b/>
                <w:b/>
                <w:bCs/>
                <w:sz w:val="22"/>
                <w:szCs w:val="22"/>
              </w:rPr>
            </w:pPr>
            <w:r>
              <w:rPr>
                <w:b/>
                <w:bCs/>
                <w:sz w:val="22"/>
                <w:szCs w:val="22"/>
              </w:rPr>
              <w:t>Region</w:t>
            </w:r>
          </w:p>
        </w:tc>
        <w:tc>
          <w:tcPr>
            <w:tcW w:w="1097" w:type="dxa"/>
            <w:tcBorders/>
            <w:shd w:fill="auto" w:val="clear"/>
          </w:tcPr>
          <w:p>
            <w:pPr>
              <w:pStyle w:val="TextBody"/>
              <w:widowControl w:val="false"/>
              <w:spacing w:before="0" w:after="140"/>
              <w:rPr>
                <w:b/>
                <w:b/>
                <w:bCs/>
                <w:sz w:val="22"/>
                <w:szCs w:val="22"/>
              </w:rPr>
            </w:pPr>
            <w:r>
              <w:rPr>
                <w:b/>
                <w:bCs/>
                <w:sz w:val="22"/>
                <w:szCs w:val="22"/>
              </w:rPr>
              <w:t>Country</w:t>
            </w:r>
          </w:p>
        </w:tc>
        <w:tc>
          <w:tcPr>
            <w:tcW w:w="3159" w:type="dxa"/>
            <w:gridSpan w:val="2"/>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5" w:type="dxa"/>
            <w:tcBorders/>
            <w:shd w:fill="auto" w:val="clear"/>
          </w:tcPr>
          <w:p>
            <w:pPr>
              <w:pStyle w:val="TextBody"/>
              <w:widowControl w:val="false"/>
              <w:spacing w:before="0" w:after="140"/>
              <w:rPr>
                <w:b/>
                <w:b/>
                <w:bCs/>
                <w:sz w:val="22"/>
                <w:szCs w:val="22"/>
              </w:rPr>
            </w:pPr>
            <w:r>
              <w:rPr>
                <w:b/>
                <w:bCs/>
                <w:sz w:val="22"/>
                <w:szCs w:val="22"/>
              </w:rPr>
            </w:r>
          </w:p>
        </w:tc>
        <w:tc>
          <w:tcPr>
            <w:tcW w:w="1124" w:type="dxa"/>
            <w:tcBorders/>
            <w:shd w:fill="auto" w:val="clear"/>
          </w:tcPr>
          <w:p>
            <w:pPr>
              <w:pStyle w:val="TextBody"/>
              <w:widowControl w:val="false"/>
              <w:spacing w:before="0" w:after="140"/>
              <w:rPr>
                <w:b/>
                <w:b/>
                <w:bCs/>
                <w:sz w:val="22"/>
                <w:szCs w:val="22"/>
              </w:rPr>
            </w:pPr>
            <w:r>
              <w:rPr>
                <w:b/>
                <w:bCs/>
                <w:sz w:val="22"/>
                <w:szCs w:val="22"/>
              </w:rPr>
            </w:r>
          </w:p>
        </w:tc>
        <w:tc>
          <w:tcPr>
            <w:tcW w:w="1097" w:type="dxa"/>
            <w:tcBorders/>
            <w:shd w:fill="auto" w:val="clear"/>
          </w:tcPr>
          <w:p>
            <w:pPr>
              <w:pStyle w:val="TextBody"/>
              <w:widowControl w:val="false"/>
              <w:spacing w:before="0" w:after="140"/>
              <w:rPr>
                <w:b/>
                <w:b/>
                <w:bCs/>
                <w:sz w:val="22"/>
                <w:szCs w:val="22"/>
              </w:rPr>
            </w:pPr>
            <w:r>
              <w:rPr>
                <w:b/>
                <w:bCs/>
                <w:sz w:val="22"/>
                <w:szCs w:val="22"/>
              </w:rPr>
            </w:r>
          </w:p>
        </w:tc>
        <w:tc>
          <w:tcPr>
            <w:tcW w:w="1484" w:type="dxa"/>
            <w:tcBorders/>
            <w:shd w:fill="auto" w:val="clear"/>
          </w:tcPr>
          <w:p>
            <w:pPr>
              <w:pStyle w:val="TextBody"/>
              <w:widowControl w:val="false"/>
              <w:spacing w:before="0" w:after="140"/>
              <w:rPr>
                <w:b/>
                <w:b/>
                <w:bCs/>
                <w:sz w:val="22"/>
                <w:szCs w:val="22"/>
              </w:rPr>
            </w:pPr>
            <w:r>
              <w:rPr>
                <w:b/>
                <w:bCs/>
                <w:sz w:val="22"/>
                <w:szCs w:val="22"/>
              </w:rPr>
              <w:t>Field House</w:t>
            </w:r>
          </w:p>
        </w:tc>
        <w:tc>
          <w:tcPr>
            <w:tcW w:w="1675" w:type="dxa"/>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5" w:type="dxa"/>
            <w:tcBorders/>
            <w:shd w:fill="auto" w:val="clear"/>
          </w:tcPr>
          <w:p>
            <w:pPr>
              <w:pStyle w:val="TextBody"/>
              <w:widowControl w:val="false"/>
              <w:spacing w:before="0" w:after="140"/>
              <w:rPr>
                <w:sz w:val="22"/>
                <w:szCs w:val="22"/>
              </w:rPr>
            </w:pPr>
            <w:r>
              <w:rPr>
                <w:sz w:val="22"/>
                <w:szCs w:val="22"/>
              </w:rPr>
              <w:t>Odawara</w:t>
            </w:r>
          </w:p>
        </w:tc>
        <w:tc>
          <w:tcPr>
            <w:tcW w:w="1124" w:type="dxa"/>
            <w:tcBorders/>
            <w:shd w:fill="auto" w:val="clear"/>
          </w:tcPr>
          <w:p>
            <w:pPr>
              <w:pStyle w:val="TextBody"/>
              <w:widowControl w:val="false"/>
              <w:spacing w:before="0" w:after="140"/>
              <w:rPr>
                <w:sz w:val="22"/>
                <w:szCs w:val="22"/>
              </w:rPr>
            </w:pPr>
            <w:r>
              <w:rPr>
                <w:sz w:val="22"/>
                <w:szCs w:val="22"/>
              </w:rPr>
              <w:t>Kanagawa</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5" w:type="dxa"/>
            <w:tcBorders/>
            <w:shd w:fill="auto" w:val="clear"/>
          </w:tcPr>
          <w:p>
            <w:pPr>
              <w:pStyle w:val="TextBody"/>
              <w:widowControl w:val="false"/>
              <w:spacing w:before="0" w:after="140"/>
              <w:rPr>
                <w:sz w:val="22"/>
                <w:szCs w:val="22"/>
              </w:rPr>
            </w:pPr>
            <w:r>
              <w:rPr>
                <w:sz w:val="22"/>
                <w:szCs w:val="22"/>
              </w:rPr>
              <w:t>Shiramine</w:t>
            </w:r>
          </w:p>
        </w:tc>
        <w:tc>
          <w:tcPr>
            <w:tcW w:w="1124" w:type="dxa"/>
            <w:tcBorders/>
            <w:shd w:fill="auto" w:val="clear"/>
          </w:tcPr>
          <w:p>
            <w:pPr>
              <w:pStyle w:val="TextBody"/>
              <w:widowControl w:val="false"/>
              <w:spacing w:before="0" w:after="140"/>
              <w:rPr>
                <w:sz w:val="22"/>
                <w:szCs w:val="22"/>
              </w:rPr>
            </w:pPr>
            <w:r>
              <w:rPr>
                <w:sz w:val="22"/>
                <w:szCs w:val="22"/>
              </w:rPr>
              <w:t>Ishikawa</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2"/>
            <w:tcBorders/>
            <w:shd w:fill="auto" w:val="clear"/>
          </w:tcPr>
          <w:p>
            <w:pPr>
              <w:pStyle w:val="TextBody"/>
              <w:widowControl w:val="false"/>
              <w:spacing w:before="0" w:after="140"/>
              <w:rPr>
                <w:i/>
                <w:i/>
                <w:iCs/>
                <w:sz w:val="22"/>
                <w:szCs w:val="22"/>
              </w:rPr>
            </w:pPr>
            <w:r>
              <w:rPr>
                <w:i/>
                <w:iCs/>
                <w:sz w:val="22"/>
                <w:szCs w:val="22"/>
              </w:rPr>
              <w:t>(Travelling exhibit)</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5" w:type="dxa"/>
            <w:tcBorders/>
            <w:shd w:fill="auto" w:val="clear"/>
          </w:tcPr>
          <w:p>
            <w:pPr>
              <w:pStyle w:val="TextBody"/>
              <w:widowControl w:val="false"/>
              <w:spacing w:before="0" w:after="140"/>
              <w:rPr>
                <w:sz w:val="22"/>
                <w:szCs w:val="22"/>
              </w:rPr>
            </w:pPr>
            <w:r>
              <w:rPr>
                <w:sz w:val="22"/>
                <w:szCs w:val="22"/>
              </w:rPr>
              <w:t>Shimizu</w:t>
            </w:r>
          </w:p>
        </w:tc>
        <w:tc>
          <w:tcPr>
            <w:tcW w:w="1124" w:type="dxa"/>
            <w:tcBorders/>
            <w:shd w:fill="auto" w:val="clear"/>
          </w:tcPr>
          <w:p>
            <w:pPr>
              <w:pStyle w:val="Normal"/>
              <w:widowControl w:val="false"/>
              <w:rPr>
                <w:sz w:val="22"/>
                <w:szCs w:val="22"/>
              </w:rPr>
            </w:pPr>
            <w:r>
              <w:rPr>
                <w:sz w:val="22"/>
                <w:szCs w:val="22"/>
              </w:rPr>
              <w:t>Tokai</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Vernal</w:t>
            </w:r>
          </w:p>
        </w:tc>
        <w:tc>
          <w:tcPr>
            <w:tcW w:w="1124" w:type="dxa"/>
            <w:tcBorders/>
            <w:shd w:fill="auto" w:val="clear"/>
          </w:tcPr>
          <w:p>
            <w:pPr>
              <w:pStyle w:val="Normal"/>
              <w:widowControl w:val="false"/>
              <w:rPr>
                <w:sz w:val="22"/>
                <w:szCs w:val="22"/>
              </w:rPr>
            </w:pPr>
            <w:r>
              <w:rPr>
                <w:sz w:val="22"/>
                <w:szCs w:val="22"/>
              </w:rPr>
              <w:t>Utah</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t>N/A</w:t>
            </w:r>
          </w:p>
        </w:tc>
        <w:tc>
          <w:tcPr>
            <w:tcW w:w="1675"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Tokyo</w:t>
            </w:r>
          </w:p>
        </w:tc>
        <w:tc>
          <w:tcPr>
            <w:tcW w:w="1124" w:type="dxa"/>
            <w:tcBorders/>
            <w:shd w:fill="auto" w:val="clear"/>
          </w:tcPr>
          <w:p>
            <w:pPr>
              <w:pStyle w:val="Normal"/>
              <w:widowControl w:val="false"/>
              <w:rPr>
                <w:sz w:val="22"/>
                <w:szCs w:val="22"/>
              </w:rPr>
            </w:pPr>
            <w:r>
              <w:rPr>
                <w:sz w:val="22"/>
                <w:szCs w:val="22"/>
              </w:rPr>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Tampa</w:t>
            </w:r>
          </w:p>
        </w:tc>
        <w:tc>
          <w:tcPr>
            <w:tcW w:w="1124" w:type="dxa"/>
            <w:tcBorders/>
            <w:shd w:fill="auto" w:val="clear"/>
          </w:tcPr>
          <w:p>
            <w:pPr>
              <w:pStyle w:val="Normal"/>
              <w:widowControl w:val="false"/>
              <w:rPr>
                <w:sz w:val="22"/>
                <w:szCs w:val="22"/>
              </w:rPr>
            </w:pPr>
            <w:r>
              <w:rPr>
                <w:sz w:val="22"/>
                <w:szCs w:val="22"/>
              </w:rPr>
              <w:t>Florida</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7"/>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Cocoa Beach</w:t>
            </w:r>
          </w:p>
        </w:tc>
        <w:tc>
          <w:tcPr>
            <w:tcW w:w="1124" w:type="dxa"/>
            <w:tcBorders/>
            <w:shd w:fill="auto" w:val="clear"/>
          </w:tcPr>
          <w:p>
            <w:pPr>
              <w:pStyle w:val="Normal"/>
              <w:widowControl w:val="false"/>
              <w:rPr>
                <w:sz w:val="22"/>
                <w:szCs w:val="22"/>
              </w:rPr>
            </w:pPr>
            <w:r>
              <w:rPr>
                <w:sz w:val="22"/>
                <w:szCs w:val="22"/>
              </w:rPr>
              <w:t>Florida</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i w:val="false"/>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i w:val="false"/>
    </w:rPr>
  </w:style>
  <w:style w:type="character" w:styleId="ListLabel37">
    <w:name w:val="ListLabel 37"/>
    <w:qFormat/>
    <w:rPr/>
  </w:style>
  <w:style w:type="character" w:styleId="ListLabel38">
    <w:name w:val="ListLabel 38"/>
    <w:qFormat/>
    <w:rPr/>
  </w:style>
  <w:style w:type="character" w:styleId="ListLabel39">
    <w:name w:val="ListLabel 39"/>
    <w:qFormat/>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i w:val="false"/>
    </w:rPr>
  </w:style>
  <w:style w:type="character" w:styleId="ListLabel50">
    <w:name w:val="ListLabel 50"/>
    <w:qFormat/>
    <w:rPr/>
  </w:style>
  <w:style w:type="character" w:styleId="ListLabel51">
    <w:name w:val="ListLabel 51"/>
    <w:qFormat/>
    <w:rPr/>
  </w:style>
  <w:style w:type="character" w:styleId="ListLabel52">
    <w:name w:val="ListLabel 52"/>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archive.com/rocky-mount-evening-telegram-jul-08-1960-p-4/"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www.legacy.com/us/obituaries/deseretnews/name/james-madsen-obituary?id=28417430" TargetMode="External"/><Relationship Id="rId14" Type="http://schemas.openxmlformats.org/officeDocument/2006/relationships/hyperlink" Target="https://web.archive.org/web/20220424032554/https://www.legacy.com/us/obituaries/deseretnews/name/james-madsen-obituary?id=28417430" TargetMode="External"/><Relationship Id="rId15" Type="http://schemas.openxmlformats.org/officeDocument/2006/relationships/hyperlink" Target="https://newspaperarchive.com/rocky-mount-evening-telegram-may-14-1960-p-2/" TargetMode="External"/><Relationship Id="rId16" Type="http://schemas.openxmlformats.org/officeDocument/2006/relationships/hyperlink" Target="https://newspaperarchive.com/rocky-mount-evening-telegram-jul-08-1960-p-8/" TargetMode="External"/><Relationship Id="rId17" Type="http://schemas.openxmlformats.org/officeDocument/2006/relationships/hyperlink" Target="https://collections.lib.utah.edu/details?id=1086142" TargetMode="External"/><Relationship Id="rId18" Type="http://schemas.openxmlformats.org/officeDocument/2006/relationships/hyperlink" Target="https://www.tampabay.com/news/business/tourism/mosi-to-close-part-of-its-building-to-save-money-before-move-to-downtown/2324358/" TargetMode="External"/><Relationship Id="rId19" Type="http://schemas.openxmlformats.org/officeDocument/2006/relationships/hyperlink" Target="https://web.archive.org/web/20211125120642/https://www.tampabay.com/news/business/tourism/mosi-to-close-part-of-its-building-to-save-money-before-move-to-downtown/2324358/" TargetMode="External"/><Relationship Id="rId20" Type="http://schemas.openxmlformats.org/officeDocument/2006/relationships/hyperlink" Target="https://newspapers.lib.utah.edu/ark:/87278/s62v6594/22643733" TargetMode="External"/><Relationship Id="rId21" Type="http://schemas.openxmlformats.org/officeDocument/2006/relationships/hyperlink" Target="https://archiveswest.orbiscascade.org/ark:/80444/xv38626" TargetMode="External"/><Relationship Id="rId22" Type="http://schemas.openxmlformats.org/officeDocument/2006/relationships/hyperlink" Target="https://web.archive.org/web/20220610005257/https://archiveswest.orbiscascade.org/ark:/80444/xv38626" TargetMode="External"/><Relationship Id="rId23" Type="http://schemas.openxmlformats.org/officeDocument/2006/relationships/hyperlink" Target="https://newspapers.lib.utah.edu/ark:/87278/s6r53f0k/22649899" TargetMode="External"/><Relationship Id="rId24" Type="http://schemas.openxmlformats.org/officeDocument/2006/relationships/hyperlink" Target="http://hdl.handle.net/2246/6497" TargetMode="External"/><Relationship Id="rId25" Type="http://schemas.openxmlformats.org/officeDocument/2006/relationships/hyperlink" Target="https://wusfnews.wusf.usf.edu/news/2017-05-18/mosi-to-close-imax-other-exhibits-in-cost-saving-reconfiguration" TargetMode="External"/><Relationship Id="rId26" Type="http://schemas.openxmlformats.org/officeDocument/2006/relationships/hyperlink" Target="https://web.archive.org/web/20210507091810/https://wusfnews.wusf.usf.edu/news/2017-05-18/mosi-to-close-imax-other-exhibits-in-cost-saving-reconfiguration" TargetMode="External"/><Relationship Id="rId27" Type="http://schemas.openxmlformats.org/officeDocument/2006/relationships/hyperlink" Target="https://newspaperarchive.com/rocky-mount-evening-telegram-apr-24-1960-p-11/"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31282</TotalTime>
  <Application>LibreOffice/6.1.3.2$MacOSX_X86_64 LibreOffice_project/86daf60bf00efa86ad547e59e09d6bb77c699acb</Application>
  <Pages>22</Pages>
  <Words>10456</Words>
  <Characters>54767</Characters>
  <CharactersWithSpaces>64953</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2022-08-23T05:27:28Z</dcterms:modified>
  <cp:revision>622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