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concrete </w:t>
      </w:r>
      <w:r>
        <w:rPr>
          <w:i/>
          <w:iCs/>
        </w:rPr>
        <w:t>Diplodocus</w:t>
      </w:r>
      <w:r>
        <w:rPr>
          <w:i w:val="false"/>
          <w:iCs w:val="false"/>
        </w:rPr>
        <w:t xml:space="preserve"> of Vernal</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Steven D. Sroka.</w:t>
      </w:r>
      <w:r>
        <w:rPr>
          <w:i w:val="false"/>
          <w:iCs w:val="false"/>
        </w:rPr>
        <w:t xml:space="preserve"> Utah Field House of Natural History State Park Museum, 496 E. Main Street, Vernal, UT 84078.</w:t>
      </w:r>
    </w:p>
    <w:p>
      <w:pPr>
        <w:pStyle w:val="Author"/>
        <w:rPr>
          <w:i w:val="false"/>
          <w:i w:val="false"/>
          <w:iCs w:val="false"/>
        </w:rPr>
      </w:pPr>
      <w:r>
        <w:rPr>
          <w:i w:val="false"/>
          <w:iCs w:val="false"/>
        </w:rPr>
      </w:r>
    </w:p>
    <w:p>
      <w:pPr>
        <w:pStyle w:val="Abstract"/>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944_2786159041">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1946_2786159041">
        <w:r>
          <w:rPr>
            <w:rStyle w:val="IndexLink"/>
          </w:rPr>
          <w:t xml:space="preserve">History of the concrete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3</w:t>
        </w:r>
      </w:hyperlink>
    </w:p>
    <w:p>
      <w:pPr>
        <w:pStyle w:val="Contents2"/>
        <w:tabs>
          <w:tab w:val="clear" w:pos="9355"/>
          <w:tab w:val="right" w:pos="9638" w:leader="dot"/>
        </w:tabs>
        <w:rPr/>
      </w:pPr>
      <w:hyperlink w:anchor="__RefHeading___Toc416_3962850034">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i w:val="false"/>
            <w:iCs w:val="false"/>
          </w:rPr>
          <w:t xml:space="preserve">The fate of the original </w:t>
        </w:r>
        <w:r>
          <w:rPr>
            <w:rStyle w:val="IndexLink"/>
            <w:i w:val="false"/>
            <w:iCs w:val="false"/>
          </w:rPr>
          <w:t>molds</w:t>
        </w:r>
        <w:r>
          <w:rPr>
            <w:rStyle w:val="IndexLink"/>
          </w:rPr>
          <w:tab/>
          <w:t>5</w:t>
        </w:r>
      </w:hyperlink>
    </w:p>
    <w:p>
      <w:pPr>
        <w:pStyle w:val="Contents2"/>
        <w:tabs>
          <w:tab w:val="clear" w:pos="9355"/>
          <w:tab w:val="right" w:pos="9638" w:leader="dot"/>
        </w:tabs>
        <w:rPr/>
      </w:pPr>
      <w:hyperlink w:anchor="__RefHeading___Toc949_1155462304">
        <w:r>
          <w:rPr>
            <w:rStyle w:val="IndexLink"/>
          </w:rPr>
          <w:t>The lightweight cast in Vernal</w:t>
          <w:tab/>
          <w:t>5</w:t>
        </w:r>
      </w:hyperlink>
    </w:p>
    <w:p>
      <w:pPr>
        <w:pStyle w:val="Contents2"/>
        <w:tabs>
          <w:tab w:val="clear" w:pos="9355"/>
          <w:tab w:val="right" w:pos="9638" w:leader="dot"/>
        </w:tabs>
        <w:rPr/>
      </w:pPr>
      <w:hyperlink w:anchor="__RefHeading___Toc418_3962850034">
        <w:r>
          <w:rPr>
            <w:rStyle w:val="IndexLink"/>
            <w:i w:val="false"/>
            <w:iCs w:val="false"/>
          </w:rPr>
          <w:t xml:space="preserve">New </w:t>
        </w:r>
        <w:r>
          <w:rPr>
            <w:rStyle w:val="IndexLink"/>
            <w:i w:val="false"/>
            <w:iCs w:val="false"/>
          </w:rPr>
          <w:t>casts</w:t>
        </w:r>
        <w:r>
          <w:rPr>
            <w:rStyle w:val="IndexLink"/>
            <w:i w:val="false"/>
            <w:iCs w:val="false"/>
          </w:rPr>
          <w:t xml:space="preserve"> made from </w:t>
        </w:r>
        <w:r>
          <w:rPr>
            <w:rStyle w:val="IndexLink"/>
            <w:i w:val="false"/>
            <w:iCs w:val="false"/>
          </w:rPr>
          <w:t xml:space="preserve">molds of </w:t>
        </w:r>
        <w:r>
          <w:rPr>
            <w:rStyle w:val="IndexLink"/>
            <w:i w:val="false"/>
            <w:iCs w:val="false"/>
          </w:rPr>
          <w:t xml:space="preserve">the concrete </w:t>
        </w:r>
        <w:r>
          <w:rPr>
            <w:rStyle w:val="IndexLink"/>
            <w:i/>
            <w:iCs/>
          </w:rPr>
          <w:t>Diplodocus</w:t>
        </w:r>
        <w:r>
          <w:rPr>
            <w:rStyle w:val="IndexLink"/>
          </w:rPr>
          <w:tab/>
          <w:t>6</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6</w:t>
        </w:r>
      </w:hyperlink>
    </w:p>
    <w:p>
      <w:pPr>
        <w:pStyle w:val="Contents1"/>
        <w:tabs>
          <w:tab w:val="right" w:pos="9638" w:leader="dot"/>
        </w:tabs>
        <w:rPr/>
      </w:pPr>
      <w:hyperlink w:anchor="__RefHeading___Toc3401_68767826">
        <w:r>
          <w:rPr>
            <w:rStyle w:val="IndexLink"/>
          </w:rPr>
          <w:t>Discussion</w:t>
          <w:tab/>
          <w:t>6</w:t>
        </w:r>
      </w:hyperlink>
    </w:p>
    <w:p>
      <w:pPr>
        <w:pStyle w:val="Contents1"/>
        <w:tabs>
          <w:tab w:val="right" w:pos="9638" w:leader="dot"/>
        </w:tabs>
        <w:rPr/>
      </w:pPr>
      <w:hyperlink w:anchor="__RefHeading___Toc3403_68767826">
        <w:r>
          <w:rPr>
            <w:rStyle w:val="IndexLink"/>
          </w:rPr>
          <w:t>Acknowledgements</w:t>
          <w:tab/>
          <w:t>6</w:t>
        </w:r>
      </w:hyperlink>
    </w:p>
    <w:p>
      <w:pPr>
        <w:pStyle w:val="Contents1"/>
        <w:tabs>
          <w:tab w:val="right" w:pos="9638" w:leader="dot"/>
        </w:tabs>
        <w:rPr/>
      </w:pPr>
      <w:hyperlink w:anchor="__RefHeading___Toc3405_68767826">
        <w:r>
          <w:rPr>
            <w:rStyle w:val="IndexLink"/>
          </w:rPr>
          <w:t>References</w:t>
          <w:tab/>
          <w:t>7</w:t>
        </w:r>
      </w:hyperlink>
    </w:p>
    <w:p>
      <w:pPr>
        <w:pStyle w:val="Contents1"/>
        <w:tabs>
          <w:tab w:val="right" w:pos="9638" w:leader="dot"/>
        </w:tabs>
        <w:rPr/>
      </w:pPr>
      <w:hyperlink w:anchor="__RefHeading___Toc3407_68767826">
        <w:r>
          <w:rPr>
            <w:rStyle w:val="IndexLink"/>
          </w:rPr>
          <w:t>Figure Captions</w:t>
          <w:tab/>
          <w:t>8</w:t>
        </w:r>
      </w:hyperlink>
    </w:p>
    <w:p>
      <w:pPr>
        <w:pStyle w:val="Heading1"/>
        <w:numPr>
          <w:ilvl w:val="0"/>
          <w:numId w:val="2"/>
        </w:numPr>
        <w:ind w:left="0" w:right="0" w:hanging="0"/>
        <w:rPr/>
      </w:pPr>
      <w:bookmarkStart w:id="0" w:name="__RefHeading___Toc1944_2786159041"/>
      <w:bookmarkEnd w:id="0"/>
      <w:r>
        <w:rPr/>
        <w:t>Introduction</w:t>
      </w:r>
      <w:r>
        <w:rPr/>
        <w:fldChar w:fldCharType="end"/>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2" w:name="__RefHeading___Toc5349_68767826"/>
      <w:bookmarkEnd w:id="2"/>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b/>
          <w:bCs/>
        </w:rPr>
        <w:t>UNUSED</w:t>
      </w:r>
      <w:r>
        <w:rPr/>
        <w:t xml:space="preserve"> HMNS — Houston Museum of Nature and Science, Houston, Texas, USA.</w:t>
      </w:r>
    </w:p>
    <w:p>
      <w:pPr>
        <w:pStyle w:val="TextBody"/>
        <w:numPr>
          <w:ilvl w:val="0"/>
          <w:numId w:val="4"/>
        </w:numPr>
        <w:ind w:left="720" w:right="0" w:hanging="360"/>
        <w:rPr/>
      </w:pPr>
      <w:r>
        <w:rPr>
          <w:b/>
          <w:bCs/>
        </w:rPr>
        <w:t>UNUSED</w:t>
      </w:r>
      <w:r>
        <w:rPr/>
        <w:t xml:space="preserve"> MB — Museum für Naturkunde Berlin, Berlin, Germany; specimen numbers for fossil reptiles take the form MB.R.</w:t>
      </w:r>
      <w:r>
        <w:rPr>
          <w:i/>
          <w:iCs/>
        </w:rPr>
        <w:t>nnnn</w:t>
      </w:r>
      <w:r>
        <w:rPr/>
        <w:t>.</w:t>
      </w:r>
    </w:p>
    <w:p>
      <w:pPr>
        <w:pStyle w:val="TextBody"/>
        <w:numPr>
          <w:ilvl w:val="0"/>
          <w:numId w:val="4"/>
        </w:numPr>
        <w:ind w:left="720" w:right="0" w:hanging="360"/>
        <w:rPr/>
      </w:pPr>
      <w:r>
        <w:rPr>
          <w:b/>
          <w:bCs/>
        </w:rPr>
        <w:t>UNUSED</w:t>
      </w:r>
      <w:r>
        <w:rPr/>
        <w:t xml:space="preserve"> USNM – United States National Museum, Washington DC, USA.</w:t>
      </w:r>
    </w:p>
    <w:p>
      <w:pPr>
        <w:pStyle w:val="TextBody"/>
        <w:numPr>
          <w:ilvl w:val="0"/>
          <w:numId w:val="4"/>
        </w:numPr>
        <w:ind w:left="720" w:right="0" w:hanging="360"/>
        <w:rPr/>
      </w:pPr>
      <w:r>
        <w:rPr>
          <w:b/>
          <w:bCs/>
        </w:rPr>
        <w:t>UNUSED</w:t>
      </w:r>
      <w:r>
        <w:rPr/>
        <w:t xml:space="preserve"> YPM — Yale Peabody Museum, New Haven, Connecticut, USA.</w:t>
      </w:r>
    </w:p>
    <w:p>
      <w:pPr>
        <w:pStyle w:val="Heading1"/>
        <w:numPr>
          <w:ilvl w:val="0"/>
          <w:numId w:val="2"/>
        </w:numPr>
        <w:ind w:left="0" w:right="0" w:hanging="0"/>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ind w:left="0" w:right="0" w:hanging="0"/>
        <w:rPr>
          <w:i w:val="false"/>
          <w:i w:val="false"/>
          <w:iCs w:val="false"/>
        </w:rPr>
      </w:pPr>
      <w:r>
        <w:rPr>
          <w:i w:val="false"/>
          <w:iCs w:val="false"/>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1901, an expedition from the museum found a largely complete specimen of the sauropod </w:t>
      </w:r>
      <w:r>
        <w:rPr>
          <w:i/>
          <w:iCs/>
        </w:rPr>
        <w:t>Diplodocus</w:t>
      </w:r>
      <w:r>
        <w:rPr>
          <w:i w:val="false"/>
          <w:iCs w:val="false"/>
        </w:rPr>
        <w:t xml:space="preserve">, which when excavated and prepared was given the specimen number CM 84 and described in Hatcher’s (1901) monograph as the new species </w:t>
      </w:r>
      <w:r>
        <w:rPr>
          <w:i/>
          <w:iCs/>
        </w:rPr>
        <w:t>Diplodocus carnegii</w:t>
      </w:r>
      <w:r>
        <w:rPr>
          <w:i w:val="false"/>
          <w:iCs w:val="false"/>
        </w:rPr>
        <w:t xml:space="preserve">. In 1907, this specimen was mounted in the new dinosaur hall of the Carnegie Museum, its missing portions filled in with bones from a second </w:t>
      </w:r>
      <w:r>
        <w:rPr>
          <w:i/>
          <w:iCs/>
        </w:rPr>
        <w:t>Diplodocus carnegii</w:t>
      </w:r>
      <w:r>
        <w:rPr>
          <w:i w:val="false"/>
          <w:iCs w:val="false"/>
        </w:rPr>
        <w:t xml:space="preserve"> specimen CM 94, and casts and sculptures based on other closely related specimens, some of them from other museums.</w:t>
      </w:r>
    </w:p>
    <w:p>
      <w:pPr>
        <w:pStyle w:val="TextBody"/>
        <w:ind w:left="0" w:right="0" w:hanging="0"/>
        <w:rPr>
          <w:i w:val="false"/>
          <w:i w:val="false"/>
          <w:iCs w:val="false"/>
        </w:rPr>
      </w:pPr>
      <w:r>
        <w:rPr>
          <w:i w:val="false"/>
          <w:iCs w:val="false"/>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i w:val="false"/>
          <w:iCs w:val="false"/>
        </w:rPr>
        <w:t xml:space="preserve"> (Gilmore 1936). The </w:t>
      </w:r>
      <w:r>
        <w:rPr>
          <w:i/>
          <w:iCs/>
        </w:rPr>
        <w:t>Diplodocus</w:t>
      </w:r>
      <w:r>
        <w:rPr>
          <w:i w:val="false"/>
          <w:iCs w:val="false"/>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ind w:left="0" w:right="0" w:hanging="0"/>
        <w:rPr>
          <w:i w:val="false"/>
          <w:i w:val="false"/>
          <w:iCs w:val="false"/>
        </w:rPr>
      </w:pPr>
      <w:r>
        <w:rPr>
          <w:i w:val="false"/>
          <w:iCs w:val="false"/>
        </w:rPr>
        <w:t>Well before the mounting of the real bones of CM 84, Carnegie was asked by King Edward VII of England for a copy of the skeleton to be displayed in the British Museum (Natural History). Carnegie optimistically hoped to put an end to war by encouraging arbitration instead, and to this end was always keen to gain influence with heads of state. He therefore enthusiastically agreed to the King’s request and instructed museum director William. J. Holland to create a replica.</w:t>
      </w:r>
    </w:p>
    <w:p>
      <w:pPr>
        <w:pStyle w:val="TextBody"/>
        <w:ind w:left="0" w:right="0" w:hanging="0"/>
        <w:rPr>
          <w:i w:val="false"/>
          <w:i w:val="false"/>
          <w:iCs w:val="false"/>
        </w:rPr>
      </w:pPr>
      <w:r>
        <w:rPr>
          <w:i w:val="false"/>
          <w:iCs w:val="false"/>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ind w:left="0" w:right="0" w:hanging="0"/>
        <w:rPr>
          <w:i w:val="false"/>
          <w:i w:val="false"/>
          <w:iCs w:val="false"/>
        </w:rPr>
      </w:pPr>
      <w:r>
        <w:rPr>
          <w:i w:val="false"/>
          <w:iCs w:val="false"/>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impoverished. Only years later, with the aid of funds from Carnegie’s widow Louise, would these last two casts be sent to Mexico City (1930) and Munich (1934) — the latter never even being mounted.</w:t>
      </w:r>
    </w:p>
    <w:p>
      <w:pPr>
        <w:pStyle w:val="TextBody"/>
        <w:ind w:left="0" w:right="0" w:hanging="0"/>
        <w:rPr>
          <w:i w:val="false"/>
          <w:i w:val="false"/>
          <w:iCs w:val="false"/>
        </w:rPr>
      </w:pPr>
      <w:r>
        <w:rPr>
          <w:i w:val="false"/>
          <w:iCs w:val="false"/>
        </w:rPr>
        <w:t>The molds, having last been used in the 1910s, then lay forgotten in the basement of the Carnegie Museum for more than 40 years (Untermann 1959:364).</w:t>
      </w:r>
    </w:p>
    <w:p>
      <w:pPr>
        <w:pStyle w:val="Heading2"/>
        <w:rPr/>
      </w:pPr>
      <w:bookmarkStart w:id="6" w:name="__RefHeading___Toc947_1155462304"/>
      <w:bookmarkEnd w:id="6"/>
      <w:r>
        <w:rPr/>
        <w:t>The Field House Museum in Vernal</w:t>
      </w:r>
    </w:p>
    <w:p>
      <w:pPr>
        <w:pStyle w:val="TextBody"/>
        <w:rPr/>
      </w:pPr>
      <w:r>
        <w:rPr/>
        <w:t>As recounted by Untermann and Untermann (1970), the genesis of the Field House lay with Arthur G. Nord, supervisor of the Ashley National Forest, who in the 1930s became concerned that the mineral and fossil wealth of the Vernal area was being shipped to museums outside the locality. The Vernal Lions Club museum committee was formed to advocate for a local museum. A senate bill approving the museum was passed in 1945, and the next year Governor Herbert B. Maw made $200,000 available to construct the museum building. G. Ernest Untermann was appointed director of the museum project, and was assisted by his wife Billie, a capable scientist and administrator in her own right.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416_3962850034"/>
      <w:bookmarkEnd w:id="7"/>
      <w:r>
        <w:rPr/>
        <w:t>The concrete cast in Vernal</w:t>
      </w:r>
    </w:p>
    <w:p>
      <w:pPr>
        <w:pStyle w:val="TextBody"/>
        <w:rPr/>
      </w:pPr>
      <w:r>
        <w:rPr/>
        <w:t xml:space="preserve">The head of the Carnegie Museum’s department of vertebrate paleontology in the early 1950s was J. LeRoy Kay, a native of Vernal. In 1952 (not 1955 as stated by Untermann and Untermann 1970), he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The Utah Lions Club provided the necessary $1000 payment, and local trucker Grant Southam used his own equipment to transport the molds. They arrived on or shortly before 7 August (Untermann 1952).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was far too long for the museum’s 50-foot exhibit halls, plans were made to situate it outside the museum. Wind, rain and extreme temperatures — the Vernal climate ranges from –40˚F to 100˚F (–40˚C to 38˚C) — required a more robust casting material was required than the usual plaster.  After some experimentation with different materials, the team settled on a mix of one part cement to three parts Aggra-lite (a lightweight aggregate made of volcanic pumice). A complete cast would consist of about 600 — many more than the number of bones, as the complex vertebrae were made from multiple pieces. About 100 of these had been completed, when Otto Buehner, president of Salt Lake City’s Otto Buehner Concrete Products Company, visited the museum, became interested in the casting, and expressed doubts about the use of Aggra-lite.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(see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then hind limbs, dorsal vertebrae, cervical and caudal vertebrae, front limbs, ribs. The skull was the last element to be attacked, mounted 21 feet (6.4 m) above the ground at the end of a somewhat elevated neck. The whole skeleton was not only supported on a steel scaffolding, but also guyed by thinner rods, enabling it to withstand 70 mph winds that uprooted nearby trees.</w:t>
      </w:r>
    </w:p>
    <w:p>
      <w:pPr>
        <w:pStyle w:val="TextBody"/>
        <w:rPr/>
      </w:pPr>
      <w:r>
        <w:rPr/>
        <w:t xml:space="preserve">The completed outdoor cast was dedicated on 6 June, 1957 (Untermann and Untermann 1970). The work had taken about a year and a half, from early 1956, and cost only $10,000 in total — almost all of it in salary. The cast stood for 32 years </w:t>
      </w:r>
      <w:r>
        <w:rPr/>
        <w:t>(see below).</w:t>
      </w:r>
    </w:p>
    <w:p>
      <w:pPr>
        <w:pStyle w:val="Heading2"/>
        <w:rPr/>
      </w:pPr>
      <w:bookmarkStart w:id="8" w:name="__RefHeading___Toc430_3962850034"/>
      <w:bookmarkEnd w:id="8"/>
      <w:r>
        <w:rPr>
          <w:i w:val="false"/>
          <w:iCs w:val="false"/>
        </w:rPr>
        <w:t xml:space="preserve">The fate of the original </w:t>
      </w:r>
      <w:r>
        <w:rPr>
          <w:i w:val="false"/>
          <w:iCs w:val="false"/>
        </w:rPr>
        <w:t>molds</w:t>
      </w:r>
    </w:p>
    <w:p>
      <w:pPr>
        <w:pStyle w:val="TextBody"/>
        <w:rPr/>
      </w:pPr>
      <w:r>
        <w:rPr/>
        <w:t xml:space="preserve">So far as we have been able to determine, the casting of the concrete </w:t>
      </w:r>
      <w:r>
        <w:rPr>
          <w:i/>
          <w:iCs/>
        </w:rPr>
        <w:t>Diplodocus</w:t>
      </w:r>
      <w:r>
        <w:rPr/>
        <w:t xml:space="preserve"> of Vernal was</w:t>
      </w:r>
      <w:r>
        <w:rPr/>
        <w:t xml:space="preserve"> the last time the </w:t>
      </w:r>
      <w:r>
        <w:rPr/>
        <w:t xml:space="preserve">Carnegie Museum’s </w:t>
      </w:r>
      <w:r>
        <w:rPr/>
        <w:t xml:space="preserve">original molds are used. </w:t>
      </w:r>
      <w:r>
        <w:rPr/>
        <w:t>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 xml:space="preserve">Ken Carpenter </w:t>
      </w:r>
      <w:r>
        <w:rPr/>
        <w:t>(</w:t>
      </w:r>
      <w:r>
        <w:rPr/>
        <w:t xml:space="preserve">pers. comm., 2022) </w:t>
      </w:r>
      <w:r>
        <w:rPr/>
        <w:t xml:space="preserve">recalls that in the </w:t>
      </w:r>
      <w:r>
        <w:rPr/>
        <w:t xml:space="preserve">1950s or 1960s, </w:t>
      </w:r>
      <w:r>
        <w:rPr/>
        <w:t>t</w:t>
      </w:r>
      <w:r>
        <w:rPr/>
        <w:t xml:space="preserve">he Field House posted a notice in the SVP </w:t>
      </w:r>
      <w:r>
        <w:rPr/>
        <w:t xml:space="preserve">(Society of Vertebrate Paleontology) </w:t>
      </w:r>
      <w:r>
        <w:rPr/>
        <w:t xml:space="preserve">news bulletin offering the plaster molds to whoever wanted them. </w:t>
      </w:r>
      <w:r>
        <w:rPr/>
        <w:t>From here, though, the story grows uncertain and contradictory.</w:t>
      </w:r>
    </w:p>
    <w:p>
      <w:pPr>
        <w:pStyle w:val="TextBody"/>
        <w:rPr/>
      </w:pPr>
      <w:r>
        <w:rPr/>
        <w:t>S</w:t>
      </w:r>
      <w:r>
        <w:rPr/>
        <w:t>a</w:t>
      </w:r>
      <w:r>
        <w:rPr/>
        <w:t xml:space="preserve">ssaman </w:t>
      </w:r>
      <w:r>
        <w:rPr/>
        <w:t>(</w:t>
      </w:r>
      <w:r>
        <w:rPr/>
        <w:t xml:space="preserve">1988) </w:t>
      </w:r>
      <w:r>
        <w:rPr/>
        <w:t>reported that “t</w:t>
      </w:r>
      <w:r>
        <w:rPr/>
        <w:t xml:space="preserve">he molds finally fell apart because of old age soon after it </w:t>
      </w:r>
      <w:r>
        <w:rPr/>
        <w:t xml:space="preserve">[the concrete </w:t>
      </w:r>
      <w:r>
        <w:rPr>
          <w:i/>
          <w:iCs/>
        </w:rPr>
        <w:t>Diplodocus</w:t>
      </w:r>
      <w:r>
        <w:rPr/>
        <w:t xml:space="preserve">] </w:t>
      </w:r>
      <w:r>
        <w:rPr/>
        <w:t xml:space="preserve">was made”. </w:t>
      </w:r>
      <w:r>
        <w:rPr/>
        <w:t>However, Ilja Niewland (pers. comm., 2022) reports that “The original moulds were thrown away somewhere during the 1960s (nobody at the [Carnegie Museum] could be more specific than that)”. Most promisingly, an archival photograph from 1962 (Carr and Hansen 2005) shows Ernest Untermann with Field House employee Dee Hall and truck driver William Randolph, loading molds onto a truck, and the cataloging metadata says this was “to ship them to the Children's Museum in North Carolina”. There are unfortunately more than ten children’s museums in North Carolina. We have made inquiries to try to determine which of them received the molds (if any did), but have not yet succeeded in doing so.</w:t>
      </w:r>
    </w:p>
    <w:p>
      <w:pPr>
        <w:pStyle w:val="TextBody"/>
        <w:rPr/>
      </w:pPr>
      <w:r>
        <w:rPr/>
        <w:t>T</w:t>
      </w:r>
      <w:r>
        <w:rPr/>
        <w:t>he invitation that concludes Untermann’</w:t>
      </w:r>
      <w:r>
        <w:rPr/>
        <w:t xml:space="preserve">s </w:t>
      </w:r>
      <w:r>
        <w:rPr/>
        <w:t>(1959</w:t>
      </w:r>
      <w:r>
        <w:rPr/>
        <w:t>) account</w:t>
      </w:r>
      <w:r>
        <w:rPr/>
        <w:t xml:space="preserve">, “Does anyone wish to cast the twelfth?”, seems </w:t>
      </w:r>
      <w:r>
        <w:rPr/>
        <w:t xml:space="preserve">then </w:t>
      </w:r>
      <w:r>
        <w:rPr/>
        <w:t>to have gone unanswered</w:t>
      </w:r>
      <w:r>
        <w:rPr/>
        <w:t>; but it is possible that the molds, which are now historical objects in their own right, survive in the collections of an unknown North Carolina museum.</w:t>
      </w:r>
    </w:p>
    <w:p>
      <w:pPr>
        <w:pStyle w:val="Heading2"/>
        <w:rPr/>
      </w:pPr>
      <w:bookmarkStart w:id="9" w:name="__RefHeading___Toc949_1155462304"/>
      <w:bookmarkEnd w:id="9"/>
      <w:r>
        <w:rPr/>
        <w:t>The lightweight cast in Vernal</w:t>
      </w:r>
    </w:p>
    <w:p>
      <w:pPr>
        <w:pStyle w:val="TextBody"/>
        <w:rPr/>
      </w:pPr>
      <w:r>
        <w:rPr/>
        <w:t xml:space="preserve">XXX </w:t>
      </w:r>
      <w:r>
        <w:rPr/>
        <w:t xml:space="preserve">Not sure when they decided they needed a new model but the old one obviously was falling apart when </w:t>
      </w:r>
      <w:r>
        <w:rPr/>
        <w:t>Steve</w:t>
      </w:r>
      <w:r>
        <w:rPr/>
        <w:t xml:space="preserve"> arrived and was stored in the old building crawl space. The new cast had its tail curved so it fit inside...maybe Untermann wanted it straight out in an old pose like outside. </w:t>
      </w:r>
      <w:r>
        <w:rPr/>
        <w:t>He had died in 1975 and his wife Billie two years previously (Lewis 1977).</w:t>
      </w:r>
    </w:p>
    <w:p>
      <w:pPr>
        <w:pStyle w:val="TextBody"/>
        <w:rPr/>
      </w:pPr>
      <w:r>
        <w:rPr/>
        <w:t>1988, January: plans are made to have a lightweight indoor replica of the Field House concrete cast created by the Las Vegas Museum, but these plans fall through.</w:t>
      </w:r>
    </w:p>
    <w:p>
      <w:pPr>
        <w:pStyle w:val="TextBody"/>
        <w:rPr/>
      </w:pPr>
      <w:r>
        <w:rPr/>
        <w:t>1989, April: Jim Madsen of Dinolab is contacted to make new plans for creating a replica from the concrete cast</w:t>
      </w:r>
    </w:p>
    <w:p>
      <w:pPr>
        <w:pStyle w:val="TextBody"/>
        <w:rPr/>
      </w:pPr>
      <w:r>
        <w:rPr/>
        <w:t>1989, June 30 onwards: Dinolab repaired the deteriorated concrete cast, stabilizing, restoring and sealing the bones. Jim Madsen of Dinolab made new molds from the repaired concrete Diplodocus, using them to create a new lightweight indoor Diplodocus cast for the Field House, from WEP (water-expanded polyester), and reserving the right to make up to 20 additional casts (Madsen et al. 1989)</w:t>
      </w:r>
    </w:p>
    <w:p>
      <w:pPr>
        <w:pStyle w:val="TextBody"/>
        <w:rPr/>
      </w:pPr>
      <w:r>
        <w:rPr/>
        <w:t>1991, not later than June 30: Dinolab is contracted to deliver the indoor mount (Madsen et al. 1989) — but I don't know when it actually arrived. It was mounted above the admission counter at the front of the Field House lobby (Ken Carpenter, pers. comm. 2022).</w:t>
      </w:r>
    </w:p>
    <w:p>
      <w:pPr>
        <w:pStyle w:val="TextBody"/>
        <w:rPr/>
      </w:pPr>
      <w:r>
        <w:rPr/>
        <w:t>1991?: When the concrete specimen was returned to the Field House, it was in bad shape and went into storage rather than being remounted.</w:t>
      </w:r>
    </w:p>
    <w:p>
      <w:pPr>
        <w:pStyle w:val="Heading2"/>
        <w:rPr/>
      </w:pPr>
      <w:bookmarkStart w:id="10" w:name="__RefHeading___Toc418_3962850034"/>
      <w:bookmarkEnd w:id="10"/>
      <w:r>
        <w:rPr>
          <w:i w:val="false"/>
          <w:iCs w:val="false"/>
        </w:rPr>
        <w:t xml:space="preserve">New </w:t>
      </w:r>
      <w:r>
        <w:rPr>
          <w:i w:val="false"/>
          <w:iCs w:val="false"/>
        </w:rPr>
        <w:t>casts</w:t>
      </w:r>
      <w:r>
        <w:rPr>
          <w:i w:val="false"/>
          <w:iCs w:val="false"/>
        </w:rPr>
        <w:t xml:space="preserve"> made from </w:t>
      </w:r>
      <w:r>
        <w:rPr>
          <w:i w:val="false"/>
          <w:iCs w:val="false"/>
        </w:rPr>
        <w:t xml:space="preserve">molds of </w:t>
      </w:r>
      <w:r>
        <w:rPr>
          <w:i w:val="false"/>
          <w:iCs w:val="false"/>
        </w:rPr>
        <w:t xml:space="preserve">the concrete </w:t>
      </w:r>
      <w:r>
        <w:rPr>
          <w:i/>
          <w:iCs/>
        </w:rPr>
        <w:t>Diplodocus</w:t>
      </w:r>
    </w:p>
    <w:p>
      <w:pPr>
        <w:pStyle w:val="TextBody"/>
        <w:rPr/>
      </w:pPr>
      <w:r>
        <w:rPr/>
        <w:t>XXX Some time subsequent to 1989: Jack McIntosh arranges a deal between Dinolab and RCI whereby the Dinolab creates casts of the Diplodocus elements needed to make up the missing part of the AMNH Barosaurus mount. See Gordy (1991), Norell et al. (1991), Dingus (1996:20–29).</w:t>
      </w:r>
    </w:p>
    <w:p>
      <w:pPr>
        <w:pStyle w:val="TextBody"/>
        <w:rPr/>
      </w:pPr>
      <w:r>
        <w:rPr/>
        <w:t>Subsequent years: further casts are made from the Dinolab molds, including one in the Las Vegas Natural History Museum and one in the Houston Natural History Museum.</w:t>
      </w:r>
    </w:p>
    <w:p>
      <w:pPr>
        <w:pStyle w:val="Heading2"/>
        <w:rPr/>
      </w:pPr>
      <w:bookmarkStart w:id="11" w:name="__RefHeading___Toc953_1155462304"/>
      <w:bookmarkEnd w:id="11"/>
      <w:r>
        <w:rPr/>
        <w:t xml:space="preserve">The fate of the concrete </w:t>
      </w:r>
      <w:r>
        <w:rPr>
          <w:i/>
          <w:iCs/>
        </w:rPr>
        <w:t>Diplodocus</w:t>
      </w:r>
    </w:p>
    <w:p>
      <w:pPr>
        <w:pStyle w:val="TextBody"/>
        <w:rPr/>
      </w:pPr>
      <w:r>
        <w:rPr/>
        <w:t xml:space="preserve">The old Dippy was never remounted by us after it was taken down. </w:t>
      </w:r>
    </w:p>
    <w:p>
      <w:pPr>
        <w:pStyle w:val="TextBody"/>
        <w:rPr/>
      </w:pPr>
      <w:r>
        <w:rPr/>
        <w:t xml:space="preserve">May 22, 2004: The Field House moves to a new building, and the WEP cast is remounted in the entry hall. </w:t>
      </w:r>
      <w:r>
        <w:rPr/>
        <w:t xml:space="preserve">The concrete cast </w:t>
      </w:r>
      <w:r>
        <w:rPr/>
        <w:t>was stored in the old building crawl space.</w:t>
      </w:r>
    </w:p>
    <w:p>
      <w:pPr>
        <w:pStyle w:val="TextBody"/>
        <w:rPr/>
      </w:pPr>
      <w:r>
        <w:rPr/>
        <w:t>2012: The collections are moved from the old Field House building to the new one, but there is no space for the concrete cast.</w:t>
      </w:r>
    </w:p>
    <w:p>
      <w:pPr>
        <w:pStyle w:val="TextBody"/>
        <w:rPr/>
      </w:pPr>
      <w:r>
        <w:rPr/>
        <w:t>2013: The concrete cast is sent to Utah State University Eastern Prehistoric Museum on effectively permanent loan, and to be repaired. It was intended to be mounted outside a new museum in Price, but this museum was never built and the cast remains in storage on the Utah State University Eastern campus.</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XXX “After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3"/>
        </w:numPr>
        <w:ind w:left="0" w:right="0" w:hanging="0"/>
        <w:rPr/>
      </w:pPr>
      <w:bookmarkStart w:id="12" w:name="__RefHeading___Toc3401_68767826"/>
      <w:bookmarkEnd w:id="12"/>
      <w:r>
        <w:rPr/>
        <w:t>Discussion</w:t>
      </w:r>
    </w:p>
    <w:p>
      <w:pPr>
        <w:pStyle w:val="TextBody"/>
        <w:rPr/>
      </w:pPr>
      <w:r>
        <w:rPr/>
        <w:t xml:space="preserve">XXX Photographs of the concrete </w:t>
      </w:r>
      <w:r>
        <w:rPr>
          <w:i/>
          <w:iCs/>
        </w:rPr>
        <w:t>Diplodocus</w:t>
      </w:r>
      <w:r>
        <w:rPr/>
        <w:t xml:space="preserve"> can be found at the J. Willard Marriott Digital Library of the University of Utah: </w:t>
      </w:r>
      <w:hyperlink r:id="rId3">
        <w:r>
          <w:rPr>
            <w:rStyle w:val="InternetLink"/>
          </w:rPr>
          <w:t>https://collections.lib.utah.edu/</w:t>
        </w:r>
      </w:hyperlink>
    </w:p>
    <w:p>
      <w:pPr>
        <w:pStyle w:val="TextBody"/>
        <w:numPr>
          <w:ilvl w:val="0"/>
          <w:numId w:val="3"/>
        </w:numPr>
        <w:rPr/>
      </w:pPr>
      <w:r>
        <w:rPr/>
        <w:t xml:space="preserve">XXX </w:t>
      </w:r>
      <w:r>
        <w:rPr/>
        <w:t>It's interesting, as I work on this, how sad the endings of various things are. The original Carnegie molds that were thrown out in the 1960s; the concrete Diplodocus that was supposed to be repaired by Dinolab but was never remounted; the molds that were made from the concrete casts sitting unloved in the Dinolab building until it wa</w:t>
      </w:r>
      <w:r>
        <w:rPr/>
        <w:t xml:space="preserve">s </w:t>
      </w:r>
      <w:r>
        <w:rPr/>
        <w:t>torn down, and now lurking the RCI's storage. i suppose most endings are sad, but the project definitely has a melancholy feel.</w:t>
      </w:r>
    </w:p>
    <w:p>
      <w:pPr>
        <w:pStyle w:val="Heading1"/>
        <w:numPr>
          <w:ilvl w:val="0"/>
          <w:numId w:val="3"/>
        </w:numPr>
        <w:ind w:left="0" w:right="0" w:hanging="0"/>
        <w:rPr/>
      </w:pPr>
      <w:r>
        <w:rPr/>
        <w:t>A</w:t>
      </w:r>
      <w:r>
        <w:rPr/>
        <w:t>cknowledgements</w:t>
      </w:r>
    </w:p>
    <w:p>
      <w:pPr>
        <w:pStyle w:val="TextBody"/>
        <w:rPr/>
      </w:pPr>
      <w:r>
        <w:rPr/>
        <w:t>XXX to follow.</w:t>
      </w:r>
    </w:p>
    <w:p>
      <w:pPr>
        <w:pStyle w:val="Heading1"/>
        <w:numPr>
          <w:ilvl w:val="0"/>
          <w:numId w:val="3"/>
        </w:numPr>
        <w:ind w:left="0" w:right="0" w:hanging="0"/>
        <w:rPr/>
      </w:pPr>
      <w:bookmarkStart w:id="13" w:name="__RefHeading___Toc3405_68767826"/>
      <w:bookmarkEnd w:id="13"/>
      <w:r>
        <w:rPr/>
        <w:t>References</w:t>
      </w:r>
    </w:p>
    <w:p>
      <w:pPr>
        <w:pStyle w:val="Reference"/>
        <w:rPr/>
      </w:pPr>
      <w:r>
        <w:rPr/>
        <w:t>XXX Most of these are now unused.</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5">
        <w:r>
          <w:rPr>
            <w:rStyle w:val="InternetLink"/>
          </w:rPr>
          <w:t>https://collections.lib.utah.edu/details?id=1086142</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b/>
          <w:bCs/>
        </w:rPr>
        <w:t>UNUSED</w:t>
      </w:r>
      <w:r>
        <w:rPr/>
        <w:t xml:space="preserve"> 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Lewis, Marlene. 1977. G. Ernest Untermann papers, 1893–1975. Archives West for University of Utah Libraries, Special Collections. </w:t>
      </w:r>
      <w:hyperlink r:id="rId6">
        <w:r>
          <w:rPr>
            <w:rStyle w:val="InternetLink"/>
          </w:rPr>
          <w:t>https://archiveswest.orbiscascade.org/ark:/80444/xv38626</w:t>
        </w:r>
      </w:hyperlink>
      <w:hyperlink r:id="rId7">
        <w:r>
          <w:rPr/>
          <w:t xml:space="preserve">, archived at </w:t>
        </w:r>
      </w:hyperlink>
      <w:hyperlink r:id="rId8">
        <w:r>
          <w:rPr>
            <w:rStyle w:val="InternetLink"/>
          </w:rPr>
          <w:t>https://web.archive.org/web/20220610005257/https://archiveswest.orbiscascade.org/ark:/80444/xv38626</w:t>
        </w:r>
      </w:hyperlink>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bookmarkStart w:id="14" w:name="__DdeLink__16582_68767826"/>
      <w:r>
        <w:rPr/>
        <w:t>Nieuwland</w:t>
      </w:r>
      <w:bookmarkEnd w:id="14"/>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9">
        <w:r>
          <w:rPr>
            <w:rStyle w:val="InternetLink"/>
          </w:rPr>
          <w:t>http://hdl.handle.net/2246/6497</w:t>
        </w:r>
      </w:hyperlink>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10">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7,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Untermann, Billie R., and G. Ernest Untermann. 1970. Natural History State Museum</w:t>
      </w:r>
      <w:r>
        <w:rPr/>
        <w:t xml:space="preserve">. Utah Parks and Recreation newsletter </w:t>
      </w:r>
      <w:r>
        <w:rPr>
          <w:b w:val="false"/>
          <w:bCs w:val="false"/>
          <w:highlight w:val="yellow"/>
        </w:rPr>
        <w:t>XXX probably, date not yet known.</w:t>
      </w:r>
    </w:p>
    <w:p>
      <w:pPr>
        <w:pStyle w:val="Heading1"/>
        <w:numPr>
          <w:ilvl w:val="0"/>
          <w:numId w:val="3"/>
        </w:numPr>
        <w:ind w:left="0" w:right="0" w:hanging="0"/>
        <w:rPr/>
      </w:pPr>
      <w:bookmarkStart w:id="15" w:name="__RefHeading___Toc3407_68767826"/>
      <w:bookmarkEnd w:id="15"/>
      <w:r>
        <w:rPr/>
        <w:t>Figure Captions</w:t>
      </w:r>
    </w:p>
    <w:p>
      <w:pPr>
        <w:pStyle w:val="FigureCaption"/>
        <w:spacing w:before="0" w:after="142"/>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spacing w:before="0" w:after="142"/>
        <w:rPr/>
      </w:pPr>
      <w:r>
        <w:rPr>
          <w:b/>
          <w:bCs/>
        </w:rPr>
        <w:t>Figure B.</w:t>
      </w:r>
      <w:r>
        <w:rPr/>
        <w:t xml:space="preserve"> The original molds: </w:t>
      </w:r>
      <w:hyperlink r:id="rId11">
        <w:r>
          <w:rPr>
            <w:rStyle w:val="InternetLink"/>
          </w:rPr>
          <w:t>https://collections.lib.utah.edu/details?id=1212242&amp;q=diplodocus</w:t>
        </w:r>
      </w:hyperlink>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i w:val="false"/>
      <w:iCs w:val="false"/>
    </w:rPr>
  </w:style>
  <w:style w:type="character" w:styleId="ListLabel69">
    <w:name w:val="ListLabel 69"/>
    <w:qFormat/>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i w:val="false"/>
      <w:iCs w:val="false"/>
    </w:rPr>
  </w:style>
  <w:style w:type="character" w:styleId="ListLabel98">
    <w:name w:val="ListLabel 98"/>
    <w:qFormat/>
    <w:rPr/>
  </w:style>
  <w:style w:type="character" w:styleId="ListLabel99">
    <w:name w:val="ListLabel 99"/>
    <w:qFormat/>
    <w:rPr>
      <w:rFonts w:cs="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i w:val="false"/>
      <w:iCs w:val="false"/>
    </w:rPr>
  </w:style>
  <w:style w:type="character" w:styleId="ListLabel127">
    <w:name w:val="ListLabel 127"/>
    <w:qFormat/>
    <w:rPr/>
  </w:style>
  <w:style w:type="character" w:styleId="ListLabel128">
    <w:name w:val="ListLabel 128"/>
    <w:qFormat/>
    <w:rPr>
      <w:rFonts w:cs="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i w:val="false"/>
      <w:iCs w:val="false"/>
    </w:rPr>
  </w:style>
  <w:style w:type="character" w:styleId="ListLabel156">
    <w:name w:val="ListLabel 156"/>
    <w:qFormat/>
    <w:rPr/>
  </w:style>
  <w:style w:type="character" w:styleId="ListLabel157">
    <w:name w:val="ListLabel 157"/>
    <w:qFormat/>
    <w:rPr>
      <w:rFonts w:cs="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i w:val="false"/>
      <w:iCs w:val="false"/>
    </w:rPr>
  </w:style>
  <w:style w:type="character" w:styleId="ListLabel185">
    <w:name w:val="ListLabel 185"/>
    <w:qFormat/>
    <w:rPr/>
  </w:style>
  <w:style w:type="character" w:styleId="ListLabel186">
    <w:name w:val="ListLabel 186"/>
    <w:qFormat/>
    <w:rPr>
      <w:rFonts w:cs="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i w:val="false"/>
      <w:iCs w:val="false"/>
    </w:rPr>
  </w:style>
  <w:style w:type="character" w:styleId="ListLabel196">
    <w:name w:val="ListLabel 196"/>
    <w:qFormat/>
    <w:rPr/>
  </w:style>
  <w:style w:type="character" w:styleId="ListLabel197">
    <w:name w:val="ListLabel 197"/>
    <w:qFormat/>
    <w:rPr>
      <w:rFonts w:cs="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i w:val="false"/>
      <w:iCs w:val="false"/>
    </w:rPr>
  </w:style>
  <w:style w:type="character" w:styleId="ListLabel207">
    <w:name w:val="ListLabel 207"/>
    <w:qFormat/>
    <w:rPr/>
  </w:style>
  <w:style w:type="character" w:styleId="ListLabel208">
    <w:name w:val="ListLabel 208"/>
    <w:qFormat/>
    <w:rPr>
      <w:rFonts w:cs="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i w:val="false"/>
      <w:iCs w:val="false"/>
    </w:rPr>
  </w:style>
  <w:style w:type="character" w:styleId="ListLabel218">
    <w:name w:val="ListLabel 218"/>
    <w:qFormat/>
    <w:rPr/>
  </w:style>
  <w:style w:type="character" w:styleId="ListLabel219">
    <w:name w:val="ListLabel 219"/>
    <w:qFormat/>
    <w:rPr>
      <w:rFonts w:cs="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i w:val="false"/>
      <w:iCs w:val="false"/>
    </w:rPr>
  </w:style>
  <w:style w:type="character" w:styleId="ListLabel229">
    <w:name w:val="ListLabel 229"/>
    <w:qFormat/>
    <w:rPr/>
  </w:style>
  <w:style w:type="character" w:styleId="ListLabel230">
    <w:name w:val="ListLabel 230"/>
    <w:qFormat/>
    <w:rPr>
      <w:rFonts w:cs="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i w:val="false"/>
      <w:iCs w:val="false"/>
    </w:rPr>
  </w:style>
  <w:style w:type="character" w:styleId="ListLabel240">
    <w:name w:val="ListLabel 240"/>
    <w:qFormat/>
    <w:rPr/>
  </w:style>
  <w:style w:type="character" w:styleId="ListLabel241">
    <w:name w:val="ListLabel 241"/>
    <w:qFormat/>
    <w:rPr>
      <w:rFonts w:cs="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i w:val="false"/>
      <w:iCs w:val="false"/>
    </w:rPr>
  </w:style>
  <w:style w:type="character" w:styleId="ListLabel251">
    <w:name w:val="ListLabel 251"/>
    <w:qFormat/>
    <w:rPr/>
  </w:style>
  <w:style w:type="character" w:styleId="ListLabel252">
    <w:name w:val="ListLabel 252"/>
    <w:qFormat/>
    <w:rPr>
      <w:rFonts w:cs="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i w:val="false"/>
      <w:iCs w:val="false"/>
    </w:rPr>
  </w:style>
  <w:style w:type="character" w:styleId="ListLabel262">
    <w:name w:val="ListLabel 262"/>
    <w:qFormat/>
    <w:rPr/>
  </w:style>
  <w:style w:type="character" w:styleId="ListLabel263">
    <w:name w:val="ListLabel 263"/>
    <w:qFormat/>
    <w:rPr>
      <w:rFonts w:cs="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i w:val="false"/>
      <w:iCs w:val="false"/>
    </w:rPr>
  </w:style>
  <w:style w:type="character" w:styleId="ListLabel273">
    <w:name w:val="ListLabel 273"/>
    <w:qFormat/>
    <w:rPr/>
  </w:style>
  <w:style w:type="character" w:styleId="ListLabel274">
    <w:name w:val="ListLabel 274"/>
    <w:qFormat/>
    <w:rPr>
      <w:rFonts w:cs="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i w:val="false"/>
      <w:iCs w:val="false"/>
    </w:rPr>
  </w:style>
  <w:style w:type="character" w:styleId="ListLabel284">
    <w:name w:val="ListLabel 284"/>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s://collections.lib.utah.edu/details?id=1086142" TargetMode="External"/><Relationship Id="rId6" Type="http://schemas.openxmlformats.org/officeDocument/2006/relationships/hyperlink" Target="https://archiveswest.orbiscascade.org/ark:/80444/xv38626" TargetMode="External"/><Relationship Id="rId7" Type="http://schemas.openxmlformats.org/officeDocument/2006/relationships/hyperlink" Target="" TargetMode="External"/><Relationship Id="rId8" Type="http://schemas.openxmlformats.org/officeDocument/2006/relationships/hyperlink" Target="https://web.archive.org/web/20220610005257/https://archiveswest.orbiscascade.org/ark:/80444/xv38626" TargetMode="External"/><Relationship Id="rId9" Type="http://schemas.openxmlformats.org/officeDocument/2006/relationships/hyperlink" Target="http://hdl.handle.net/2246/6497" TargetMode="External"/><Relationship Id="rId10" Type="http://schemas.openxmlformats.org/officeDocument/2006/relationships/hyperlink" Target="https://peacepalacelibrary.nl/blog/2017/diplodocus-carnegii-peace-diplomacy-dinosaur" TargetMode="External"/><Relationship Id="rId11" Type="http://schemas.openxmlformats.org/officeDocument/2006/relationships/hyperlink" Target="https://collections.lib.utah.edu/details?id=1212242&amp;q=diplodocus"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21071</TotalTime>
  <Application>LibreOffice/6.1.3.2$MacOSX_X86_64 LibreOffice_project/86daf60bf00efa86ad547e59e09d6bb77c699acb</Application>
  <Pages>9</Pages>
  <Words>3733</Words>
  <Characters>19591</Characters>
  <CharactersWithSpaces>23207</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2022-06-10T01:55:00Z</dcterms:modified>
  <cp:revision>399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