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15</w:t>
            </w:r>
          </w:hyperlink>
        </w:p>
        <w:p>
          <w:pPr>
            <w:pStyle w:val="Contents2"/>
            <w:tabs>
              <w:tab w:val="clear" w:pos="9355"/>
              <w:tab w:val="right" w:pos="9638" w:leader="dot"/>
            </w:tabs>
            <w:rPr/>
          </w:pPr>
          <w:hyperlink w:anchor="__RefHeading___Toc3005_1175089729">
            <w:r>
              <w:rPr>
                <w:rStyle w:val="IndexLink"/>
              </w:rPr>
              <w:t>The fate of the new molds</w:t>
              <w:tab/>
              <w:t>16</w:t>
            </w:r>
          </w:hyperlink>
        </w:p>
        <w:p>
          <w:pPr>
            <w:pStyle w:val="Contents1"/>
            <w:rPr/>
          </w:pPr>
          <w:hyperlink w:anchor="__RefHeading___Toc3401_68767826">
            <w:r>
              <w:rPr>
                <w:rStyle w:val="IndexLink"/>
              </w:rPr>
              <w:t>Discussion</w:t>
              <w:tab/>
              <w:t>16</w:t>
            </w:r>
          </w:hyperlink>
        </w:p>
        <w:p>
          <w:pPr>
            <w:pStyle w:val="Contents1"/>
            <w:rPr/>
          </w:pPr>
          <w:hyperlink w:anchor="__RefHeading___Toc3529_2542618767">
            <w:r>
              <w:rPr>
                <w:rStyle w:val="IndexLink"/>
              </w:rPr>
              <w:t>Acknowledgements</w:t>
              <w:tab/>
              <w:t>17</w:t>
            </w:r>
          </w:hyperlink>
        </w:p>
        <w:p>
          <w:pPr>
            <w:pStyle w:val="Contents1"/>
            <w:rPr/>
          </w:pPr>
          <w:hyperlink w:anchor="__RefHeading___Toc3405_68767826">
            <w:r>
              <w:rPr>
                <w:rStyle w:val="IndexLink"/>
              </w:rPr>
              <w:t>References</w:t>
              <w:tab/>
              <w:t>19</w:t>
            </w:r>
          </w:hyperlink>
        </w:p>
        <w:p>
          <w:pPr>
            <w:pStyle w:val="Contents1"/>
            <w:rPr/>
          </w:pPr>
          <w:hyperlink w:anchor="__RefHeading___Toc3407_68767826">
            <w:r>
              <w:rPr>
                <w:rStyle w:val="IndexLink"/>
              </w:rPr>
              <w:t>Figure Captions</w:t>
              <w:tab/>
              <w:t>24</w:t>
            </w:r>
          </w:hyperlink>
        </w:p>
        <w:p>
          <w:pPr>
            <w:pStyle w:val="Contents1"/>
            <w:rPr/>
          </w:pPr>
          <w:hyperlink w:anchor="__RefHeading___Toc4426_1817233446">
            <w:r>
              <w:rPr>
                <w:rStyle w:val="IndexLink"/>
              </w:rPr>
              <w:t>Tables</w:t>
              <w:tab/>
              <w:t>26</w:t>
            </w:r>
          </w:hyperlink>
          <w:r>
            <w:rPr>
              <w:rStyle w:val="IndexLink"/>
            </w:rPr>
            <w:fldChar w:fldCharType="end"/>
          </w:r>
        </w:p>
      </w:sdtContent>
    </w:sdt>
    <w:p>
      <w:pPr>
        <w:pStyle w:val="Heading1"/>
        <w:numPr>
          <w:ilvl w:val="0"/>
          <w:numId w:val="0"/>
        </w:numPr>
        <w:spacing w:before="567" w:after="142"/>
        <w:ind w:left="0" w:hanging="0"/>
        <w:rPr>
          <w:bCs/>
          <w:sz w:val="32"/>
          <w:szCs w:val="36"/>
        </w:rPr>
      </w:pPr>
      <w:bookmarkStart w:id="0" w:name="__RefHeading___Toc1120_4253449514"/>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announced and discussed the impeding arrival, and the later articles say that by 7 July museum board president Harold Minges had left for Utah to collect to molds. In fact Minges took his whole family on this trip to collect the molds (Leigh Minges in Herring 2022a). Anonymous (1960a) confirmed that the molds were collected on or around 14 July. But as Rea (2001:210) reported, “from Vernal the molds kept travelling — first, to the Rocky Mount Children’s Museum in Rocky Mount, North Carolina, although a cast was never made there”. </w:t>
      </w:r>
      <w:r>
        <w:rPr>
          <w:shd w:fill="auto" w:val="clear"/>
        </w:rPr>
        <w:t xml:space="preserve">Similarly, Moore (2014:234–235) stated that “From Vernal, Utah, [CM] molds of </w:t>
      </w:r>
      <w:r>
        <w:rPr>
          <w:i/>
          <w:iCs/>
          <w:shd w:fill="auto" w:val="clear"/>
        </w:rPr>
        <w:t>Diplodocus carnegii</w:t>
      </w:r>
      <w:r>
        <w:rPr>
          <w:shd w:fill="auto" w:val="clear"/>
        </w:rPr>
        <w:t xml:space="preserve"> are shipped to Rocky Mount Children’s Museum in Rocky Mount, North Carolina. Because of the age-related damage to the molds, a cast was never prepared”.</w:t>
      </w:r>
    </w:p>
    <w:p>
      <w:pPr>
        <w:pStyle w:val="TextBody"/>
        <w:rPr/>
      </w:pPr>
      <w:r>
        <w:rPr/>
        <w:t xml:space="preserve">At first, there was some excitement in Rocky Mount. Mae Woods Bell, who had been the museum director ever since its creation in 1951 (Anonymous 1962b) made presentations about the dinosaur project to the Rotary (Anonymous 1960c) and the Lions Club (Anonymous 1960d). On 26 August 1960, </w:t>
      </w:r>
      <w:r>
        <w:rPr>
          <w:b w:val="false"/>
          <w:bCs w:val="false"/>
        </w:rPr>
        <w:t xml:space="preserve">Bell reported that </w:t>
      </w:r>
      <w:r>
        <w:rPr/>
        <w:t>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on Hill Street, east of the intersection with Washington Street behind the old Pepsi bottling plant (Alan Anderson in Herring 2022a).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Avalon Airport was a small airstrip on Leggett Highway in the mid-1940s (at that time known as Route 95, later changed to Highway 97 to avoid confusion with the new I-95.) It was closed after operations were moved to Rocky Mount Municipal Airport on North Church Street (Herring 2022b), and all buildings associated with it are now gone: there is still a local airport on Highway 97, but it is a completely different complex on the west side (Thompson, pers. comm., 2022). It seems likely, but is not certain, that the molds and any elements that had been cast from them, were destroyed or discarded when old building was demolished.</w:t>
      </w:r>
    </w:p>
    <w:p>
      <w:pPr>
        <w:pStyle w:val="TextBody"/>
        <w:rPr/>
      </w:pPr>
      <w:r>
        <w:rPr>
          <w:shd w:fill="FFFF00" w:val="clear"/>
        </w:rPr>
        <w:t>XXX newly recovered letters here.</w:t>
      </w:r>
      <w:r>
        <w:rPr/>
        <w:t xml:space="preserve"> It seems then, that some casts were probably made from the molds, but the project petered out.</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likely conclusion that no cast was ever completed,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made from the Carnegie molds,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confirm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to LuRae Caldwell of the Utah Field House,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working from false or outdated information.</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molds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account of the molds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would have been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some way into the casting project determined not to be up to the job (Rea 2001:210, Moore 2014:234-235) and left in storage. At some later point it may be that they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w:t>
      </w:r>
      <w:r>
        <w:rPr>
          <w:rFonts w:eastAsia="Songti SC" w:cs="Arial Unicode MS"/>
          <w:color w:val="auto"/>
          <w:kern w:val="2"/>
          <w:sz w:val="24"/>
          <w:szCs w:val="24"/>
          <w:lang w:val="en-GB" w:eastAsia="zh-CN" w:bidi="hi-IN"/>
        </w:rPr>
        <w:t xml:space="preserve">’s </w:t>
      </w:r>
      <w:r>
        <w:rPr/>
        <w:t xml:space="preserve">sandbox </w:t>
      </w:r>
      <w:r>
        <w:rPr>
          <w:rFonts w:eastAsia="Songti SC" w:cs="Arial Unicode MS"/>
          <w:color w:val="auto"/>
          <w:kern w:val="2"/>
          <w:sz w:val="24"/>
          <w:szCs w:val="24"/>
          <w:lang w:val="en-GB" w:eastAsia="zh-CN" w:bidi="hi-IN"/>
        </w:rPr>
        <w:t>“</w:t>
      </w:r>
      <w:r>
        <w:rPr/>
        <w:t>dino dig</w:t>
      </w:r>
      <w:r>
        <w:rPr>
          <w:rFonts w:eastAsia="Songti SC" w:cs="Arial Unicode MS"/>
          <w:color w:val="auto"/>
          <w:kern w:val="2"/>
          <w:sz w:val="24"/>
          <w:szCs w:val="24"/>
          <w:lang w:val="en-GB" w:eastAsia="zh-CN" w:bidi="hi-IN"/>
        </w:rPr>
        <w:t xml:space="preserve">” </w:t>
      </w:r>
      <w:r>
        <w:rPr/>
        <w:t>area,</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newpaper articles on the Rocky Mount </w:t>
      </w:r>
      <w:r>
        <w:rPr>
          <w:i/>
          <w:iCs/>
        </w:rPr>
        <w:t>Diplodocus</w:t>
      </w:r>
      <w:r>
        <w:rPr/>
        <w:t xml:space="preserve"> project. David S. Berman (late of the Carnegie Museum),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shd w:fill="FFFF00" w:val="clear"/>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2022a. Rocky Mount has a skeleton in its closet ... We just don't know where it is.  </w:t>
      </w:r>
      <w:r>
        <w:rPr>
          <w:i/>
          <w:iCs/>
        </w:rPr>
        <w:t>Rocky Mount ...Way Back When</w:t>
      </w:r>
      <w:r>
        <w:rPr/>
        <w:t xml:space="preserve">, 12 October 2022. </w:t>
      </w:r>
      <w:hyperlink r:id="rId23">
        <w:r>
          <w:rPr>
            <w:rStyle w:val="InternetLink"/>
          </w:rPr>
          <w:t>https://www.facebook.com/groups/34407448334/permalink/10159232557673335/</w:t>
        </w:r>
      </w:hyperlink>
    </w:p>
    <w:p>
      <w:pPr>
        <w:pStyle w:val="Reference"/>
        <w:rPr/>
      </w:pPr>
      <w:r>
        <w:rPr/>
        <w:t xml:space="preserve">Herring, Gene. 2022b. It seems that every time I research and post a story about Rocky Mount, more facts are revealed. </w:t>
      </w:r>
      <w:r>
        <w:rPr>
          <w:i/>
          <w:iCs/>
        </w:rPr>
        <w:t>Rocky Mount ...Way Back When</w:t>
      </w:r>
      <w:r>
        <w:rPr/>
        <w:t xml:space="preserve">, 14 October 2022. </w:t>
      </w:r>
      <w:hyperlink r:id="rId24">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5">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6">
        <w:r>
          <w:rPr>
            <w:rStyle w:val="InternetLink"/>
          </w:rPr>
          <w:t>https://archiveswest.orbiscascade.org/ark:/80444/xv38626</w:t>
        </w:r>
      </w:hyperlink>
      <w:r>
        <w:rPr/>
        <w:t xml:space="preserve">, archived at </w:t>
      </w:r>
      <w:hyperlink r:id="rId2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9">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30">
        <w:r>
          <w:rPr>
            <w:rStyle w:val="VisitedInternetLink"/>
          </w:rPr>
          <w:t>https://wusfnews.wusf.usf.edu/news/2017-05-18/mosi-to-close-imax-other-exhibits-in-cost-saving-reconfiguration</w:t>
        </w:r>
      </w:hyperlink>
      <w:r>
        <w:rPr/>
        <w:t xml:space="preserve">, archived at </w:t>
      </w:r>
      <w:hyperlink r:id="rId31">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shd w:fill="FFFF00" w:val="clear"/>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shd w:fill="FFFF00" w:val="clear"/>
        </w:rPr>
        <w:t>XXX replace with reference to preprint</w:t>
      </w:r>
      <w:bookmarkStart w:id="23" w:name="__DdeLink__3619_3219802390"/>
      <w:r>
        <w:rPr>
          <w:shd w:fill="FFFF00" w:val="clear"/>
        </w:rPr>
        <w:t xml:space="preserve"> when available</w:t>
      </w:r>
      <w:bookmarkEnd w:id="23"/>
      <w:r>
        <w:rPr>
          <w:shd w:fill="FFFF00" w:val="clear"/>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shd w:fill="FFFF00" w:val="clear"/>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2">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ind w:left="0" w:hanging="0"/>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0"/>
        <w:gridCol w:w="1079"/>
        <w:gridCol w:w="1119"/>
        <w:gridCol w:w="1109"/>
        <w:gridCol w:w="1484"/>
        <w:gridCol w:w="1665"/>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431" w:type="dxa"/>
            <w:tcBorders/>
          </w:tcPr>
          <w:p>
            <w:pPr>
              <w:pStyle w:val="TextBody"/>
              <w:widowControl w:val="false"/>
              <w:spacing w:before="0" w:after="140"/>
              <w:rPr>
                <w:b/>
                <w:b/>
                <w:bCs/>
                <w:sz w:val="22"/>
                <w:szCs w:val="22"/>
              </w:rPr>
            </w:pPr>
            <w:r>
              <w:rPr>
                <w:b/>
                <w:bCs/>
                <w:sz w:val="22"/>
                <w:szCs w:val="22"/>
              </w:rPr>
              <w:t>Date</w:t>
            </w:r>
          </w:p>
        </w:tc>
        <w:tc>
          <w:tcPr>
            <w:tcW w:w="1190" w:type="dxa"/>
            <w:tcBorders/>
          </w:tcPr>
          <w:p>
            <w:pPr>
              <w:pStyle w:val="TextBody"/>
              <w:widowControl w:val="false"/>
              <w:spacing w:before="0" w:after="140"/>
              <w:rPr>
                <w:b/>
                <w:b/>
                <w:bCs/>
                <w:sz w:val="22"/>
                <w:szCs w:val="22"/>
              </w:rPr>
            </w:pPr>
            <w:r>
              <w:rPr>
                <w:b/>
                <w:bCs/>
                <w:sz w:val="22"/>
                <w:szCs w:val="22"/>
              </w:rPr>
              <w:t>Client</w:t>
            </w:r>
          </w:p>
        </w:tc>
        <w:tc>
          <w:tcPr>
            <w:tcW w:w="1079" w:type="dxa"/>
            <w:tcBorders/>
          </w:tcPr>
          <w:p>
            <w:pPr>
              <w:pStyle w:val="TextBody"/>
              <w:widowControl w:val="false"/>
              <w:spacing w:before="0" w:after="140"/>
              <w:rPr>
                <w:b/>
                <w:b/>
                <w:bCs/>
                <w:sz w:val="22"/>
                <w:szCs w:val="22"/>
              </w:rPr>
            </w:pPr>
            <w:r>
              <w:rPr>
                <w:b/>
                <w:bCs/>
                <w:sz w:val="22"/>
                <w:szCs w:val="22"/>
              </w:rPr>
              <w:t>City</w:t>
            </w:r>
          </w:p>
        </w:tc>
        <w:tc>
          <w:tcPr>
            <w:tcW w:w="1119" w:type="dxa"/>
            <w:tcBorders/>
          </w:tcPr>
          <w:p>
            <w:pPr>
              <w:pStyle w:val="TextBody"/>
              <w:widowControl w:val="false"/>
              <w:spacing w:before="0" w:after="140"/>
              <w:rPr>
                <w:b/>
                <w:b/>
                <w:bCs/>
                <w:sz w:val="22"/>
                <w:szCs w:val="22"/>
              </w:rPr>
            </w:pPr>
            <w:r>
              <w:rPr>
                <w:b/>
                <w:bCs/>
                <w:sz w:val="22"/>
                <w:szCs w:val="22"/>
              </w:rPr>
              <w:t>Region</w:t>
            </w:r>
          </w:p>
        </w:tc>
        <w:tc>
          <w:tcPr>
            <w:tcW w:w="1109" w:type="dxa"/>
            <w:tcBorders/>
          </w:tcPr>
          <w:p>
            <w:pPr>
              <w:pStyle w:val="TextBody"/>
              <w:widowControl w:val="false"/>
              <w:spacing w:before="0" w:after="140"/>
              <w:rPr>
                <w:b/>
                <w:b/>
                <w:bCs/>
                <w:sz w:val="22"/>
                <w:szCs w:val="22"/>
              </w:rPr>
            </w:pPr>
            <w:r>
              <w:rPr>
                <w:b/>
                <w:bCs/>
                <w:sz w:val="22"/>
                <w:szCs w:val="22"/>
              </w:rPr>
              <w:t>Country</w:t>
            </w:r>
          </w:p>
        </w:tc>
        <w:tc>
          <w:tcPr>
            <w:tcW w:w="3149"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431" w:type="dxa"/>
            <w:tcBorders/>
          </w:tcPr>
          <w:p>
            <w:pPr>
              <w:pStyle w:val="TextBody"/>
              <w:widowControl w:val="false"/>
              <w:spacing w:before="0" w:after="140"/>
              <w:rPr>
                <w:b/>
                <w:b/>
                <w:bCs/>
                <w:sz w:val="22"/>
                <w:szCs w:val="22"/>
              </w:rPr>
            </w:pPr>
            <w:r>
              <w:rPr>
                <w:b/>
                <w:bCs/>
                <w:sz w:val="22"/>
                <w:szCs w:val="22"/>
              </w:rPr>
            </w:r>
          </w:p>
        </w:tc>
        <w:tc>
          <w:tcPr>
            <w:tcW w:w="1190" w:type="dxa"/>
            <w:tcBorders/>
          </w:tcPr>
          <w:p>
            <w:pPr>
              <w:pStyle w:val="TextBody"/>
              <w:widowControl w:val="false"/>
              <w:spacing w:before="0" w:after="140"/>
              <w:rPr>
                <w:b/>
                <w:b/>
                <w:bCs/>
                <w:sz w:val="22"/>
                <w:szCs w:val="22"/>
              </w:rPr>
            </w:pPr>
            <w:r>
              <w:rPr>
                <w:b/>
                <w:bCs/>
                <w:sz w:val="22"/>
                <w:szCs w:val="22"/>
              </w:rPr>
            </w:r>
          </w:p>
        </w:tc>
        <w:tc>
          <w:tcPr>
            <w:tcW w:w="1079" w:type="dxa"/>
            <w:tcBorders/>
          </w:tcPr>
          <w:p>
            <w:pPr>
              <w:pStyle w:val="TextBody"/>
              <w:widowControl w:val="false"/>
              <w:spacing w:before="0" w:after="140"/>
              <w:rPr>
                <w:b/>
                <w:b/>
                <w:bCs/>
                <w:sz w:val="22"/>
                <w:szCs w:val="22"/>
              </w:rPr>
            </w:pPr>
            <w:r>
              <w:rPr>
                <w:b/>
                <w:bCs/>
                <w:sz w:val="22"/>
                <w:szCs w:val="22"/>
              </w:rPr>
            </w:r>
          </w:p>
        </w:tc>
        <w:tc>
          <w:tcPr>
            <w:tcW w:w="1119" w:type="dxa"/>
            <w:tcBorders/>
          </w:tcPr>
          <w:p>
            <w:pPr>
              <w:pStyle w:val="TextBody"/>
              <w:widowControl w:val="false"/>
              <w:spacing w:before="0" w:after="140"/>
              <w:rPr>
                <w:b/>
                <w:b/>
                <w:bCs/>
                <w:sz w:val="22"/>
                <w:szCs w:val="22"/>
              </w:rPr>
            </w:pPr>
            <w:r>
              <w:rPr>
                <w:b/>
                <w:bCs/>
                <w:sz w:val="22"/>
                <w:szCs w:val="22"/>
              </w:rPr>
            </w:r>
          </w:p>
        </w:tc>
        <w:tc>
          <w:tcPr>
            <w:tcW w:w="1109" w:type="dxa"/>
            <w:tcBorders/>
          </w:tcPr>
          <w:p>
            <w:pPr>
              <w:pStyle w:val="TextBody"/>
              <w:widowControl w:val="false"/>
              <w:spacing w:before="0" w:after="140"/>
              <w:rPr>
                <w:b/>
                <w:b/>
                <w:bCs/>
                <w:sz w:val="22"/>
                <w:szCs w:val="22"/>
              </w:rPr>
            </w:pPr>
            <w:r>
              <w:rPr>
                <w:b/>
                <w:bCs/>
                <w:sz w:val="22"/>
                <w:szCs w:val="22"/>
              </w:rPr>
            </w:r>
          </w:p>
        </w:tc>
        <w:tc>
          <w:tcPr>
            <w:tcW w:w="1484" w:type="dxa"/>
            <w:tcBorders/>
          </w:tcPr>
          <w:p>
            <w:pPr>
              <w:pStyle w:val="TextBody"/>
              <w:widowControl w:val="false"/>
              <w:spacing w:before="0" w:after="140"/>
              <w:rPr>
                <w:b/>
                <w:b/>
                <w:bCs/>
                <w:sz w:val="22"/>
                <w:szCs w:val="22"/>
              </w:rPr>
            </w:pPr>
            <w:r>
              <w:rPr>
                <w:b/>
                <w:bCs/>
                <w:sz w:val="22"/>
                <w:szCs w:val="22"/>
              </w:rPr>
              <w:t>Field House</w:t>
            </w:r>
          </w:p>
        </w:tc>
        <w:tc>
          <w:tcPr>
            <w:tcW w:w="1665"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431" w:type="dxa"/>
            <w:tcBorders/>
          </w:tcPr>
          <w:p>
            <w:pPr>
              <w:pStyle w:val="TextBody"/>
              <w:widowControl w:val="false"/>
              <w:spacing w:before="0" w:after="140"/>
              <w:rPr>
                <w:sz w:val="22"/>
                <w:szCs w:val="22"/>
              </w:rPr>
            </w:pPr>
            <w:r>
              <w:rPr>
                <w:sz w:val="22"/>
                <w:szCs w:val="22"/>
              </w:rPr>
              <w:t>January 1990</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Odawara</w:t>
            </w:r>
          </w:p>
        </w:tc>
        <w:tc>
          <w:tcPr>
            <w:tcW w:w="1119" w:type="dxa"/>
            <w:tcBorders/>
          </w:tcPr>
          <w:p>
            <w:pPr>
              <w:pStyle w:val="TextBody"/>
              <w:widowControl w:val="false"/>
              <w:spacing w:before="0" w:after="140"/>
              <w:rPr>
                <w:sz w:val="22"/>
                <w:szCs w:val="22"/>
              </w:rPr>
            </w:pPr>
            <w:r>
              <w:rPr>
                <w:sz w:val="22"/>
                <w:szCs w:val="22"/>
              </w:rPr>
              <w:t>Kanagawa</w:t>
            </w:r>
          </w:p>
        </w:tc>
        <w:tc>
          <w:tcPr>
            <w:tcW w:w="1109"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5"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431" w:type="dxa"/>
            <w:tcBorders/>
          </w:tcPr>
          <w:p>
            <w:pPr>
              <w:pStyle w:val="TextBody"/>
              <w:widowControl w:val="false"/>
              <w:spacing w:before="0" w:after="140"/>
              <w:rPr>
                <w:sz w:val="22"/>
                <w:szCs w:val="22"/>
              </w:rPr>
            </w:pPr>
            <w:r>
              <w:rPr>
                <w:sz w:val="22"/>
                <w:szCs w:val="22"/>
              </w:rPr>
              <w:t>October 1992</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Shiramine</w:t>
            </w:r>
          </w:p>
        </w:tc>
        <w:tc>
          <w:tcPr>
            <w:tcW w:w="1119" w:type="dxa"/>
            <w:tcBorders/>
          </w:tcPr>
          <w:p>
            <w:pPr>
              <w:pStyle w:val="TextBody"/>
              <w:widowControl w:val="false"/>
              <w:spacing w:before="0" w:after="140"/>
              <w:rPr>
                <w:sz w:val="22"/>
                <w:szCs w:val="22"/>
              </w:rPr>
            </w:pPr>
            <w:r>
              <w:rPr>
                <w:sz w:val="22"/>
                <w:szCs w:val="22"/>
              </w:rPr>
              <w:t>Ishikawa</w:t>
            </w:r>
          </w:p>
        </w:tc>
        <w:tc>
          <w:tcPr>
            <w:tcW w:w="1109"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5"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431" w:type="dxa"/>
            <w:tcBorders/>
          </w:tcPr>
          <w:p>
            <w:pPr>
              <w:pStyle w:val="TextBody"/>
              <w:widowControl w:val="false"/>
              <w:spacing w:before="0" w:after="140"/>
              <w:rPr>
                <w:sz w:val="22"/>
                <w:szCs w:val="22"/>
              </w:rPr>
            </w:pPr>
            <w:r>
              <w:rPr>
                <w:sz w:val="22"/>
                <w:szCs w:val="22"/>
              </w:rPr>
              <w:t>May 1992</w:t>
            </w:r>
          </w:p>
        </w:tc>
        <w:tc>
          <w:tcPr>
            <w:tcW w:w="1190" w:type="dxa"/>
            <w:tcBorders/>
          </w:tcPr>
          <w:p>
            <w:pPr>
              <w:pStyle w:val="TextBody"/>
              <w:widowControl w:val="false"/>
              <w:spacing w:before="0" w:after="140"/>
              <w:rPr>
                <w:sz w:val="22"/>
                <w:szCs w:val="22"/>
              </w:rPr>
            </w:pPr>
            <w:r>
              <w:rPr>
                <w:sz w:val="22"/>
                <w:szCs w:val="22"/>
              </w:rPr>
              <w:t>Mitzukoshi</w:t>
            </w:r>
          </w:p>
        </w:tc>
        <w:tc>
          <w:tcPr>
            <w:tcW w:w="2198" w:type="dxa"/>
            <w:gridSpan w:val="2"/>
            <w:tcBorders/>
          </w:tcPr>
          <w:p>
            <w:pPr>
              <w:pStyle w:val="TextBody"/>
              <w:widowControl w:val="false"/>
              <w:spacing w:before="0" w:after="140"/>
              <w:rPr>
                <w:i/>
                <w:i/>
                <w:iCs/>
                <w:sz w:val="22"/>
                <w:szCs w:val="22"/>
              </w:rPr>
            </w:pPr>
            <w:r>
              <w:rPr>
                <w:i/>
                <w:iCs/>
                <w:sz w:val="22"/>
                <w:szCs w:val="22"/>
              </w:rPr>
              <w:t>(Travelling exhibit)</w:t>
            </w:r>
          </w:p>
        </w:tc>
        <w:tc>
          <w:tcPr>
            <w:tcW w:w="1109"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5"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431" w:type="dxa"/>
            <w:tcBorders/>
          </w:tcPr>
          <w:p>
            <w:pPr>
              <w:pStyle w:val="TextBody"/>
              <w:widowControl w:val="false"/>
              <w:spacing w:before="0" w:after="140"/>
              <w:rPr>
                <w:sz w:val="22"/>
                <w:szCs w:val="22"/>
              </w:rPr>
            </w:pPr>
            <w:r>
              <w:rPr>
                <w:sz w:val="22"/>
                <w:szCs w:val="22"/>
              </w:rPr>
              <w:t>June 1992</w:t>
            </w:r>
          </w:p>
        </w:tc>
        <w:tc>
          <w:tcPr>
            <w:tcW w:w="1190" w:type="dxa"/>
            <w:tcBorders/>
          </w:tcPr>
          <w:p>
            <w:pPr>
              <w:pStyle w:val="TextBody"/>
              <w:widowControl w:val="false"/>
              <w:spacing w:before="0" w:after="140"/>
              <w:rPr>
                <w:sz w:val="22"/>
                <w:szCs w:val="22"/>
              </w:rPr>
            </w:pPr>
            <w:r>
              <w:rPr>
                <w:sz w:val="22"/>
                <w:szCs w:val="22"/>
              </w:rPr>
              <w:t>RCI</w:t>
            </w:r>
          </w:p>
        </w:tc>
        <w:tc>
          <w:tcPr>
            <w:tcW w:w="1079" w:type="dxa"/>
            <w:tcBorders/>
          </w:tcPr>
          <w:p>
            <w:pPr>
              <w:pStyle w:val="TextBody"/>
              <w:widowControl w:val="false"/>
              <w:spacing w:before="0" w:after="140"/>
              <w:rPr>
                <w:sz w:val="22"/>
                <w:szCs w:val="22"/>
              </w:rPr>
            </w:pPr>
            <w:r>
              <w:rPr>
                <w:sz w:val="22"/>
                <w:szCs w:val="22"/>
              </w:rPr>
              <w:t>Shimizu</w:t>
            </w:r>
          </w:p>
        </w:tc>
        <w:tc>
          <w:tcPr>
            <w:tcW w:w="1119" w:type="dxa"/>
            <w:tcBorders/>
          </w:tcPr>
          <w:p>
            <w:pPr>
              <w:pStyle w:val="Normal"/>
              <w:widowControl w:val="false"/>
              <w:rPr>
                <w:sz w:val="22"/>
                <w:szCs w:val="22"/>
              </w:rPr>
            </w:pPr>
            <w:r>
              <w:rPr>
                <w:sz w:val="22"/>
                <w:szCs w:val="22"/>
              </w:rPr>
              <w:t>Tokai</w:t>
            </w:r>
          </w:p>
        </w:tc>
        <w:tc>
          <w:tcPr>
            <w:tcW w:w="1109"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5"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431" w:type="dxa"/>
            <w:tcBorders/>
          </w:tcPr>
          <w:p>
            <w:pPr>
              <w:pStyle w:val="TextBody"/>
              <w:widowControl w:val="false"/>
              <w:spacing w:before="0" w:after="140"/>
              <w:rPr>
                <w:sz w:val="22"/>
                <w:szCs w:val="22"/>
              </w:rPr>
            </w:pPr>
            <w:r>
              <w:rPr>
                <w:sz w:val="22"/>
                <w:szCs w:val="22"/>
              </w:rPr>
              <w:t>May 1991</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Vernal</w:t>
            </w:r>
          </w:p>
        </w:tc>
        <w:tc>
          <w:tcPr>
            <w:tcW w:w="1119" w:type="dxa"/>
            <w:tcBorders/>
          </w:tcPr>
          <w:p>
            <w:pPr>
              <w:pStyle w:val="Normal"/>
              <w:widowControl w:val="false"/>
              <w:rPr>
                <w:sz w:val="22"/>
                <w:szCs w:val="22"/>
              </w:rPr>
            </w:pPr>
            <w:r>
              <w:rPr>
                <w:sz w:val="22"/>
                <w:szCs w:val="22"/>
              </w:rPr>
              <w:t>Utah</w:t>
            </w:r>
          </w:p>
        </w:tc>
        <w:tc>
          <w:tcPr>
            <w:tcW w:w="1109"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t>N/A</w:t>
            </w:r>
          </w:p>
        </w:tc>
        <w:tc>
          <w:tcPr>
            <w:tcW w:w="1665"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431" w:type="dxa"/>
            <w:tcBorders/>
          </w:tcPr>
          <w:p>
            <w:pPr>
              <w:pStyle w:val="TextBody"/>
              <w:widowControl w:val="false"/>
              <w:spacing w:before="0" w:after="140"/>
              <w:rPr>
                <w:sz w:val="22"/>
                <w:szCs w:val="22"/>
              </w:rPr>
            </w:pPr>
            <w:r>
              <w:rPr>
                <w:sz w:val="22"/>
                <w:szCs w:val="22"/>
              </w:rPr>
              <w:t>February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Tokyo</w:t>
            </w:r>
          </w:p>
        </w:tc>
        <w:tc>
          <w:tcPr>
            <w:tcW w:w="1119" w:type="dxa"/>
            <w:tcBorders/>
          </w:tcPr>
          <w:p>
            <w:pPr>
              <w:pStyle w:val="Normal"/>
              <w:widowControl w:val="false"/>
              <w:rPr>
                <w:sz w:val="22"/>
                <w:szCs w:val="22"/>
              </w:rPr>
            </w:pPr>
            <w:r>
              <w:rPr>
                <w:sz w:val="22"/>
                <w:szCs w:val="22"/>
              </w:rPr>
            </w:r>
          </w:p>
        </w:tc>
        <w:tc>
          <w:tcPr>
            <w:tcW w:w="1109"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r>
          </w:p>
        </w:tc>
        <w:tc>
          <w:tcPr>
            <w:tcW w:w="1665"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431" w:type="dxa"/>
            <w:tcBorders/>
          </w:tcPr>
          <w:p>
            <w:pPr>
              <w:pStyle w:val="TextBody"/>
              <w:widowControl w:val="false"/>
              <w:spacing w:before="0" w:after="140"/>
              <w:rPr>
                <w:sz w:val="22"/>
                <w:szCs w:val="22"/>
              </w:rPr>
            </w:pPr>
            <w:r>
              <w:rPr>
                <w:sz w:val="22"/>
                <w:szCs w:val="22"/>
              </w:rPr>
              <w:t>October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Tampa</w:t>
            </w:r>
          </w:p>
        </w:tc>
        <w:tc>
          <w:tcPr>
            <w:tcW w:w="1119" w:type="dxa"/>
            <w:tcBorders/>
          </w:tcPr>
          <w:p>
            <w:pPr>
              <w:pStyle w:val="Normal"/>
              <w:widowControl w:val="false"/>
              <w:rPr>
                <w:sz w:val="22"/>
                <w:szCs w:val="22"/>
              </w:rPr>
            </w:pPr>
            <w:r>
              <w:rPr>
                <w:sz w:val="22"/>
                <w:szCs w:val="22"/>
              </w:rPr>
              <w:t>Florida</w:t>
            </w:r>
          </w:p>
        </w:tc>
        <w:tc>
          <w:tcPr>
            <w:tcW w:w="1109"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5"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431" w:type="dxa"/>
            <w:tcBorders/>
          </w:tcPr>
          <w:p>
            <w:pPr>
              <w:pStyle w:val="TextBody"/>
              <w:widowControl w:val="false"/>
              <w:spacing w:before="0" w:after="140"/>
              <w:rPr>
                <w:sz w:val="22"/>
                <w:szCs w:val="22"/>
              </w:rPr>
            </w:pPr>
            <w:r>
              <w:rPr>
                <w:sz w:val="22"/>
                <w:szCs w:val="22"/>
              </w:rPr>
              <w:t>2006</w:t>
            </w:r>
          </w:p>
        </w:tc>
        <w:tc>
          <w:tcPr>
            <w:tcW w:w="1190" w:type="dxa"/>
            <w:tcBorders/>
          </w:tcPr>
          <w:p>
            <w:pPr>
              <w:pStyle w:val="TextBody"/>
              <w:widowControl w:val="false"/>
              <w:spacing w:before="0" w:after="140"/>
              <w:rPr>
                <w:sz w:val="22"/>
                <w:szCs w:val="22"/>
              </w:rPr>
            </w:pPr>
            <w:r>
              <w:rPr>
                <w:sz w:val="22"/>
                <w:szCs w:val="22"/>
              </w:rPr>
              <w:t>The Dinosaur Store</w:t>
            </w:r>
          </w:p>
        </w:tc>
        <w:tc>
          <w:tcPr>
            <w:tcW w:w="1079" w:type="dxa"/>
            <w:tcBorders/>
          </w:tcPr>
          <w:p>
            <w:pPr>
              <w:pStyle w:val="TextBody"/>
              <w:widowControl w:val="false"/>
              <w:spacing w:before="0" w:after="140"/>
              <w:rPr>
                <w:sz w:val="22"/>
                <w:szCs w:val="22"/>
              </w:rPr>
            </w:pPr>
            <w:r>
              <w:rPr>
                <w:sz w:val="22"/>
                <w:szCs w:val="22"/>
              </w:rPr>
              <w:t>Cocoa Beach</w:t>
            </w:r>
          </w:p>
        </w:tc>
        <w:tc>
          <w:tcPr>
            <w:tcW w:w="1119" w:type="dxa"/>
            <w:tcBorders/>
          </w:tcPr>
          <w:p>
            <w:pPr>
              <w:pStyle w:val="Normal"/>
              <w:widowControl w:val="false"/>
              <w:rPr>
                <w:sz w:val="22"/>
                <w:szCs w:val="22"/>
              </w:rPr>
            </w:pPr>
            <w:r>
              <w:rPr>
                <w:sz w:val="22"/>
                <w:szCs w:val="22"/>
              </w:rPr>
              <w:t>Florida</w:t>
            </w:r>
          </w:p>
        </w:tc>
        <w:tc>
          <w:tcPr>
            <w:tcW w:w="1109"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5"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3"/>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25</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25</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ing"/>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www.facebook.com/groups/34407448334/permalink/10159232557673335/" TargetMode="External"/><Relationship Id="rId24" Type="http://schemas.openxmlformats.org/officeDocument/2006/relationships/hyperlink" Target="https://www.facebook.com/groups/34407448334/permalink/10159236326718335/" TargetMode="External"/><Relationship Id="rId25" Type="http://schemas.openxmlformats.org/officeDocument/2006/relationships/hyperlink" Target="https://newspapers.lib.utah.edu/ark:/87278/s62v6594/22643733" TargetMode="External"/><Relationship Id="rId26" Type="http://schemas.openxmlformats.org/officeDocument/2006/relationships/hyperlink" Target="https://archiveswest.orbiscascade.org/ark:/80444/xv38626" TargetMode="External"/><Relationship Id="rId27" Type="http://schemas.openxmlformats.org/officeDocument/2006/relationships/hyperlink" Target="https://web.archive.org/web/20220610005257/https://archiveswest.orbiscascade.org/ark:/80444/xv38626" TargetMode="External"/><Relationship Id="rId28" Type="http://schemas.openxmlformats.org/officeDocument/2006/relationships/hyperlink" Target="https://newspapers.lib.utah.edu/ark:/87278/s6r53f0k/22649899" TargetMode="External"/><Relationship Id="rId29" Type="http://schemas.openxmlformats.org/officeDocument/2006/relationships/hyperlink" Target="http://hdl.handle.net/2246/6497" TargetMode="External"/><Relationship Id="rId30" Type="http://schemas.openxmlformats.org/officeDocument/2006/relationships/hyperlink" Target="https://wusfnews.wusf.usf.edu/news/2017-05-18/mosi-to-close-imax-other-exhibits-in-cost-saving-reconfiguration" TargetMode="External"/><Relationship Id="rId31" Type="http://schemas.openxmlformats.org/officeDocument/2006/relationships/hyperlink" Target="https://web.archive.org/web/20210507091810/https://wusfnews.wusf.usf.edu/news/2017-05-18/mosi-to-close-imax-other-exhibits-in-cost-saving-reconfiguration" TargetMode="External"/><Relationship Id="rId32" Type="http://schemas.openxmlformats.org/officeDocument/2006/relationships/hyperlink" Target="https://newspaperarchive.com/rocky-mount-evening-telegram-apr-24-1960-p-11/" TargetMode="External"/><Relationship Id="rId33" Type="http://schemas.openxmlformats.org/officeDocument/2006/relationships/header" Target="head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32237</TotalTime>
  <Application>LibreOffice/7.3.6.2$Linux_X86_64 LibreOffice_project/30$Build-2</Application>
  <AppVersion>15.0000</AppVersion>
  <Pages>25</Pages>
  <Words>12810</Words>
  <Characters>67275</Characters>
  <CharactersWithSpaces>79805</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
  <dcterms:modified xsi:type="dcterms:W3CDTF">2022-11-01T13:03:40Z</dcterms:modified>
  <cp:revision>735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