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rPr/>
          </w:pPr>
          <w:hyperlink w:anchor="__RefHeading___Toc3401_68767826">
            <w:r>
              <w:rPr>
                <w:rStyle w:val="IndexLink"/>
              </w:rPr>
              <w:t>Discussion</w:t>
              <w:tab/>
              <w:t>10</w:t>
            </w:r>
          </w:hyperlink>
        </w:p>
        <w:p>
          <w:pPr>
            <w:pStyle w:val="Contents1"/>
            <w:rPr/>
          </w:pPr>
          <w:hyperlink w:anchor="__RefHeading___Toc3529_2542618767">
            <w:r>
              <w:rPr>
                <w:rStyle w:val="IndexLink"/>
              </w:rPr>
              <w:t>Acknowledgements</w:t>
              <w:tab/>
              <w:t>10</w:t>
            </w:r>
          </w:hyperlink>
        </w:p>
        <w:p>
          <w:pPr>
            <w:pStyle w:val="Contents1"/>
            <w:rPr/>
          </w:pPr>
          <w:hyperlink w:anchor="__RefHeading___Toc3405_68767826">
            <w:r>
              <w:rPr>
                <w:rStyle w:val="IndexLink"/>
              </w:rPr>
              <w:t>References</w:t>
              <w:tab/>
              <w:t>11</w:t>
            </w:r>
          </w:hyperlink>
        </w:p>
        <w:p>
          <w:pPr>
            <w:pStyle w:val="Contents1"/>
            <w:rPr/>
          </w:pPr>
          <w:hyperlink w:anchor="__RefHeading___Toc3407_68767826">
            <w:r>
              <w:rPr>
                <w:rStyle w:val="IndexLink"/>
              </w:rPr>
              <w:t>Figure Captions</w:t>
              <w:tab/>
              <w:t>14</w:t>
            </w:r>
          </w:hyperlink>
        </w:p>
      </w:sdtContent>
    </w:sdt>
    <w:p>
      <w:pPr>
        <w:pStyle w:val="TextBody"/>
        <w:rPr>
          <w:i/>
          <w:i/>
          <w:iCs/>
        </w:rPr>
      </w:pPr>
      <w:r>
        <w:rPr>
          <w:i/>
          <w:iCs/>
        </w:rPr>
      </w:r>
      <w:r>
        <w:rPr>
          <w:i/>
          <w:iCs/>
        </w:rPr>
        <w:fldChar w:fldCharType="end"/>
      </w:r>
    </w:p>
    <w:p>
      <w:pPr>
        <w:pStyle w:val="Heading1"/>
        <w:numPr>
          <w:ilvl w:val="0"/>
          <w:numId w:val="1"/>
        </w:numPr>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highlight w:val="yellow"/>
        </w:rPr>
      </w:pPr>
      <w:r>
        <w:rPr>
          <w:highlight w:val="yellow"/>
        </w:rPr>
        <w:t>XXX For update, see my article Rocky Start to Dinosaur National Monument</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creation of a museum in Vernal was first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(see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7" w:name="__RefHeading___Toc430_3962850034"/>
      <w:bookmarkEnd w:id="7"/>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XXX Find out more. Try https://newspaperarchive.com/tags/diplodocus/?pc=24962&amp;psi=68&amp;pci=7&amp;ob=1/</w:t>
      </w:r>
    </w:p>
    <w:p>
      <w:pPr>
        <w:pStyle w:val="Heading2"/>
        <w:rPr/>
      </w:pPr>
      <w:bookmarkStart w:id="8" w:name="__RefHeading___Toc949_1155462304"/>
      <w:bookmarkEnd w:id="8"/>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With the Las Vegas plans having fallen through, in April 1989, Jim Madsen of Dinolab was contacted to make new plans for creating a replica from the concrete cast. 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repaired the deteriorated concrete cast, stabilizing,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w:t>
      </w:r>
    </w:p>
    <w:p>
      <w:pPr>
        <w:pStyle w:val="TextBody"/>
        <w:rPr/>
      </w:pPr>
      <w:r>
        <w:rPr/>
        <w:t>Dinolab was contracted to deliver the indoor mount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w:t>
      </w:r>
    </w:p>
    <w:p>
      <w:pPr>
        <w:pStyle w:val="TextBody"/>
        <w:rPr/>
      </w:pPr>
      <w:r>
        <w:rPr/>
        <w:t xml:space="preserve">The new cast was expected to be assembled that winter (Anonymous 1991), but delays would prevent the public from seeing it for nearly three further years. By 23 June 1993, only the ribs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9" w:name="__RefHeading___Toc418_3962850034"/>
      <w:bookmarkEnd w:id="9"/>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0" w:name="__DdeLink__11815_2767870788"/>
      <w:r>
        <w:rPr/>
        <w:t xml:space="preserve">In subsequent years: further casts were made from the Dinolab molds, but </w:t>
      </w:r>
      <w:r>
        <w:rPr/>
        <w:t xml:space="preserve">some of </w:t>
      </w:r>
      <w:r>
        <w:rPr/>
        <w:t xml:space="preserve">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w:t>
      </w:r>
      <w:r>
        <w:rPr/>
        <w:t xml:space="preserve">an error based on misunderstanding Krishtalka’s (1988:17) report of a Las Vegas museum’s intention to make its own molds of the concrete </w:t>
      </w:r>
      <w:r>
        <w:rPr>
          <w:i/>
          <w:iCs/>
        </w:rPr>
        <w:t>Diplodocus</w:t>
      </w:r>
      <w:r>
        <w:rPr/>
        <w:t xml:space="preserve"> as discussed above</w:t>
      </w:r>
      <w:r>
        <w:rPr/>
        <w:t xml:space="preser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0"/>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rPr/>
      </w:pPr>
      <w:bookmarkStart w:id="13" w:name="__RefHeading___Toc3529_2542618767"/>
      <w:bookmarkEnd w:id="13"/>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TextBody"/>
        <w:rPr/>
      </w:pPr>
      <w:r>
        <w:rPr/>
        <w:t>All other pers. Comms.</w:t>
      </w:r>
    </w:p>
    <w:p>
      <w:pPr>
        <w:pStyle w:val="TextBody"/>
        <w:rPr/>
      </w:pPr>
      <w:r>
        <w:rPr/>
        <w:t>XXX More to follow.</w:t>
      </w:r>
    </w:p>
    <w:p>
      <w:pPr>
        <w:pStyle w:val="Heading1"/>
        <w:numPr>
          <w:ilvl w:val="0"/>
          <w:numId w:val="3"/>
        </w:numPr>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1934. Construction of Museum at Vernal urged. </w:t>
      </w:r>
      <w:r>
        <w:rPr>
          <w:i/>
          <w:iCs/>
        </w:rPr>
        <w:t>Vernal Express</w:t>
      </w:r>
      <w:r>
        <w:rPr/>
        <w:t xml:space="preserve">, 27 September 1934, page 1. </w:t>
      </w:r>
      <w:hyperlink r:id="rId5">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6">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7">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10">
        <w:r>
          <w:rPr>
            <w:rStyle w:val="FollowedHyper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11">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FollowedHyperlink"/>
          </w:rPr>
          <w:t>https://newspapers.lib.utah.edu/ark:/87278/s6b88zdc/22648688</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3">
        <w:r>
          <w:rPr>
            <w:rStyle w:val="InternetLink"/>
          </w:rPr>
          <w:t>https://collections.lib.utah.edu/details?id=1086142</w:t>
        </w:r>
      </w:hyperlink>
    </w:p>
    <w:p>
      <w:pPr>
        <w:pStyle w:val="Reference"/>
        <w:rPr/>
      </w:pPr>
      <w:bookmarkStart w:id="15" w:name="__DdeLink__11501_941453575"/>
      <w:r>
        <w:rPr/>
        <w:t>Contorno</w:t>
      </w:r>
      <w:bookmarkEnd w:id="15"/>
      <w:r>
        <w:rPr/>
        <w:t xml:space="preserve">, Steve. 2017. MOSI to close most of its building, IMAX to save money before move to downtown Tampa. </w:t>
      </w:r>
      <w:r>
        <w:rPr>
          <w:i/>
          <w:iCs/>
        </w:rPr>
        <w:t>Tampa Bay Times</w:t>
      </w:r>
      <w:r>
        <w:rPr/>
        <w:t xml:space="preserve">, 18 May 2017. </w:t>
      </w:r>
      <w:hyperlink r:id="rId14">
        <w:r>
          <w:rPr>
            <w:rStyle w:val="InternetLink"/>
          </w:rPr>
          <w:t>https://www.tampabay.com/news/business/tourism/mosi-to-close-part-of-its-building-to-save-money-before-move-to-downtown/2324358/</w:t>
        </w:r>
      </w:hyperlink>
      <w:r>
        <w:rPr/>
        <w:t xml:space="preserve">, archived at </w:t>
      </w:r>
      <w:hyperlink r:id="rId15">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6">
        <w:r>
          <w:rPr>
            <w:rStyle w:val="InternetLink"/>
          </w:rPr>
          <w:t>https://archiveswest.orbiscascade.org/ark:/80444/xv38626</w:t>
        </w:r>
      </w:hyperlink>
      <w:r>
        <w:rPr/>
        <w:t xml:space="preserve">, archived at </w:t>
      </w:r>
      <w:hyperlink r:id="rId17">
        <w:r>
          <w:rPr>
            <w:rStyle w:val="InternetLink"/>
          </w:rPr>
          <w:t>https://web.archive.org/web/20220610005257/https://archiveswest.orbiscascade.org/ark:/80444/xv38626</w:t>
        </w:r>
      </w:hyperlink>
    </w:p>
    <w:p>
      <w:pPr>
        <w:pStyle w:val="Reference"/>
        <w:rPr/>
      </w:pPr>
      <w:r>
        <w:rPr/>
        <w:t>Madsen, James H., James E. King, Jerry A. Miller, Alden H. Hamblin and Richard L. Barker. 1989. Agreement between Dinolab, inc., and the Utah Field House of Natural History State Park. Private agreement.</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8">
        <w:r>
          <w:rPr>
            <w:rStyle w:val="InternetLink"/>
          </w:rPr>
          <w:t>https://newspapers.lib.utah.edu/ark:/87278/s6r53f0k/22649899</w:t>
        </w:r>
      </w:hyperlink>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16" w:name="__DdeLink__16582_68767826"/>
      <w:r>
        <w:rPr/>
        <w:t>Nieuwland</w:t>
      </w:r>
      <w:bookmarkEnd w:id="16"/>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9">
        <w:r>
          <w:rPr>
            <w:rStyle w:val="InternetLink"/>
          </w:rPr>
          <w:t>http://hdl.handle.net/2246/6497</w:t>
        </w:r>
      </w:hyperlink>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0">
        <w:r>
          <w:rPr>
            <w:rStyle w:val="FollowedHyperlink"/>
          </w:rPr>
          <w:t>https://wusfnews.wusf.usf.edu/news/2017-05-18/mosi-to-close-imax-other-exhibits-in-cost-saving-reconfiguration</w:t>
        </w:r>
      </w:hyperlink>
      <w:r>
        <w:rPr/>
        <w:t xml:space="preserve">, archived at </w:t>
      </w:r>
      <w:hyperlink r:id="rId21">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2">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3"/>
        </w:numPr>
        <w:rPr/>
      </w:pPr>
      <w:bookmarkStart w:id="17" w:name="__RefHeading___Toc3407_68767826"/>
      <w:bookmarkEnd w:id="17"/>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spacing w:before="0" w:after="142"/>
        <w:ind w:left="283"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details?id=21512583" TargetMode="External"/><Relationship Id="rId6" Type="http://schemas.openxmlformats.org/officeDocument/2006/relationships/hyperlink" Target="https://newspapers.lib.utah.edu/details?id=21493559" TargetMode="External"/><Relationship Id="rId7" Type="http://schemas.openxmlformats.org/officeDocument/2006/relationships/hyperlink" Target="https://newspapers.lib.utah.edu/ark:/87278/s6zk6w6s/21338221"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collections.lib.utah.edu/details?id=1086142" TargetMode="External"/><Relationship Id="rId14" Type="http://schemas.openxmlformats.org/officeDocument/2006/relationships/hyperlink" Target="https://www.tampabay.com/news/business/tourism/mosi-to-close-part-of-its-building-to-save-money-before-move-to-downtown/2324358/" TargetMode="External"/><Relationship Id="rId15" Type="http://schemas.openxmlformats.org/officeDocument/2006/relationships/hyperlink" Target="https://web.archive.org/web/20211125120642/https://www.tampabay.com/news/business/tourism/mosi-to-close-part-of-its-building-to-save-money-before-move-to-downtown/2324358/" TargetMode="External"/><Relationship Id="rId16" Type="http://schemas.openxmlformats.org/officeDocument/2006/relationships/hyperlink" Target="https://archiveswest.orbiscascade.org/ark:/80444/xv38626" TargetMode="External"/><Relationship Id="rId17" Type="http://schemas.openxmlformats.org/officeDocument/2006/relationships/hyperlink" Target="https://web.archive.org/web/20220610005257/https://archiveswest.orbiscascade.org/ark:/80444/xv38626" TargetMode="External"/><Relationship Id="rId18" Type="http://schemas.openxmlformats.org/officeDocument/2006/relationships/hyperlink" Target="https://newspapers.lib.utah.edu/ark:/87278/s6r53f0k/22649899" TargetMode="External"/><Relationship Id="rId19" Type="http://schemas.openxmlformats.org/officeDocument/2006/relationships/hyperlink" Target="http://hdl.handle.net/2246/6497" TargetMode="External"/><Relationship Id="rId20" Type="http://schemas.openxmlformats.org/officeDocument/2006/relationships/hyperlink" Target="https://wusfnews.wusf.usf.edu/news/2017-05-18/mosi-to-close-imax-other-exhibits-in-cost-saving-reconfiguration" TargetMode="External"/><Relationship Id="rId21" Type="http://schemas.openxmlformats.org/officeDocument/2006/relationships/hyperlink" Target="https://web.archive.org/web/20210507091810/https://wusfnews.wusf.usf.edu/news/2017-05-18/mosi-to-close-imax-other-exhibits-in-cost-saving-reconfiguration" TargetMode="External"/><Relationship Id="rId22" Type="http://schemas.openxmlformats.org/officeDocument/2006/relationships/hyperlink" Target="https://peacepalacelibrary.nl/blog/2017/diplodocus-carnegii-peace-diplomacy-dinosaur"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30199</TotalTime>
  <Application>LibreOffice/6.1.3.2$MacOSX_X86_64 LibreOffice_project/86daf60bf00efa86ad547e59e09d6bb77c699acb</Application>
  <Pages>15</Pages>
  <Words>7428</Words>
  <Characters>39397</Characters>
  <CharactersWithSpaces>46646</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2022-08-15T23:00:19Z</dcterms:modified>
  <cp:revision>517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