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id w:val="2042032910"/>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 xml:space="preserve">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t>
      </w:r>
      <w:r>
        <w:rPr/>
        <w:t xml:space="preserve">While Holland had considered closing the Carnegie Quarry as early as 1917 (Carpenter 2018:13), the reduction in funding must have played some part in the eventual decision to abandon in 1922. </w:t>
      </w:r>
      <w:r>
        <w:rPr/>
        <w:t>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A</w:t>
      </w:r>
      <w:r>
        <w:rPr/>
        <w:t>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 xml:space="preserve">Working at the Carnegie Museum for the next 30 years, Kay rose to become the head of the museum’s department of vertebrate paleontology. He was in this post when, in 1952, museum director Graham Netting started thinking about purging the collections of the dinosaur material </w:t>
      </w:r>
      <w:r>
        <w:rPr/>
        <w:t>(Rodeck 1952, Tschopp et al. 2019:10)</w:t>
      </w:r>
      <w:r>
        <w:rPr/>
        <w:t xml:space="preserve"> because the dinosaur bones took up too much storage space </w:t>
      </w:r>
      <w:r>
        <w:rPr/>
        <w:t>(Lee 1955a, Lee 1955b). Kay would later announce to the vertebrate paleontology community that the specimens had been “unfrozen” (Wright 1956:26).</w:t>
      </w:r>
    </w:p>
    <w:p>
      <w:pPr>
        <w:pStyle w:val="TextBody"/>
        <w:rPr/>
      </w:pPr>
      <w:r>
        <w:rPr/>
        <w:t>Before this announcement, t</w:t>
      </w:r>
      <w:r>
        <w:rPr/>
        <w:t xml:space="preserve">he downsizing plan was scaled back to removing only the duplicate </w:t>
      </w:r>
      <w:r>
        <w:rPr/>
        <w:t>specimens</w:t>
      </w:r>
      <w:r>
        <w:rPr/>
        <w:t xml:space="preserve">. Among the materials to be disposed of were the plaster of Paris molds </w:t>
      </w:r>
      <w:r>
        <w:rPr/>
        <w:t xml:space="preserve">that had been used </w:t>
      </w:r>
      <w:r>
        <w:rPr/>
        <w:t xml:space="preserve">for the </w:t>
      </w:r>
      <w:r>
        <w:rPr>
          <w:i/>
          <w:iCs/>
        </w:rPr>
        <w:t>D</w:t>
      </w:r>
      <w:r>
        <w:rPr/>
        <w:t xml:space="preserve">. </w:t>
      </w:r>
      <w:r>
        <w:rPr>
          <w:i/>
          <w:iCs/>
        </w:rPr>
        <w:t>carnegii</w:t>
      </w:r>
      <w:r>
        <w:rPr/>
        <w:t xml:space="preserve"> </w:t>
      </w:r>
      <w:r>
        <w:rPr/>
        <w:t>casts</w:t>
      </w:r>
      <w:r>
        <w:rPr/>
        <w:t xml:space="preserve">. The molds were large, some were damaged and coated with coal dust from the coal fired heating system. Kay was </w:t>
      </w:r>
      <w:r>
        <w:rPr/>
        <w:t xml:space="preserve">close to </w:t>
      </w:r>
      <w:r>
        <w:rPr/>
        <w:t>retire</w:t>
      </w:r>
      <w:r>
        <w:rPr/>
        <w:t>ment</w:t>
      </w:r>
      <w:r>
        <w:rPr/>
        <w:t xml:space="preserve"> and planned to move back to Vernal, </w:t>
      </w:r>
      <w:r>
        <w:rPr/>
        <w:t>and wanted to find a home for the molds in his own state</w:t>
      </w:r>
      <w:r>
        <w:rPr/>
        <w:t xml:space="preserve">. He first contacted the Utah State Museum (now the Museum of Natural History of Utah), but the museum was not willing to pay for </w:t>
      </w:r>
      <w:r>
        <w:rPr/>
        <w:t xml:space="preserve">the molds to be </w:t>
      </w:r>
      <w:r>
        <w:rPr/>
        <w:t>shipp</w:t>
      </w:r>
      <w:r>
        <w:rPr/>
        <w:t>ed</w:t>
      </w:r>
      <w:r>
        <w:rPr/>
        <w:t>.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7" w:name="__RefHeading___Toc430_3962850034"/>
      <w:bookmarkEnd w:id="7"/>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 xml:space="preserve">XXX </w:t>
      </w:r>
      <w:r>
        <w:rPr>
          <w:highlight w:val="yellow"/>
        </w:rPr>
        <w:t>F</w:t>
      </w:r>
      <w:r>
        <w:rPr>
          <w:highlight w:val="yellow"/>
        </w:rPr>
        <w:t xml:space="preserve">ind out more. </w:t>
      </w:r>
      <w:r>
        <w:rPr>
          <w:highlight w:val="yellow"/>
        </w:rPr>
        <w:t>Try</w:t>
      </w:r>
      <w:r>
        <w:rPr>
          <w:highlight w:val="yellow"/>
        </w:rPr>
        <w:t xml:space="preserve"> https://newspaperarchive.com/tags/diplodocus/?pc=24962&amp;psi=68&amp;pci=7&amp;ob=1/</w:t>
      </w:r>
    </w:p>
    <w:p>
      <w:pPr>
        <w:pStyle w:val="Heading2"/>
        <w:rPr/>
      </w:pPr>
      <w:bookmarkStart w:id="8" w:name="__RefHeading___Toc949_1155462304"/>
      <w:bookmarkEnd w:id="8"/>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9" w:name="__RefHeading___Toc418_3962850034"/>
      <w:bookmarkEnd w:id="9"/>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0"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0"/>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3" w:name="__RefHeading___Toc3529_2542618767"/>
      <w:bookmarkEnd w:id="13"/>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10">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Lee, Ronald F. 1955a. Untitled memorandum from the Chief, Division of Interpretation, National Parks Service to the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17" w:name="__RefHeading___Toc3407_68767826"/>
      <w:bookmarkEnd w:id="17"/>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link w:val="CommentText"/>
    <w:uiPriority w:val="99"/>
    <w:semiHidden/>
    <w:qFormat/>
    <w:rsid w:val="00f13f43"/>
    <w:rPr>
      <w:rFonts w:ascii="Baskerville" w:hAnsi="Baskerville" w:cs="Mangal"/>
      <w:szCs w:val="18"/>
    </w:rPr>
  </w:style>
  <w:style w:type="character" w:styleId="CommentSubjectChar" w:customStyle="1">
    <w:name w:val="Comment Subject Char"/>
    <w:basedOn w:val="CommentTextChar"/>
    <w:link w:val="CommentSubject"/>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rPr>
  </w:style>
  <w:style w:type="character" w:styleId="ListLabel35">
    <w:name w:val="ListLabel 35"/>
    <w:qFormat/>
    <w:rPr/>
  </w:style>
  <w:style w:type="character" w:styleId="ListLabel36">
    <w:name w:val="ListLabel 36"/>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30197</TotalTime>
  <Application>LibreOffice/6.1.3.2$MacOSX_X86_64 LibreOffice_project/86daf60bf00efa86ad547e59e09d6bb77c699acb</Application>
  <Pages>15</Pages>
  <Words>7399</Words>
  <Characters>39250</Characters>
  <CharactersWithSpaces>46470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2022-08-05T01:40:15Z</dcterms:modified>
  <cp:revision>515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