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 xml:space="preserve">Although many casts have been made of the iconic Carnegie </w:t>
      </w:r>
      <w:r>
        <w:rPr>
          <w:i/>
          <w:iCs/>
        </w:rPr>
        <w:t>Diplodocus</w:t>
      </w:r>
      <w:r>
        <w:rPr>
          <w:i w:val="false"/>
          <w:iCs w:val="false"/>
        </w:rPr>
        <w:t xml:space="preserve">, initially in plaster and more recently in various plastics, one stands alone as having been cast in concrete. This skeleton, made from the original Carnegie molds starting in 1956–7, was unveiled at the Utah Field House of Natural History in Vernal, Utah, in 1957, and stood outside the museum for three decades. The fate of the molds after this casting is uncertain. The concrete </w:t>
      </w:r>
      <w:r>
        <w:rPr>
          <w:i/>
          <w:iCs/>
        </w:rPr>
        <w:t>Diplodocus</w:t>
      </w:r>
      <w:r>
        <w:rPr>
          <w:i w:val="false"/>
          <w:iCs w:val="false"/>
        </w:rPr>
        <w:t xml:space="preserve"> was the museum’s icon for 32 years until the weather damage became too great. The cast was then taken down and repaired, and fresh molds made from it by Dinolab in Salt Lake City. From these molds, a new replica was cast in water-expanded polyester (WEP) and mounted inside the Field House. This cast moved to the Field House’s new location in 2004 and was remounted in the atrium, but the old concrete cast could not be easily remounted and was instead transferred to the Prehistoric Museum at Price, Utah. It has, however, yet to be remounted there, as it awaits a new building for the museum. Meanwhile, the new molds have been used to create more </w:t>
      </w:r>
      <w:r>
        <w:rPr>
          <w:i/>
          <w:iCs/>
        </w:rPr>
        <w:t>Diplodocus</w:t>
      </w:r>
      <w:r>
        <w:rPr>
          <w:i w:val="false"/>
          <w:iCs w:val="false"/>
        </w:rPr>
        <w:t xml:space="preserve"> casts that are mounted in Japan and elsewhere, and have also furnished missing parts of the iconic rearing </w:t>
      </w:r>
      <w:r>
        <w:rPr>
          <w:i/>
          <w:iCs/>
        </w:rPr>
        <w:t>Barosaurus</w:t>
      </w:r>
      <w:r>
        <w:rPr>
          <w:i w:val="false"/>
          <w:iCs w:val="false"/>
        </w:rPr>
        <w:t xml:space="preserve"> skeleton in the atrium of the American Museum of Natural History. Thus the concrete </w:t>
      </w:r>
      <w:r>
        <w:rPr>
          <w:i/>
          <w:iCs/>
        </w:rPr>
        <w:t>Diplodocus</w:t>
      </w:r>
      <w:r>
        <w:rPr>
          <w:i w:val="false"/>
          <w:iCs w:val="false"/>
        </w:rPr>
        <w:t xml:space="preserve"> of Vernal has become one of the most influential of all </w:t>
      </w:r>
      <w:r>
        <w:rPr>
          <w:i/>
          <w:iCs/>
        </w:rPr>
        <w:t>Diplodocus</w:t>
      </w:r>
      <w:r>
        <w:rPr>
          <w:i w:val="false"/>
          <w:iCs w:val="false"/>
        </w:rPr>
        <w:t xml:space="preserve"> specimens, second only to the Carnegie original.</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Toaheading"/>
        <w:rPr/>
      </w:pPr>
      <w:r>
        <w:rPr/>
      </w:r>
      <w:r>
        <w:br w:type="page"/>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809_2856925443">
            <w:r>
              <w:rPr>
                <w:rStyle w:val="IndexLink"/>
              </w:rPr>
              <w:t>Introduction</w:t>
              <w:tab/>
              <w:t>3</w:t>
            </w:r>
          </w:hyperlink>
        </w:p>
        <w:p>
          <w:pPr>
            <w:pStyle w:val="Contents2"/>
            <w:tabs>
              <w:tab w:val="clear" w:pos="9355"/>
              <w:tab w:val="right" w:pos="9638" w:leader="dot"/>
            </w:tabs>
            <w:rPr/>
          </w:pPr>
          <w:hyperlink w:anchor="__RefHeading___Toc943_1155462304">
            <w:r>
              <w:rPr>
                <w:rStyle w:val="IndexLink"/>
              </w:rPr>
              <w:t>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1946_2786159041">
            <w:r>
              <w:rPr>
                <w:rStyle w:val="IndexLink"/>
              </w:rPr>
              <w:t xml:space="preserve">History of the concrete </w:t>
            </w:r>
          </w:hyperlink>
          <w:hyperlink w:anchor="__RefHeading___Toc1946_2786159041">
            <w:r>
              <w:rPr>
                <w:rStyle w:val="IndexLink"/>
                <w:i/>
                <w:iCs/>
              </w:rPr>
              <w:t>Diplodocus</w:t>
            </w:r>
          </w:hyperlink>
          <w:hyperlink w:anchor="__RefHeading___Toc1946_2786159041">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hyperlink>
          <w:hyperlink w:anchor="__RefHeading___Toc1948_2786159041">
            <w:r>
              <w:rPr>
                <w:rStyle w:val="IndexLink"/>
                <w:i/>
                <w:iCs/>
              </w:rPr>
              <w:t>Diplodocus</w:t>
            </w:r>
          </w:hyperlink>
          <w:hyperlink w:anchor="__RefHeading___Toc1948_2786159041">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hyperlink>
          <w:hyperlink w:anchor="__RefHeading___Toc1950_2786159041">
            <w:r>
              <w:rPr>
                <w:rStyle w:val="IndexLink"/>
                <w:i/>
                <w:iCs/>
              </w:rPr>
              <w:t>Diplodocus</w:t>
            </w:r>
          </w:hyperlink>
          <w:hyperlink w:anchor="__RefHeading___Toc1950_2786159041">
            <w:r>
              <w:rPr>
                <w:rStyle w:val="IndexLink"/>
              </w:rPr>
              <w:tab/>
              <w:t>4</w:t>
            </w:r>
          </w:hyperlink>
        </w:p>
        <w:p>
          <w:pPr>
            <w:pStyle w:val="Contents2"/>
            <w:tabs>
              <w:tab w:val="clear" w:pos="9355"/>
              <w:tab w:val="right" w:pos="9638" w:leader="dot"/>
            </w:tabs>
            <w:rPr/>
          </w:pPr>
          <w:hyperlink w:anchor="__RefHeading___Toc947_1155462304">
            <w:r>
              <w:rPr>
                <w:rStyle w:val="IndexLink"/>
              </w:rPr>
              <w:t>The Field House Museum in Vernal</w:t>
              <w:tab/>
              <w:t>5</w:t>
            </w:r>
          </w:hyperlink>
        </w:p>
        <w:p>
          <w:pPr>
            <w:pStyle w:val="Contents2"/>
            <w:tabs>
              <w:tab w:val="clear" w:pos="9355"/>
              <w:tab w:val="right" w:pos="9638" w:leader="dot"/>
            </w:tabs>
            <w:rPr/>
          </w:pPr>
          <w:hyperlink w:anchor="__RefHeading___Toc26119_446257137">
            <w:r>
              <w:rPr>
                <w:rStyle w:val="IndexLink"/>
              </w:rPr>
              <w:t>The concrete cast in Vernal</w:t>
              <w:tab/>
              <w:t>5</w:t>
            </w:r>
          </w:hyperlink>
        </w:p>
        <w:p>
          <w:pPr>
            <w:pStyle w:val="Contents2"/>
            <w:tabs>
              <w:tab w:val="clear" w:pos="9355"/>
              <w:tab w:val="right" w:pos="9638" w:leader="dot"/>
            </w:tabs>
            <w:rPr/>
          </w:pPr>
          <w:hyperlink w:anchor="__RefHeading___Toc430_3962850034">
            <w:r>
              <w:rPr>
                <w:rStyle w:val="IndexLink"/>
              </w:rPr>
              <w:t>The fate of the original molds</w:t>
              <w:tab/>
              <w:t>7</w:t>
            </w:r>
          </w:hyperlink>
        </w:p>
        <w:p>
          <w:pPr>
            <w:pStyle w:val="Contents2"/>
            <w:tabs>
              <w:tab w:val="clear" w:pos="9355"/>
              <w:tab w:val="right" w:pos="9638" w:leader="dot"/>
            </w:tabs>
            <w:rPr/>
          </w:pPr>
          <w:hyperlink w:anchor="__RefHeading___Toc949_1155462304">
            <w:r>
              <w:rPr>
                <w:rStyle w:val="IndexLink"/>
              </w:rPr>
              <w:t>The lightweight cast in Vernal</w:t>
              <w:tab/>
              <w:t>10</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hyperlink>
          <w:hyperlink w:anchor="__RefHeading___Toc418_3962850034">
            <w:r>
              <w:rPr>
                <w:rStyle w:val="IndexLink"/>
                <w:i/>
                <w:iCs/>
              </w:rPr>
              <w:t>Diplodocus</w:t>
            </w:r>
          </w:hyperlink>
          <w:hyperlink w:anchor="__RefHeading___Toc418_3962850034">
            <w:r>
              <w:rPr>
                <w:rStyle w:val="IndexLink"/>
              </w:rPr>
              <w:tab/>
              <w:t>12</w:t>
            </w:r>
          </w:hyperlink>
        </w:p>
        <w:p>
          <w:pPr>
            <w:pStyle w:val="Contents2"/>
            <w:tabs>
              <w:tab w:val="clear" w:pos="9355"/>
              <w:tab w:val="right" w:pos="9638" w:leader="dot"/>
            </w:tabs>
            <w:rPr/>
          </w:pPr>
          <w:hyperlink w:anchor="__RefHeading___Toc953_1155462304">
            <w:r>
              <w:rPr>
                <w:rStyle w:val="IndexLink"/>
              </w:rPr>
              <w:t xml:space="preserve">The fate of the concrete </w:t>
            </w:r>
          </w:hyperlink>
          <w:hyperlink w:anchor="__RefHeading___Toc953_1155462304">
            <w:r>
              <w:rPr>
                <w:rStyle w:val="IndexLink"/>
                <w:i/>
                <w:iCs/>
              </w:rPr>
              <w:t>Diplodocus</w:t>
            </w:r>
          </w:hyperlink>
          <w:hyperlink w:anchor="__RefHeading___Toc953_1155462304">
            <w:r>
              <w:rPr>
                <w:rStyle w:val="IndexLink"/>
              </w:rPr>
              <w:tab/>
              <w:t>14</w:t>
            </w:r>
          </w:hyperlink>
        </w:p>
        <w:p>
          <w:pPr>
            <w:pStyle w:val="Contents2"/>
            <w:tabs>
              <w:tab w:val="clear" w:pos="9355"/>
              <w:tab w:val="right" w:pos="9638" w:leader="dot"/>
            </w:tabs>
            <w:rPr/>
          </w:pPr>
          <w:hyperlink w:anchor="__RefHeading___Toc3005_1175089729">
            <w:r>
              <w:rPr>
                <w:rStyle w:val="IndexLink"/>
              </w:rPr>
              <w:t>The fate of the new molds</w:t>
              <w:tab/>
              <w:t>15</w:t>
            </w:r>
          </w:hyperlink>
        </w:p>
        <w:p>
          <w:pPr>
            <w:pStyle w:val="Contents1"/>
            <w:rPr/>
          </w:pPr>
          <w:hyperlink w:anchor="__RefHeading___Toc3401_68767826">
            <w:r>
              <w:rPr>
                <w:rStyle w:val="IndexLink"/>
              </w:rPr>
              <w:t>Discussion</w:t>
              <w:tab/>
              <w:t>15</w:t>
            </w:r>
          </w:hyperlink>
        </w:p>
        <w:p>
          <w:pPr>
            <w:pStyle w:val="Contents1"/>
            <w:rPr/>
          </w:pPr>
          <w:hyperlink w:anchor="__RefHeading___Toc3529_2542618767">
            <w:r>
              <w:rPr>
                <w:rStyle w:val="IndexLink"/>
              </w:rPr>
              <w:t>Acknowledgements</w:t>
              <w:tab/>
              <w:t>16</w:t>
            </w:r>
          </w:hyperlink>
        </w:p>
        <w:p>
          <w:pPr>
            <w:pStyle w:val="Contents1"/>
            <w:rPr/>
          </w:pPr>
          <w:hyperlink w:anchor="__RefHeading___Toc3405_68767826">
            <w:r>
              <w:rPr>
                <w:rStyle w:val="IndexLink"/>
              </w:rPr>
              <w:t>References</w:t>
              <w:tab/>
              <w:t>18</w:t>
            </w:r>
          </w:hyperlink>
        </w:p>
        <w:p>
          <w:pPr>
            <w:pStyle w:val="Contents1"/>
            <w:rPr/>
          </w:pPr>
          <w:hyperlink w:anchor="__RefHeading___Toc3407_68767826">
            <w:r>
              <w:rPr>
                <w:rStyle w:val="IndexLink"/>
              </w:rPr>
              <w:t>Figure Captions</w:t>
              <w:tab/>
              <w:t>23</w:t>
            </w:r>
          </w:hyperlink>
        </w:p>
        <w:p>
          <w:pPr>
            <w:pStyle w:val="Contents1"/>
            <w:rPr/>
          </w:pPr>
          <w:hyperlink w:anchor="__RefHeading___Toc4426_1817233446">
            <w:r>
              <w:rPr>
                <w:rStyle w:val="IndexLink"/>
              </w:rPr>
              <w:t>Tables</w:t>
              <w:tab/>
              <w:t>25</w:t>
            </w:r>
          </w:hyperlink>
        </w:p>
        <w:p>
          <w:pPr>
            <w:pStyle w:val="Heading1"/>
            <w:rPr/>
          </w:pPr>
          <w:bookmarkStart w:id="0" w:name="__RefHeading___Toc3809_2856925443"/>
          <w:bookmarkEnd w:id="0"/>
          <w:r>
            <w:rPr/>
            <w:t>Introduction</w:t>
          </w:r>
          <w:r>
            <w:rPr/>
            <w:fldChar w:fldCharType="end"/>
          </w:r>
        </w:p>
      </w:sdtContent>
    </w:sdt>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1). As summarised by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2" w:name="__RefHeading___Toc5349_68767826"/>
      <w:bookmarkEnd w:id="2"/>
      <w:r>
        <w:rPr/>
        <w:t>Institutional abbreviations</w:t>
      </w:r>
    </w:p>
    <w:p>
      <w:pPr>
        <w:pStyle w:val="TextBody"/>
        <w:numPr>
          <w:ilvl w:val="0"/>
          <w:numId w:val="4"/>
        </w:numPr>
        <w:rPr/>
      </w:pPr>
      <w:r>
        <w:rPr/>
        <w:t>AMNH — American Museum of Natural History, New York, New York, USA.</w:t>
      </w:r>
    </w:p>
    <w:p>
      <w:pPr>
        <w:pStyle w:val="TextBody"/>
        <w:numPr>
          <w:ilvl w:val="0"/>
          <w:numId w:val="4"/>
        </w:numPr>
        <w:rPr/>
      </w:pPr>
      <w:r>
        <w:rPr/>
        <w:t>CM — Carnegie Museum of Natural History, Pittsburgh, Pennsylvania, USA.</w:t>
      </w:r>
    </w:p>
    <w:p>
      <w:pPr>
        <w:pStyle w:val="TextBody"/>
        <w:numPr>
          <w:ilvl w:val="0"/>
          <w:numId w:val="4"/>
        </w:numPr>
        <w:rPr/>
      </w:pPr>
      <w:r>
        <w:rPr/>
        <w:t>CMNH — Cleveland Museum of Natural History, Cleveland, Ohio, USA.</w:t>
      </w:r>
    </w:p>
    <w:p>
      <w:pPr>
        <w:pStyle w:val="TextBody"/>
        <w:numPr>
          <w:ilvl w:val="0"/>
          <w:numId w:val="4"/>
        </w:numPr>
        <w:rPr/>
      </w:pPr>
      <w:r>
        <w:rPr/>
        <w:t>HMNS — Houston Museum of Nature and Science, Houston, Texas, USA.</w:t>
      </w:r>
    </w:p>
    <w:p>
      <w:pPr>
        <w:pStyle w:val="TextBody"/>
        <w:numPr>
          <w:ilvl w:val="0"/>
          <w:numId w:val="4"/>
        </w:numPr>
        <w:rPr/>
      </w:pPr>
      <w:r>
        <w:rPr/>
        <w:t>MOSI — Museum of Science and Industry, Tampa, Florida, USA.</w:t>
      </w:r>
    </w:p>
    <w:p>
      <w:pPr>
        <w:pStyle w:val="Heading1"/>
        <w:numPr>
          <w:ilvl w:val="0"/>
          <w:numId w:val="2"/>
        </w:numPr>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rPr/>
      </w:pPr>
      <w:r>
        <w:rPr/>
        <w:t xml:space="preserve">As related by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was designated the holotype of the new species </w:t>
      </w:r>
      <w:r>
        <w:rPr>
          <w:i/>
          <w:iCs/>
        </w:rPr>
        <w:t>Apatosaurus louisae</w:t>
      </w:r>
      <w:r>
        <w:rPr/>
        <w:t xml:space="preserve"> (Holland 1915, Gilmore 1936). The </w:t>
      </w:r>
      <w:r>
        <w:rPr>
          <w:i/>
          <w:iCs/>
        </w:rPr>
        <w:t>Diplodocus</w:t>
      </w:r>
      <w:r>
        <w:rPr/>
        <w:t xml:space="preserve"> skeleton, known by the rather inelegant nickname “Dippy”, has been moved and modified several times in the years since its initial mounting, most recently in a major redesign of the Carnegie Museum in 2005–2007.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King Edward VII of England asked Carnegie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Holland’s chief fossil preparator Arthur Coggeshall oversaw the creation of a set of plaster molds by a crew of Italian plasterers led by Serafino Agostini. The molds corresponded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replica, Holland and his chief preparator Arthur S. Coggleshall travelled to each recipient country to supervise the mounting of the casts.</w:t>
      </w:r>
    </w:p>
    <w:p>
      <w:pPr>
        <w:pStyle w:val="TextBody"/>
        <w:rPr/>
      </w:pPr>
      <w:r>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When he died in 1919, not only had the two remaining skeletons not been donated, the museum was left relatively impoverished.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pPr>
      <w:r>
        <w:rPr/>
        <w:t>As Harvey (1991) and Carpenter (2018) explain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groups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(1971), the genesis of the Field House lay with Arthur G. Nord, supervisor of the Ashley National Forest, one of those who was concerned that the fossil wealth of the Vernal area was being stripped by museums outside the locality. Realising the importance of tourism to Utah, he recommended that a museum could position Vernal as a gateway to the state on U.S. Highway 40 (Kirby 1998:2). The creation of a museum in Vernal was formally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(Anonymous 1969). A museum committee was then formed to advocate for a local museum (Anonymous 1943). A state senate bill approving the museum was passed in 1945, and the next year Governor Herbert B. Maw made $200,000 available to construct the museum building (Anonymous 1969). G. Ernest Untermann was appointed Director of the museum project, and his wife Billie — a capable scientist and administrator who became the first female naturalist at Dinosaur National Monument (Kirby 1998:2) — was the Staff Scientist.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26119_446257137"/>
      <w:bookmarkEnd w:id="7"/>
      <w:r>
        <w:rPr/>
        <w:t>The concrete cast in Vernal</w:t>
      </w:r>
    </w:p>
    <w:p>
      <w:pPr>
        <w:pStyle w:val="TextBody"/>
        <w:rPr/>
      </w:pPr>
      <w:r>
        <w:rPr/>
        <w:t>As noted above, Vernal native J. LeRoy Kay had gained his entry to palaeontology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The initial downsizing plan was soon scaled back to removing only the duplicate specimens. Among the materials to be disposed of were the plaster molds that had been used for the </w:t>
      </w:r>
      <w:r>
        <w:rPr>
          <w:i/>
          <w:iCs/>
        </w:rPr>
        <w:t>D</w:t>
      </w:r>
      <w:r>
        <w:rPr/>
        <w:t xml:space="preserve">. </w:t>
      </w:r>
      <w:r>
        <w:rPr>
          <w:i/>
          <w:iCs/>
        </w:rPr>
        <w:t>carnegii</w:t>
      </w:r>
      <w:r>
        <w:rPr/>
        <w:t xml:space="preserve"> casts. The molds were large and heavy, and some were damaged and coated with coal dust from the coal fired heating system. Kay, who was close to retirement and planned to move back to Vernal,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1971),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2).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a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fiberglass to protect them from the elements. The Buehner Company benefitted from its involvement with the casting, as they discovered in the course of the process that fiberglass made a better and cheaper adhesive than they had previously been using to repair Italian marble when it was broken in transit. The Field House also adopted fiberglass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fiberglass. The assembled bones were then laid out in the workshop to verify that everything was present and correct (Figure 3;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4A), then hind limbs, dorsal vertebrae, caudal and cervical vertebrae and skull (Figure 4B),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1959:367–368). The completed concrete skeleton weighed 8 tons (Anonymous, undated).</w:t>
      </w:r>
    </w:p>
    <w:p>
      <w:pPr>
        <w:pStyle w:val="TextBody"/>
        <w:rPr/>
      </w:pPr>
      <w:r>
        <w:rPr/>
        <w:t>The completed outdoor cast was dedicated on 8 June during the Utah State Lions Club convention at Vernal (Anonymous, undated), in a ceremony attended by J. LeRoy Kay, Arthur G. Nord and G. Ernest Untermann (Anonymous 1957) — not on 6 June as reported by Untermann and Untermann (1971). The work had taken about a year and a half, from early 1956, and cost only $10,000 in total (about $105,449 in 2022 money) — almost all of it in salary. The cast stood for 32 years (Figure 5). It was repainted on 22 June 1967 (Figure 6) in what was likely a periodic event (Anonymous 1967).</w:t>
      </w:r>
    </w:p>
    <w:p>
      <w:pPr>
        <w:pStyle w:val="Heading2"/>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were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w:t>
      </w:r>
      <w:r>
        <w:rPr>
          <w:i/>
          <w:iCs/>
        </w:rPr>
        <w:t>Diplodocus</w:t>
      </w:r>
      <w:r>
        <w:rPr/>
        <w:t xml:space="preserve"> on the lawn of the Utah Field House is the eleventh replica to be cast from the molds […] Does anyone wish to cast the twelfth?</w:t>
      </w:r>
    </w:p>
    <w:p>
      <w:pPr>
        <w:pStyle w:val="TextBody"/>
        <w:rPr/>
      </w:pPr>
      <w:r>
        <w:rPr/>
        <w:t xml:space="preserve">From here, though, the story becomes uncertain and accounts are contradictory. Sassaman (1988) reported that “the molds finally fell apart because of old age soon after it [the concrete </w:t>
      </w:r>
      <w:r>
        <w:rPr>
          <w:i/>
          <w:iCs/>
        </w:rPr>
        <w:t>Diplodocus</w:t>
      </w:r>
      <w:r>
        <w:rPr/>
        <w:t>] was made”. Similarly, Ilja Nieuwland (pers. comm., 2022) says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w:t>
      </w:r>
      <w:r>
        <w:rPr/>
        <w:t>however. A</w:t>
      </w:r>
      <w:r>
        <w:rPr/>
        <w:t xml:space="preserve">s shown by a 1960 report in the </w:t>
      </w:r>
      <w:r>
        <w:rPr>
          <w:i/>
          <w:iCs/>
        </w:rPr>
        <w:t>Vernal Express</w:t>
      </w:r>
      <w:r>
        <w:rPr/>
        <w:t xml:space="preserve"> newspaper (Anonymous 1960a; Figure 7; see also Carr and Hansen 2005), in the middle of July 1960, the molds were collected by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But was such a cast ever created? Reports in the </w:t>
      </w:r>
      <w:r>
        <w:rPr>
          <w:i/>
          <w:iCs/>
        </w:rPr>
        <w:t>Rocky Mount Evening Telegram</w:t>
      </w:r>
      <w:r>
        <w:rPr/>
        <w:t xml:space="preserve"> from April to July 1960 (Williams 1960, Bell 1960a, Bell 1960b, Anonymous 1960b) enthusiastically announce and discuss the impeding arrival, and the later articles say that by 7 July museum board president Harold Minges had left for Utah to collect to molds. Anonymous (1960</w:t>
      </w:r>
      <w:r>
        <w:rPr/>
        <w:t>a</w:t>
      </w:r>
      <w:r>
        <w:rPr/>
        <w:t xml:space="preserve">) confirmed that the molds were collected on or around 14 July. </w:t>
      </w:r>
      <w:r>
        <w:rPr/>
        <w:t>But as Rea (2001:210) reported, “from Vernal the molds kept travelling — first, to the Rocky Mount Children’s Museum in Rocky Mount, North Carolina, although a cast was never made there”.</w:t>
      </w:r>
    </w:p>
    <w:p>
      <w:pPr>
        <w:pStyle w:val="TextBody"/>
        <w:rPr/>
      </w:pPr>
      <w:r>
        <w:rPr/>
        <w:t xml:space="preserve">At first, there was some excitement in Rocky Mount. </w:t>
      </w:r>
      <w:r>
        <w:rPr/>
        <w:t xml:space="preserve">Mae Woods Bell, who had been the museum director since its creation in 1951 (Anonymous 1962d) made </w:t>
      </w:r>
      <w:r>
        <w:rPr/>
        <w:t xml:space="preserve">presentations </w:t>
      </w:r>
      <w:r>
        <w:rPr/>
        <w:t xml:space="preserve">about the dinosaur project </w:t>
      </w:r>
      <w:r>
        <w:rPr/>
        <w:t xml:space="preserve">to the Rotary (Anonymous 1960c) and the Lions Club (Anonymous 1960d). On 26 August 1960, </w:t>
      </w:r>
      <w:r>
        <w:rPr>
          <w:b w:val="false"/>
          <w:bCs w:val="false"/>
        </w:rPr>
        <w:t xml:space="preserve">Bell reported that </w:t>
      </w:r>
      <w:r>
        <w:rPr/>
        <w:t xml:space="preserve">casting “will start soon” (Anonymous 1960d), but </w:t>
      </w:r>
      <w:r>
        <w:rPr/>
        <w:t xml:space="preserve">evidently </w:t>
      </w:r>
      <w:r>
        <w:rPr/>
        <w:t xml:space="preserve">that work </w:t>
      </w:r>
      <w:r>
        <w:rPr/>
        <w:t xml:space="preserve">was significantly delayed as nearly a year later on 11 June 1961 the museum reported that “work will begin here Monday on a replica of a pre-historic dinosaur that will eventually tower 21 feet in Sunset Park […] the project will consume many months before the animal will be erected on a frame in the park” (Anonymous 1961a). Already by this point the organization and state of molds was of concern as “Several months will be involved classifying and preparing molds for casting” (Anonymous 1961a). An invitation was now issued to local citizens who wished to volunteer for the work, and they began to work on Monday and Tuesday evenings (Anonymous 1961a) </w:t>
      </w:r>
      <w:r>
        <w:rPr/>
        <w:t>in a warehouse provided by Minges (Anonymous 1962d)</w:t>
      </w:r>
      <w:r>
        <w:rPr/>
        <w:t xml:space="preserve">, although the Tuesday sessions were soon halted due to the hot weather (Anonymous 1961b). The suspension of Tuesday sessions may have been intended as a temporary measure but by 28 September “The dinosaur project [was] progressing steadily, with museum personnel, trustees and volunteers working each Monday night” </w:t>
      </w:r>
      <w:r>
        <w:rPr/>
        <w:t>(Anonymous 1961c)</w:t>
      </w:r>
      <w:r>
        <w:rPr/>
        <w:t>. On 10 October, Bell told the Junior Woman’s Club that “the work of the dinosaur was progressing nicely” (</w:t>
      </w:r>
      <w:r>
        <w:rPr/>
        <w:t>Anonymous 1961</w:t>
      </w:r>
      <w:r>
        <w:rPr/>
        <w:t>d</w:t>
      </w:r>
      <w:r>
        <w:rPr/>
        <w:t xml:space="preserve">), </w:t>
      </w:r>
      <w:r>
        <w:rPr/>
        <w:t xml:space="preserve">and on 9 January 1962, Harold Minges told the museum’s annual meeting that the dinosaur was “rapidly beng brought back to life by Museum members” (Anonymous 1962a). </w:t>
      </w:r>
      <w:r>
        <w:rPr>
          <w:shd w:fill="FFFF00" w:val="clear"/>
        </w:rPr>
        <w:t>XXX note no citations of Anonymous 1962b, c, Anonymous 1964c.</w:t>
      </w:r>
      <w:r>
        <w:rPr/>
        <w:t xml:space="preserve"> On 20 February, the Rocky Mountain Evening Telegraph reported, presumably with Bell’s authority, that “during the year prospects are bright for the Museum’s ‘big’ project to be completed”. This optimism was to prove misplaced, however: nearly two years later on 8 January 1964 new Museum president Ted P. Williamson called for “completion of the dinosaur project […] which they hope to have on display during the year” (Anonymous 1964a); on 8 December that year, Bell told trustees that “work is continuing on the dinosaur project” (Anonymous 1964c). Still the work lingered on, and as of 23 March 1966 John Thompson and Harold Minges were listed as co-chairmen of the Museum’s Dinosaur Committee (Anonymous 1966). The last mention of the project in the Telegram is in response to a question from “E.E.A” published on 3 March 1968, “What happened to the giant concrete dinosaur project  at Sunset Park?” (Anonymous 1968). “There is no positive answer concerning the future of this project”, runs the reply. Minges is quoted as saying “The project was delayed for several years for one reason or another. The molds now are stored in the old Avalon Airport buil</w:t>
      </w:r>
      <w:r>
        <w:rPr/>
        <w:t>d</w:t>
      </w:r>
      <w:r>
        <w:rPr/>
        <w:t xml:space="preserve">ing on NC 97 East. We expect to resume work on the project in the spring.” </w:t>
      </w:r>
      <w:r>
        <w:rPr/>
        <w:t>(It is unclear whether the Avalon Airport building is the warehouse mentioned in some of the earlier reports.) It seems then, that some casts were probably made from the molds, but the project petered out. The remaining materials may even still exist in the old Avalon Airport building, if it is still standing and can be located.</w:t>
      </w:r>
    </w:p>
    <w:p>
      <w:pPr>
        <w:pStyle w:val="TextBody"/>
        <w:rPr/>
      </w:pPr>
      <w:r>
        <w:rPr/>
      </w:r>
    </w:p>
    <w:p>
      <w:pPr>
        <w:pStyle w:val="TextBody"/>
        <w:rPr/>
      </w:pPr>
      <w:r>
        <w:rPr/>
        <w:t>XXX compare with predicted time to erect skeleton!</w:t>
      </w:r>
    </w:p>
    <w:p>
      <w:pPr>
        <w:pStyle w:val="TextBody"/>
        <w:rPr/>
      </w:pPr>
      <w:r>
        <w:rPr/>
      </w:r>
    </w:p>
    <w:p>
      <w:pPr>
        <w:pStyle w:val="TextBody"/>
        <w:rPr/>
      </w:pPr>
      <w:r>
        <w:rPr/>
        <w:t>XXX DO WE WANT THIS?</w:t>
      </w:r>
      <w:r>
        <w:rPr/>
        <w:t xml:space="preserv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 </w:t>
      </w:r>
    </w:p>
    <w:p>
      <w:pPr>
        <w:pStyle w:val="TextBody"/>
        <w:rPr/>
      </w:pPr>
      <w:r>
        <w:rPr/>
      </w:r>
    </w:p>
    <w:p>
      <w:pPr>
        <w:pStyle w:val="TextBody"/>
        <w:rPr/>
      </w:pPr>
      <w:r>
        <w:rPr/>
      </w:r>
    </w:p>
    <w:p>
      <w:pPr>
        <w:pStyle w:val="TextBody"/>
        <w:rPr/>
      </w:pPr>
      <w:r>
        <w:rPr/>
        <w:t xml:space="preserve">Hurricane Floyd devastated Rocky Mount in 1999, with flooding from the Tar River destroying the original Children's Museum along with all its exhibits and records (Leigh White, pers. comm., 2022), so no records survive that could confirm </w:t>
      </w:r>
      <w:r>
        <w:rPr/>
        <w:t xml:space="preserve">the eventual outcome, if any, of the </w:t>
      </w:r>
      <w:r>
        <w:rPr>
          <w:i/>
          <w:iCs/>
        </w:rPr>
        <w:t>Diplodocus</w:t>
      </w:r>
      <w:r>
        <w:rPr/>
        <w:t xml:space="preserve"> project</w:t>
      </w:r>
      <w:r>
        <w:rPr/>
        <w:t xml:space="preserve">. The museum was located next door to a municipal water treatment facility that also flooded and released unknown chemicals, so museum property that might have otherwise been salvageable in that area was deemed contaminated and had to be destroyed. If </w:t>
      </w:r>
      <w:r>
        <w:rPr/>
        <w:t xml:space="preserve">any </w:t>
      </w:r>
      <w:r>
        <w:rPr/>
        <w:t xml:space="preserve">molds </w:t>
      </w:r>
      <w:r>
        <w:rPr/>
        <w:t xml:space="preserve">or casts </w:t>
      </w:r>
      <w:r>
        <w:rPr/>
        <w:t>were in storage at the Children’s Museum at this time, then this was likely the end of their story.</w:t>
      </w:r>
    </w:p>
    <w:p>
      <w:pPr>
        <w:pStyle w:val="TextBody"/>
        <w:rPr/>
      </w:pPr>
      <w:r>
        <w:rPr/>
        <w:t xml:space="preserve">The Children’s Museum was re-established at the newly built Imperial Centre, where it still resides, but no trace exists there of molds or casts of </w:t>
      </w:r>
      <w:r>
        <w:rPr>
          <w:i/>
          <w:iCs/>
        </w:rPr>
        <w:t>Diplodocus</w:t>
      </w:r>
      <w:r>
        <w:rPr/>
        <w:t xml:space="preserve">. Corroborating the hypothesis that no cast was ever made, most staff who worked at the museum in the 1980s at its old location do not recall any such cast (Leigh White, pers. comm., 2022). Potentially contradicting this,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when the collection was destroyed. It is possible that the </w:t>
      </w:r>
      <w:r>
        <w:rPr>
          <w:i/>
          <w:iCs/>
        </w:rPr>
        <w:t>Diplodocus</w:t>
      </w:r>
      <w:r>
        <w:rPr/>
        <w:t xml:space="preserve"> specimens that Hicks remembers on display were not casts of the Carnegie mount, but other specimens that were given to the Children’s Museum by LeRoy Kay from the Carnegie Museum (Bell 1906a).</w:t>
      </w:r>
    </w:p>
    <w:p>
      <w:pPr>
        <w:pStyle w:val="TextBody"/>
        <w:rPr/>
      </w:pPr>
      <w:r>
        <w:rPr/>
        <w:t xml:space="preserve">Whether or not a cast was made at Rocky Mount, it is possible that this was not the end for the molds. Williams (1960) had written that “the local museum plans to pass the molds on to the next group that makes satisfactory arrangements to acquire them […] Already two inquiries have come to the Children’s Museum asking ‘Who has them next?’”. Rea (2001:210) claims that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 Due to the loss of the Rocky Mount Children’s Museum records, we cannot verify that they ever shipped the molds to Houston; and we have not been able to obtain information from the Houston Museum. Brian Curtice (pers. comm., 2022) reports that he was in Houston in 1995 and did not see the molds in the collection, nor hear of their ever having been there. In the absence of evidence that the molds ever made it to Houston, it seems at least equally likely that the missing bones in HMNS 175 were cast and supplied by Dinolab, using the second-generation molds described blow, and that Rea (2001) misreported this.</w:t>
      </w:r>
    </w:p>
    <w:p>
      <w:pPr>
        <w:pStyle w:val="TextBody"/>
        <w:rPr/>
      </w:pPr>
      <w:r>
        <w:rPr/>
        <w:t>As recently as 1988, Rolfe (1988) wrote on behalf of the Royal Museum of Scotland, “At present I am exploring the possibility of re-using the Carnegie Museum, Pittsburgh moulds, although there is considerable doubt about whether they are up to the job, after so much previous use”. Sadly, his letter does not mention their then-current whereabouts.</w:t>
      </w:r>
    </w:p>
    <w:p>
      <w:pPr>
        <w:pStyle w:val="TextBody"/>
        <w:rPr/>
      </w:pPr>
      <w:r>
        <w:rPr/>
        <w:t>In an unpublished manuscript, 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Infuriatingly, the question marks are in the original. Since both Langston and Madsen are now deceased, there is no way to discover on which of the molds’ journeys Langston thought they were lost or destroyed. It is unlikely, at least, that Langston had in mind their initial journey from Vernal to Rocky Mount. Kirby (1998:4) wrote that “Somewhere along the line, as the story goes, the molds received from the Carnegie had been shipped to a school down south and never arrived. So they were lost”. Since Rocky mount is about 2000 miles east (not south) of Vernal, it might seem that “a school down south” could not have referred, in a Utah publication, to a museum out east. On the same basis, the Houston museum would not seem an especially likely candidate for this designation, being 1300 miles southeast of Vernal. However, “down South” in the USA does not necessarily refer to geography, but to “the South”, a region composed mostly of states that were Confederate during the civil war — a designation that includes both North Carolina and Texas.</w:t>
      </w:r>
    </w:p>
    <w:p>
      <w:pPr>
        <w:pStyle w:val="TextBody"/>
        <w:rPr/>
      </w:pPr>
      <w:r>
        <w:rPr/>
        <w:t>Yet another possibility is described by David S. Berman (pers. comm., 2022), relating a personal communication from John S. McIntosh. In this version, a person who had obtained the molds for the use of a public museum — most likely Harold Minges for the Rocky Mount Children’s Museum — became embroiled in a dispute with the museum administrators and sequestered the molds in a barn. There they remained for some time until the rubber straps that held them together the molds constituting each element perished, and the 600 pieces that made up the molds became hopelessly jumbled. Re-associating the pieces would have been an enormous job, as some of the more complex vertebrae were made from 20–30 molds (Nieuwland 2019:63), and it was probably never done. Most likely, the dissociated pieces of the molds were discarded some time later.</w:t>
      </w:r>
    </w:p>
    <w:p>
      <w:pPr>
        <w:pStyle w:val="TextBody"/>
        <w:rPr/>
      </w:pPr>
      <w:r>
        <w:rPr/>
        <w:t>Putting it all together, there is no way that all the reports cited here can be accurate. Among the more likely scenarios is that the molds were successfully shipped to Rocky Mount in July 1960 (Anonymous 1960a, Anonymous 1960b) but found to be unusable (Rea 2001:210, Moore 2014:234-235) and left in storage. At some later point there were shipped to a school in a southern state (Kirby 1998:4) but did not arrive (</w:t>
      </w:r>
      <w:bookmarkStart w:id="9" w:name="__DdeLink__7953_1817233446"/>
      <w:r>
        <w:rPr/>
        <w:t>Langston</w:t>
      </w:r>
      <w:bookmarkEnd w:id="9"/>
      <w:r>
        <w:rPr/>
        <w:t xml:space="preserve"> cited in Madsen 1990:4). It is possible that this happened in late 1988 or early 1989, between Rolfe’s (1988) letter that expressed an interest in using the molds and Langston’s personal communication to Madsen in 1989. But since this scenario is assembled from fragments, it is perhaps more parsimonious to assume that McIntosh’s account via Berman is correct. At any rate, where the molds are now, we can only speculate. As Madsen (1990:4) concluded, “It is truly a mystery that an estimated 3–6 tons of plaster molds could simply vanish!”</w:t>
      </w:r>
    </w:p>
    <w:p>
      <w:pPr>
        <w:pStyle w:val="Heading2"/>
        <w:rPr/>
      </w:pPr>
      <w:bookmarkStart w:id="10" w:name="__RefHeading___Toc949_1155462304"/>
      <w:bookmarkEnd w:id="10"/>
      <w:r>
        <w:rPr/>
        <w:t>The lightweight cast in Vernal</w:t>
      </w:r>
    </w:p>
    <w:p>
      <w:pPr>
        <w:pStyle w:val="TextBody"/>
        <w:rPr/>
      </w:pPr>
      <w:r>
        <w:rPr/>
        <w:t xml:space="preserve">By the late 1980s, the concrete </w:t>
      </w:r>
      <w:r>
        <w:rPr>
          <w:i/>
          <w:iCs/>
        </w:rPr>
        <w:t>Diplodocus</w:t>
      </w:r>
      <w:r>
        <w:rPr/>
        <w:t xml:space="preserve"> was inevitably deteriorating (Madsen 1990:3).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Superintendant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Feburary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or making new molds” (Bilbey 1989), and a letter from Royal Museum of Scotland’s Keeper of Geology William D. I. Rolfe (1988) to LuRae Caldwell of the Field House makes it clear that the Las Vegas plans had been abandoned by 24 October 1988. The Las Vegas Museum was to go bankrupt and close in 1990 (Michele Jones, pers. comm., 2022), so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Madsen’s reservations were evidently overcome,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formalised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w:t>
      </w:r>
    </w:p>
    <w:p>
      <w:pPr>
        <w:pStyle w:val="TextBody"/>
        <w:rPr/>
      </w:pPr>
      <w:r>
        <w:rPr/>
        <w:t xml:space="preserve">Dinolab intended to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then diplodocid (McIntosh 1981)” (Madsen 1990:3–4). The question mark is unfortunately in the original. Madsen is in error here, as McIntosh (1981) says that the right pes of the Carnegie mount is taken from CM 94, a referred specimen of </w:t>
      </w:r>
      <w:r>
        <w:rPr>
          <w:i/>
          <w:iCs/>
        </w:rPr>
        <w:t>Diplodocus carnegii</w:t>
      </w:r>
      <w:r>
        <w:rPr/>
        <w:t>,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all of the first three digits; by contrast, the cast in the Museum für Naturkunde Berlin has revised forefeet with fewer phalanges and unguals only on digit I (Taylor, pers. obs.). It may be that the Berlin mount still uses the originally supplied camarasaurid pes casts, but has re-posed them and discarded the excess phalanges and unguals.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30 June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It was intended that the new cast would be assembled that winter (Anonymous 1991), but delays were to prevent the public from seeing it for nearly three further years. By 23 June 1993, only the limbs and torso had been erected (Anonymous 1993). In June 1994, the mount of the new cast was finally completed, with its head and neck looming over the admission counter (Figure 8). It was unveiled as part of the Dinosaur Days festival on Saturday 18th June (Morrison 1994), having been “pieced together by maintenance employee, Danny Anderson, who worked on him over a two year period only as time allowed.” Anderson had been working at the museum on and off since 1988, and since 1991 had been full time. One of the questions he had been asked when interviewing for the job in mid-October 1991 was whether he could assemble the </w:t>
      </w:r>
      <w:r>
        <w:rPr>
          <w:i/>
          <w:iCs/>
        </w:rPr>
        <w:t>Diplodocus</w:t>
      </w:r>
      <w:r>
        <w:rPr/>
        <w:t xml:space="preserve"> (Kirby 1998:3). Evidently he had the necessary skills and ingenuity, but other responsibilities meant that very nearly five years were to elapse after the removal of the outdoor concrete </w:t>
      </w:r>
      <w:r>
        <w:rPr>
          <w:i/>
          <w:iCs/>
        </w:rPr>
        <w:t>Diplodocus</w:t>
      </w:r>
      <w:r>
        <w:rPr/>
        <w:t xml:space="preserve"> before the unveiling of its indoor WEP successor.</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22 May 2004. The WEP cast was taken down and remounted in a more dynamic pose in the entry hall of the new museum, where it remains to this day (Figure 9).</w:t>
      </w:r>
    </w:p>
    <w:p>
      <w:pPr>
        <w:pStyle w:val="Heading2"/>
        <w:rPr/>
      </w:pPr>
      <w:bookmarkStart w:id="11" w:name="__RefHeading___Toc418_3962850034"/>
      <w:bookmarkEnd w:id="11"/>
      <w:r>
        <w:rPr/>
        <w:t xml:space="preserve">New casts made from molds of the concrete </w:t>
      </w:r>
      <w:r>
        <w:rPr>
          <w:i/>
          <w:iCs/>
        </w:rPr>
        <w:t>Diplodocus</w:t>
      </w:r>
    </w:p>
    <w:p>
      <w:pPr>
        <w:pStyle w:val="TextBody"/>
        <w:rPr/>
      </w:pPr>
      <w:bookmarkStart w:id="12" w:name="__DdeLink__11815_2767870788"/>
      <w:r>
        <w:rPr/>
        <w:t xml:space="preserve">In subsequent years, further casts were made from the Dinolab molds: Table 1 summarises information from Madsen’s (1993) report to the Carnegie Museum and the Field House, together with additional information from Dinolab, kindly provided by Lisa and Chris Madsen. Of particular interest is that Dinolab are claimed to have supplied a cast to Odawara in the Kanagawa prefecture of Japan in January 1990 before delivering to the Field House. This must be considered doubtful, as the work, begun with the collection of the concrete cast only in June 1989, could scarcely have progressed far enough to deliver a complete cast only seven months later: a date of January 1992 (nine months </w:t>
      </w:r>
      <w:r>
        <w:rPr>
          <w:i/>
          <w:iCs/>
        </w:rPr>
        <w:t>after</w:t>
      </w:r>
      <w:r>
        <w:rPr>
          <w:i w:val="false"/>
          <w:iCs w:val="false"/>
        </w:rPr>
        <w:t xml:space="preserve"> the Vernal delivery</w:t>
      </w:r>
      <w:r>
        <w:rPr/>
        <w:t>) is more likely.</w:t>
      </w:r>
    </w:p>
    <w:p>
      <w:pPr>
        <w:pStyle w:val="TextBody"/>
        <w:rPr/>
      </w:pPr>
      <w:r>
        <w:rPr/>
        <w:t xml:space="preserve">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an earlier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(Michele Jones, pers. comm., 2022).</w:t>
      </w:r>
      <w:bookmarkEnd w:id="12"/>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(MOSI) in Tampa, Florida (David Letasi, pers. comm., 2022). When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active, defensive pose of the quadrupedal skeleton; Phil Currie on the dynamics of the whiplash tail; and Kent Stevens on the mechanics of the rearing posture. Sauropod specialist John S. McIntosh reviewed the resulting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(Figure 10).</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surviving part of the museum. The quadrupedal mount was sold to a company that in turn sold it on to RCI who had mounted it in the first place. At present, this cast is on display at the Cleveland Museum of Natural History as a filler while RCI mount their </w:t>
      </w:r>
      <w:r>
        <w:rPr>
          <w:i/>
          <w:iCs/>
        </w:rPr>
        <w:t>Haplocanthosaurus</w:t>
      </w:r>
      <w:r>
        <w:rPr/>
        <w:t xml:space="preserve"> skeleton, and its intended destination after that is Quinte Natural History Museum, Trenton, Ontario (Peter May, pers. comm., 2022) — only a hundred yards or so from RCI’s workshop.</w:t>
      </w:r>
    </w:p>
    <w:p>
      <w:pPr>
        <w:pStyle w:val="TextBody"/>
        <w:rPr/>
      </w:pPr>
      <w:r>
        <w:rPr/>
        <w:t xml:space="preserve">In addition to providing complete casts of </w:t>
      </w:r>
      <w:r>
        <w:rPr>
          <w:i/>
          <w:iCs/>
        </w:rPr>
        <w:t>Diplodocus carnegii</w:t>
      </w:r>
      <w:r>
        <w:rPr/>
        <w:t xml:space="preserve">, Dinolab negotiated the right to use the Vernal molds to create individual elements for various museums (Madsen et al. 1989:1). In 1989 or 1990, sauropod expert Jack S. McIntosh helped to broker a deal between Dinolab and RCI whereby Dinolab created casts of the </w:t>
      </w:r>
      <w:r>
        <w:rPr>
          <w:i/>
          <w:iCs/>
        </w:rPr>
        <w:t>Diplodocus</w:t>
      </w:r>
      <w:r>
        <w:rPr/>
        <w:t xml:space="preserve"> elements needed to make up the missing parts of the AMNH </w:t>
      </w:r>
      <w:r>
        <w:rPr>
          <w:i/>
          <w:iCs/>
        </w:rPr>
        <w:t>Barosaurus</w:t>
      </w:r>
      <w:r>
        <w:rPr/>
        <w:t xml:space="preserve"> mount. See Gordy (1991), Norell et al. (1991), Dingus (1996:20–29), Taylor et al (in prep, b).</w:t>
      </w:r>
    </w:p>
    <w:p>
      <w:pPr>
        <w:pStyle w:val="Heading2"/>
        <w:rPr/>
      </w:pPr>
      <w:bookmarkStart w:id="13" w:name="__RefHeading___Toc953_1155462304"/>
      <w:bookmarkEnd w:id="13"/>
      <w:r>
        <w:rPr/>
        <w:t xml:space="preserve">The fate of the concrete </w:t>
      </w:r>
      <w:r>
        <w:rPr>
          <w:i/>
          <w:iCs/>
        </w:rPr>
        <w:t>Diplodocus</w:t>
      </w:r>
    </w:p>
    <w:p>
      <w:pPr>
        <w:pStyle w:val="TextBody"/>
        <w:rPr/>
      </w:pPr>
      <w:r>
        <w:rPr/>
        <w:t>The contract that the Utah Field House negotiated with Dinolab (Madsen et al. 1989) stipulated that the 1957 concrete cast, having been repaired, would be returned to the Field House. But when this cast was returned to them some time before the end of June 1991, it was not a simple matter to re-mount it outside the museum, as the scaffolding on which was mounted had been cut in order to take it down (Anonymous 1991). As a result, the concrete cast was never remounted at the Field House, and was instead stored in the building crawl space.</w:t>
      </w:r>
      <w:ins w:id="0" w:author="Mike Taylor" w:date="2022-10-24T23:13:55Z">
        <w:r>
          <w:rPr/>
          <w:t xml:space="preserve"> The femora, separated from the rest of the skeleton, were left outside the building in a children</w:t>
        </w:r>
      </w:ins>
      <w:ins w:id="1" w:author="Mike Taylor" w:date="2022-10-24T23:13:55Z">
        <w:r>
          <w:rPr>
            <w:rFonts w:eastAsia="Songti SC" w:cs="Arial Unicode MS"/>
            <w:color w:val="auto"/>
            <w:kern w:val="2"/>
            <w:sz w:val="24"/>
            <w:szCs w:val="24"/>
            <w:lang w:val="en-GB" w:eastAsia="zh-CN" w:bidi="hi-IN"/>
          </w:rPr>
          <w:t xml:space="preserve">’s </w:t>
        </w:r>
      </w:ins>
      <w:ins w:id="2" w:author="Mike Taylor" w:date="2022-10-24T23:13:55Z">
        <w:r>
          <w:rPr/>
          <w:t xml:space="preserve">sandbox </w:t>
        </w:r>
      </w:ins>
      <w:ins w:id="3" w:author="Mike Taylor" w:date="2022-10-24T23:13:55Z">
        <w:r>
          <w:rPr>
            <w:rFonts w:eastAsia="Songti SC" w:cs="Arial Unicode MS"/>
            <w:color w:val="auto"/>
            <w:kern w:val="2"/>
            <w:sz w:val="24"/>
            <w:szCs w:val="24"/>
            <w:lang w:val="en-GB" w:eastAsia="zh-CN" w:bidi="hi-IN"/>
          </w:rPr>
          <w:t>“</w:t>
        </w:r>
      </w:ins>
      <w:ins w:id="4" w:author="Mike Taylor" w:date="2022-10-24T23:13:55Z">
        <w:r>
          <w:rPr/>
          <w:t>dino dig</w:t>
        </w:r>
      </w:ins>
      <w:ins w:id="5" w:author="Mike Taylor" w:date="2022-10-24T23:13:55Z">
        <w:r>
          <w:rPr>
            <w:rFonts w:eastAsia="Songti SC" w:cs="Arial Unicode MS"/>
            <w:color w:val="auto"/>
            <w:kern w:val="2"/>
            <w:sz w:val="24"/>
            <w:szCs w:val="24"/>
            <w:lang w:val="en-GB" w:eastAsia="zh-CN" w:bidi="hi-IN"/>
          </w:rPr>
          <w:t xml:space="preserve">” </w:t>
        </w:r>
      </w:ins>
      <w:ins w:id="6" w:author="Mike Taylor" w:date="2022-10-24T23:13:55Z">
        <w:r>
          <w:rPr/>
          <w:t>area,</w:t>
        </w:r>
      </w:ins>
    </w:p>
    <w:p>
      <w:pPr>
        <w:pStyle w:val="TextBody"/>
        <w:rPr/>
      </w:pPr>
      <w:r>
        <w:rPr/>
        <w:t xml:space="preserve">As noted above, the Field House Museum moved to a new purpose-built building on 22 May 2004, and the WEP cast was remounted in the entry hall. The concrete cast was left behind in the old building. In 2012, however, all Field House materials had to be removed from the old building, as Uintah County had traded the old building for the new, and the agreement for the Museum to continue using the old building had expired. </w:t>
      </w:r>
      <w:ins w:id="7" w:author="Mike Taylor" w:date="2022-10-25T17:11:00Z">
        <w:r>
          <w:rPr/>
          <w:t>A company was hired by the city to demolish what remained, including built-in exhibit cases, the front counter, etc. One of the demolition company workers, assuming the femora were abandoned, took them home. Ken Carpenter suggested posting a news article requesting the return of the bones, and the workman came forward with them enabling them to be reunited with the rest of the concrete skeleton.</w:t>
        </w:r>
      </w:ins>
    </w:p>
    <w:p>
      <w:pPr>
        <w:pStyle w:val="TextBody"/>
        <w:rPr/>
      </w:pPr>
      <w:r>
        <w:rPr/>
        <w:t>At this time, the concrete casts were squeezed into collections at the new building, but there was not room for them to be properly stored and they had to sit in the middle of the repository aisle. It was apparent that, despite the concrete cast’s important role in the Field House’s history, it was no longer wanted.</w:t>
      </w:r>
    </w:p>
    <w:p>
      <w:pPr>
        <w:pStyle w:val="TextBody"/>
        <w:rPr/>
      </w:pPr>
      <w:r>
        <w:rPr/>
        <w:t xml:space="preserve">Since the cast it was state property and so had to go to a state repository, Steve Sroka, the museum palaeontologist, contacted Ken Carpenter to ask whether Utah State University (USU) could take it. On 29 April 2013, Utah Division of Parks and Recreation signed a memorandum of understanding with the Utah State University Eastern Prehistoric Museum in Price, agreeing that the concrete cast would go on an effectively permanent loan (99 years, renewable) to the Prehistoric Museum. The cast was collected on </w:t>
      </w:r>
      <w:bookmarkStart w:id="14" w:name="__DdeLink__991_3219802390"/>
      <w:r>
        <w:rPr/>
        <w:t xml:space="preserve">8 April </w:t>
      </w:r>
      <w:bookmarkEnd w:id="14"/>
      <w:r>
        <w:rPr/>
        <w:t>2013 (Figure 11A). It then sat in Carpenter’s garage for a year (Figure 11B), until Carrie Herbel, a preparator at the Prehistoric Museum obtained a $5000 grant from the Utah Museums Association for the repair of the casts.</w:t>
      </w:r>
    </w:p>
    <w:p>
      <w:pPr>
        <w:pStyle w:val="TextBody"/>
        <w:rPr/>
      </w:pPr>
      <w:r>
        <w:rPr/>
        <w:t>Given that the casts had been in storage since Dinolab’s 1989–1990 repairs, when they undertook to “Stabilize, restore and seal the concrete casts of the individual bones”, it is surprising that the Prehistoric Museum found every bone to be damaged. It took Herbel nine months to sandblast the old paint off (Figure 12) and repair the broken and missing pieces using a concrete patch used to repair airport runways.</w:t>
      </w:r>
    </w:p>
    <w:p>
      <w:pPr>
        <w:pStyle w:val="TextBody"/>
        <w:rPr/>
      </w:pPr>
      <w:r>
        <w:rPr/>
        <w:t xml:space="preserve">It was never an option to mount the repaired concrete </w:t>
      </w:r>
      <w:r>
        <w:rPr>
          <w:i/>
          <w:iCs/>
        </w:rPr>
        <w:t>Diplodocus</w:t>
      </w:r>
      <w:r>
        <w:rPr/>
        <w:t xml:space="preserve"> outside the Prehistoric Museum’s current building: there is no space on the south side because that is where the city holds outdoor events, and no room on the north side because of the parking lot and overhead main power line for downtown businesses. The intention was that the cast would be mounted outside a new museum in Price, which was then in the planning and fund-raising stage. But due to funding difficulties this museum was never built and the land that had been donated for the museum was returned to the donor. In light of these developments, Carpenter discussed with the USU chancellor the possibility of temporarily mounting the skeleton on campus. However, this idea was not implemented since Carpenter feared that mounting and later dismantling the cast to move it to a new museum would damage it. So it currently sits in the basement storage area on the </w:t>
      </w:r>
      <w:bookmarkStart w:id="15" w:name="__DdeLink__701_1817233446"/>
      <w:r>
        <w:rPr/>
        <w:t>Utah State University Eastern campus</w:t>
      </w:r>
      <w:bookmarkEnd w:id="15"/>
      <w:r>
        <w:rPr/>
        <w:t>, waiting for a new museum to be built where it can be displayed outdoors.</w:t>
      </w:r>
    </w:p>
    <w:p>
      <w:pPr>
        <w:pStyle w:val="Heading2"/>
        <w:rPr/>
      </w:pPr>
      <w:bookmarkStart w:id="16" w:name="__RefHeading___Toc3005_1175089729"/>
      <w:bookmarkEnd w:id="16"/>
      <w:r>
        <w:rPr/>
        <w:t>The fate of the new molds</w:t>
      </w:r>
    </w:p>
    <w:p>
      <w:pPr>
        <w:pStyle w:val="TextBody"/>
        <w:rPr/>
      </w:pPr>
      <w:r>
        <w:rPr>
          <w:b w:val="false"/>
          <w:bCs w:val="false"/>
        </w:rPr>
        <w:t xml:space="preserve">Dinolab began to wind down after its </w:t>
      </w:r>
      <w:r>
        <w:rPr/>
        <w:t xml:space="preserve">proprietor Jim Madsen died in 2009 at age 77 (Anonymous 2007). In 2019, Dinolab’s storage building in Ogden, Utah, was scheduled for demolition, so new homes had to be found for the stored materials. The </w:t>
      </w:r>
      <w:r>
        <w:rPr>
          <w:i/>
          <w:iCs/>
        </w:rPr>
        <w:t>Diplodocus</w:t>
      </w:r>
      <w:r>
        <w:rPr/>
        <w:t xml:space="preserve"> molds that had been taken from the concrete cast were moved to Research Casting Internation (RCI) in Trenton, Ontario, Canada. Here, they were kept in storage for Dinolab: some of them still in good condition, some in rough shape. At the time of wring, these are probably the only Carnegie </w:t>
      </w:r>
      <w:r>
        <w:rPr>
          <w:i/>
          <w:iCs/>
        </w:rPr>
        <w:t>Diplodocus</w:t>
      </w:r>
      <w:r>
        <w:rPr/>
        <w:t xml:space="preserve"> molds in the world.</w:t>
      </w:r>
    </w:p>
    <w:p>
      <w:pPr>
        <w:pStyle w:val="Heading1"/>
        <w:numPr>
          <w:ilvl w:val="0"/>
          <w:numId w:val="3"/>
        </w:numPr>
        <w:rPr/>
      </w:pPr>
      <w:bookmarkStart w:id="17" w:name="__RefHeading___Toc3401_68767826"/>
      <w:bookmarkEnd w:id="17"/>
      <w:r>
        <w:rPr/>
        <w:t>Discussion</w:t>
      </w:r>
    </w:p>
    <w:p>
      <w:pPr>
        <w:pStyle w:val="TextBody"/>
        <w:numPr>
          <w:ilvl w:val="0"/>
          <w:numId w:val="3"/>
        </w:numPr>
        <w:rPr/>
      </w:pPr>
      <w:r>
        <w:rPr/>
        <w:t xml:space="preserve">Projects like the casting and mounting of the concrete </w:t>
      </w:r>
      <w:r>
        <w:rPr>
          <w:i/>
          <w:iCs/>
        </w:rPr>
        <w:t>Diplodocus</w:t>
      </w:r>
      <w:r>
        <w:rPr/>
        <w:t xml:space="preserve">, the subsequent remolding from the elements of the mount, and the creation of the second-generation WEP cast are historically and scientifically significant, and it is important to document how and when they were done. We are fortunate in the present case to have Untermann’s (1959) account of the initial casting in concrete as a basis; but subsequent to that point, as with so many dinosaur-mounting exercises, documentation has been lacking. It has been a lengthy and painstaking process to reconstruct the history, more than six decades after some of the events, largely by reference to contemporary newspaper reports, unpublished letters and memos, and personal recollections — many of them second hand. Even with our best efforts, though, frustrating gaps remain, not least the mysterious ultimate fate of the original Carnegie </w:t>
      </w:r>
      <w:r>
        <w:rPr>
          <w:i/>
          <w:iCs/>
        </w:rPr>
        <w:t>Diplodocus</w:t>
      </w:r>
      <w:r>
        <w:rPr/>
        <w:t xml:space="preserve"> molds. We urge museums undertaking large-scale projects to ensure that they are formally documented as they are taking place, and to publish an account of their work – as for example the Museum für Naturkunde Berlin did with the 2007 remounting of </w:t>
      </w:r>
      <w:r>
        <w:rPr>
          <w:i/>
          <w:iCs/>
        </w:rPr>
        <w:t>Giraffatitan</w:t>
      </w:r>
      <w:r>
        <w:rPr/>
        <w:t xml:space="preserve"> (Remes et al. 2011).</w:t>
      </w:r>
    </w:p>
    <w:p>
      <w:pPr>
        <w:pStyle w:val="TextBody"/>
        <w:numPr>
          <w:ilvl w:val="0"/>
          <w:numId w:val="3"/>
        </w:numPr>
        <w:rPr/>
      </w:pPr>
      <w:r>
        <w:rPr/>
        <w:t xml:space="preserve">Working on this project has been a rather melancholy task at times. It is noticeable that projects which begin with excitement often end rather forlornly, or trail away into nothing. The original Carnegie molds yielded the </w:t>
      </w:r>
      <w:r>
        <w:rPr>
          <w:i/>
          <w:iCs/>
        </w:rPr>
        <w:t>Diplodocus</w:t>
      </w:r>
      <w:r>
        <w:rPr/>
        <w:t xml:space="preserve"> replicas received with such excitement in London, Paris and other great cities. But they were lost, stolen or destroyed some time between 1960 and 1990 — more than that, we cannot say. The replica </w:t>
      </w:r>
      <w:r>
        <w:rPr>
          <w:i/>
          <w:iCs/>
        </w:rPr>
        <w:t>Diplodocus</w:t>
      </w:r>
      <w:r>
        <w:rPr/>
        <w:t xml:space="preserve"> that was to have been erected in Sunset Park by the Rocky Mount Children’s Museum was either destroyed by Hurricane Floyd, or more likely never made at all. The concrete </w:t>
      </w:r>
      <w:r>
        <w:rPr>
          <w:i/>
          <w:iCs/>
        </w:rPr>
        <w:t>Diplodocus</w:t>
      </w:r>
      <w:r>
        <w:rPr/>
        <w:t xml:space="preserve"> that was such a celebrity in Vernal for three decades, which was supposed to have been repaired by Dinolab and returned to Vernal for remounting was never re-erected, but shipped to a garage, thence to another museum’s basement, where it awaits the building of yet a third museum. The new molds that were made from the concrete casts seem to have sat unloved in the Dinolab building for some years until it was torn down, and now they lurk in RCI’s storage. The double-</w:t>
      </w:r>
      <w:r>
        <w:rPr>
          <w:i/>
          <w:iCs/>
        </w:rPr>
        <w:t>Diplodocus</w:t>
      </w:r>
      <w:r>
        <w:rPr/>
        <w:t xml:space="preserve"> display at MOSI was taken down as part of a retrenchment program to save the museum money, and one of the skeletons sold back to the company that had mounted it.</w:t>
      </w:r>
    </w:p>
    <w:p>
      <w:pPr>
        <w:pStyle w:val="TextBody"/>
        <w:numPr>
          <w:ilvl w:val="0"/>
          <w:numId w:val="3"/>
        </w:numPr>
        <w:rPr/>
      </w:pPr>
      <w:r>
        <w:rPr/>
        <w:t xml:space="preserve">Even the </w:t>
      </w:r>
      <w:r>
        <w:rPr>
          <w:i/>
          <w:iCs/>
        </w:rPr>
        <w:t>Diplodocus</w:t>
      </w:r>
      <w:r>
        <w:rPr/>
        <w:t xml:space="preserve"> that started it all — the cast presented by Andrew Carnegie to the British Museum (Natural History) on 12 May 1905 — seems to be ambling towards an undistinguished fate. Having been the centrepiece of the museum’s main hall for nearly four decades, it was removed in 2017 to make more space for corporate events (Steerpike 2015; Nieuwland 2019:260). The cast was sent on a tour of the UK, but now that this has concluded, “in all likelihood the plaster dinosaur will meet an inglorious end in the basement of the museum” (Nieuwland 2019:4). However, while the fate of the London cast stands as a stern warning of what can happen when commercial considerations supersede a museum’s actual mission, there remains hope for the concrete </w:t>
      </w:r>
      <w:r>
        <w:rPr>
          <w:i/>
          <w:iCs/>
        </w:rPr>
        <w:t>Diplodocus</w:t>
      </w:r>
      <w:r>
        <w:rPr/>
        <w:t xml:space="preserve"> of Vernal, which may yet become the concrete </w:t>
      </w:r>
      <w:r>
        <w:rPr>
          <w:i/>
          <w:iCs/>
        </w:rPr>
        <w:t>Diplodocus</w:t>
      </w:r>
      <w:r>
        <w:rPr/>
        <w:t xml:space="preserve"> of Price.</w:t>
      </w:r>
    </w:p>
    <w:p>
      <w:pPr>
        <w:pStyle w:val="Heading1"/>
        <w:numPr>
          <w:ilvl w:val="0"/>
          <w:numId w:val="3"/>
        </w:numPr>
        <w:rPr/>
      </w:pPr>
      <w:bookmarkStart w:id="18" w:name="__RefHeading___Toc3529_2542618767"/>
      <w:bookmarkEnd w:id="18"/>
      <w:r>
        <w:rPr/>
        <w:t>Acknowledgements</w:t>
      </w:r>
    </w:p>
    <w:p>
      <w:pPr>
        <w:pStyle w:val="TextBody"/>
        <w:rPr/>
      </w:pPr>
      <w:r>
        <w:rPr/>
        <w:t>No paper is ever written without the help of other people, and that is especially true of this one. In tracing the multiple intertwining strands of history that make up this story, we have been helped repeatedly by people going far beyond the call of duty to dig out old information for us. In the isolating times in which we live, with political polarization and the ongoing Covid pandemic, it is deeply gratifying to feel part of a global network of people working generously together. We thank the following people, with apologies to anyone we have overlooked.</w:t>
      </w:r>
    </w:p>
    <w:p>
      <w:pPr>
        <w:pStyle w:val="TextBody"/>
        <w:rPr/>
      </w:pPr>
      <w:r>
        <w:rPr/>
        <w:t xml:space="preserve">Elaine Carr (Uintah County Regional History Center) furnished high-resolution images from the History Center archives and helped us to trace the history associated with some of them. Leigh White (Rocky Mount Children’s Museum) provided invaluable information about the museum. Michele Jones (Las Vegas Natural History Museum) explained to us the various natural history museums that have existed in Las Vegas. David Letasi (formerly of the Museum of Science and Industry, Tampa, Florida) provided extensive background on the double </w:t>
      </w:r>
      <w:r>
        <w:rPr>
          <w:i/>
          <w:iCs/>
        </w:rPr>
        <w:t>Diplodocus</w:t>
      </w:r>
      <w:r>
        <w:rPr/>
        <w:t xml:space="preserve"> mount at MOSI. Chris Madsen (Dinolab, inc.) identified his father’s unpublished manuscript (Madsen 1990); he and his sister Lisa Madsen (Dinolab, inc.) gave permission to list Dinolab’s records of </w:t>
      </w:r>
      <w:r>
        <w:rPr>
          <w:i/>
          <w:iCs/>
        </w:rPr>
        <w:t>Diplodocus</w:t>
      </w:r>
      <w:r>
        <w:rPr/>
        <w:t xml:space="preserve"> casts created from the Vernal molds. Josh Lively (Prehistorical Museum, Price, Utah) helped us to recover old photographs taken by Ken Carpenter. Chet Gottfried provided photographs of the Field House’s WEP cast, in its original location, for Figure 8. Mathew J. Wedel provided the photograph of the Field House’s current </w:t>
      </w:r>
      <w:r>
        <w:rPr>
          <w:i/>
          <w:iCs/>
        </w:rPr>
        <w:t>Diplodocus</w:t>
      </w:r>
      <w:r>
        <w:rPr/>
        <w:t xml:space="preserve"> mount for Figure 9. Anthony Pelaez (Museum of Science &amp; Industry, Tampa, FL) provided the photograph of the double-</w:t>
      </w:r>
      <w:r>
        <w:rPr>
          <w:i/>
          <w:iCs/>
        </w:rPr>
        <w:t>Diplodocus</w:t>
      </w:r>
      <w:r>
        <w:rPr/>
        <w:t xml:space="preserve"> mount for Figure 10. Andy Farke (Raymond M. Alf Museum of Paleontology) and John Foster (Utah Field House of Natural History) went to great lengths attempting to help us track down references. </w:t>
      </w:r>
      <w:r>
        <w:rPr/>
        <w:t xml:space="preserve">Traci Thompson (Braswell Memorial Library) helped us to track down newpaper articles on the Rocky Mount </w:t>
      </w:r>
      <w:r>
        <w:rPr>
          <w:i/>
          <w:iCs/>
        </w:rPr>
        <w:t>Diplodocus</w:t>
      </w:r>
      <w:r>
        <w:rPr/>
        <w:t xml:space="preserve"> project.</w:t>
      </w:r>
      <w:r>
        <w:rPr/>
        <w:t xml:space="preserve"> David S. Berman (late of the Carnegie Museum), Brian Curtice (Fossil Crates), Peter May (Research Casting International) and Ilja Nieuwland (Huygens Institute, Royal Netherlands Academy of Arts and Sciences) allowed us to cite personal communications.</w:t>
      </w:r>
    </w:p>
    <w:p>
      <w:pPr>
        <w:pStyle w:val="TextBody"/>
        <w:rPr/>
      </w:pPr>
      <w:r>
        <w:rPr/>
        <w:t xml:space="preserve">Online digital archives were invaluable in preparing this paper. Among those we used are the following. The J. Willard Marriott Digital Library of the University of Utah at </w:t>
      </w:r>
      <w:hyperlink r:id="rId3">
        <w:r>
          <w:rPr>
            <w:rStyle w:val="InternetLink"/>
          </w:rPr>
          <w:t>https://collections.lib.utah.edu/</w:t>
        </w:r>
      </w:hyperlink>
      <w:r>
        <w:rPr/>
        <w:t xml:space="preserve"> has many photographs of the concrete </w:t>
      </w:r>
      <w:r>
        <w:rPr>
          <w:i/>
          <w:iCs/>
        </w:rPr>
        <w:t>Diplodocus</w:t>
      </w:r>
      <w:r>
        <w:rPr/>
        <w:t xml:space="preserve">, and the metadata associated with the photographs contains information that was useful to us. Utah Digital Newspapers at </w:t>
      </w:r>
      <w:hyperlink r:id="rId4">
        <w:r>
          <w:rPr>
            <w:rStyle w:val="InternetLink"/>
          </w:rPr>
          <w:t>https://newspapers.lib.utah.edu/search</w:t>
        </w:r>
      </w:hyperlink>
      <w:r>
        <w:rPr/>
        <w:t xml:space="preserve"> contains exhaustive archives of the </w:t>
      </w:r>
      <w:r>
        <w:rPr>
          <w:i/>
          <w:iCs/>
        </w:rPr>
        <w:t>Vernal Express</w:t>
      </w:r>
      <w:r>
        <w:rPr/>
        <w:t xml:space="preserve"> which were crucial in reconstructing the story. Newspapers Archive at </w:t>
      </w:r>
      <w:hyperlink r:id="rId5">
        <w:r>
          <w:rPr>
            <w:rStyle w:val="InternetLink"/>
          </w:rPr>
          <w:t>https://newspaperarchive.com/</w:t>
        </w:r>
      </w:hyperlink>
      <w:r>
        <w:rPr/>
        <w:t xml:space="preserve"> includes coverage of the </w:t>
      </w:r>
      <w:r>
        <w:rPr>
          <w:i/>
          <w:iCs/>
        </w:rPr>
        <w:t>Rocky Mount Evening Telegram</w:t>
      </w:r>
      <w:r>
        <w:rPr/>
        <w:t>.</w:t>
      </w:r>
    </w:p>
    <w:p>
      <w:pPr>
        <w:pStyle w:val="TextBody"/>
        <w:rPr/>
      </w:pPr>
      <w:r>
        <w:rPr/>
        <w:t xml:space="preserve">Our dearest hope for this paper is that it inspires someone to create a Dungeons and Dragons module in which the Concrete </w:t>
      </w:r>
      <w:r>
        <w:rPr>
          <w:i/>
          <w:iCs/>
        </w:rPr>
        <w:t>Diplodocus</w:t>
      </w:r>
      <w:r>
        <w:rPr/>
        <w:t xml:space="preserve"> of Vernal is a quest artefact with magical powers.</w:t>
      </w:r>
      <w:r>
        <w:br w:type="page"/>
      </w:r>
    </w:p>
    <w:p>
      <w:pPr>
        <w:pStyle w:val="Heading1"/>
        <w:numPr>
          <w:ilvl w:val="0"/>
          <w:numId w:val="3"/>
        </w:numPr>
        <w:rPr/>
      </w:pPr>
      <w:bookmarkStart w:id="19" w:name="__RefHeading___Toc3405_68767826"/>
      <w:bookmarkEnd w:id="19"/>
      <w:r>
        <w:rPr/>
        <w:t>References</w:t>
      </w:r>
    </w:p>
    <w:p>
      <w:pPr>
        <w:pStyle w:val="Reference"/>
        <w:rPr/>
      </w:pPr>
      <w:r>
        <w:rPr/>
        <w:t xml:space="preserve">Anonymous. Undated. “Dippy” the Traffic Stopper. (Journal, volume and pagination not known.) </w:t>
      </w:r>
      <w:r>
        <w:rPr>
          <w:shd w:fill="FFFF00" w:val="clear"/>
        </w:rPr>
        <w:t>XXX find this reference.</w:t>
      </w:r>
    </w:p>
    <w:p>
      <w:pPr>
        <w:pStyle w:val="Reference"/>
        <w:rPr/>
      </w:pPr>
      <w:r>
        <w:rPr/>
        <w:t xml:space="preserve">Anonymous. 1934. Construction of Museum at Vernal urged. </w:t>
      </w:r>
      <w:r>
        <w:rPr>
          <w:i/>
          <w:iCs/>
        </w:rPr>
        <w:t>Vernal Express</w:t>
      </w:r>
      <w:r>
        <w:rPr/>
        <w:t xml:space="preserve">, 27 September 1934, page 1. </w:t>
      </w:r>
      <w:hyperlink r:id="rId6">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7">
        <w:r>
          <w:rPr>
            <w:rStyle w:val="InternetLink"/>
          </w:rPr>
          <w:t>https://newspapers.lib.utah.edu/details?id=21493559</w:t>
        </w:r>
      </w:hyperlink>
    </w:p>
    <w:p>
      <w:pPr>
        <w:pStyle w:val="Reference"/>
        <w:rPr/>
      </w:pPr>
      <w:r>
        <w:rPr/>
        <w:t xml:space="preserve">Anonymous. 1957. Dinosaur ceremonies climax 3-year project. </w:t>
      </w:r>
      <w:r>
        <w:rPr>
          <w:i/>
          <w:iCs/>
        </w:rPr>
        <w:t>Vernal Express</w:t>
      </w:r>
      <w:r>
        <w:rPr/>
        <w:t xml:space="preserve">, 13 June 1957, page 1.  </w:t>
      </w:r>
      <w:hyperlink r:id="rId8">
        <w:r>
          <w:rPr>
            <w:rStyle w:val="InternetLink"/>
          </w:rPr>
          <w:t>https://newspapers.lib.utah.edu/details?id=21485044</w:t>
        </w:r>
      </w:hyperlink>
    </w:p>
    <w:p>
      <w:pPr>
        <w:pStyle w:val="Reference"/>
        <w:rPr/>
      </w:pPr>
      <w:r>
        <w:rPr/>
        <w:t xml:space="preserve">Anonymous. 1960a. Dinosaur molds take long ride to No. Carolina children’s home. </w:t>
      </w:r>
      <w:r>
        <w:rPr>
          <w:i/>
          <w:iCs/>
        </w:rPr>
        <w:t>Vernal Express</w:t>
      </w:r>
      <w:r>
        <w:rPr/>
        <w:t xml:space="preserve">, 14 July 1960, page 15. </w:t>
      </w:r>
      <w:hyperlink r:id="rId9">
        <w:r>
          <w:rPr>
            <w:rStyle w:val="InternetLink"/>
          </w:rPr>
          <w:t>https://newspapers.lib.utah.edu/ark:/87278/s6zk6w6s/21338221</w:t>
        </w:r>
      </w:hyperlink>
    </w:p>
    <w:p>
      <w:pPr>
        <w:pStyle w:val="FigureCaption"/>
        <w:rPr/>
      </w:pPr>
      <w:r>
        <w:rPr/>
        <w:t xml:space="preserve">Anonymous. 1960b. Something ‘big’ for a fact. </w:t>
      </w:r>
      <w:r>
        <w:rPr>
          <w:i/>
          <w:iCs/>
        </w:rPr>
        <w:t>Rocky Mount Evening Telegram</w:t>
      </w:r>
      <w:r>
        <w:rPr/>
        <w:t xml:space="preserve">, 8 July 1960, page 4A. </w:t>
      </w:r>
      <w:hyperlink r:id="rId10">
        <w:r>
          <w:rPr>
            <w:rStyle w:val="InternetLink"/>
          </w:rPr>
          <w:t>https://newspaperarchive.com/rocky-mount-evening-telegram-jul-08-1960-p-4/</w:t>
        </w:r>
      </w:hyperlink>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11">
        <w:r>
          <w:rPr>
            <w:rStyle w:val="InternetLink"/>
          </w:rPr>
          <w:t>https://newspapers.lib.utah.edu/ark:/87278/s6pk1vwz/21595150</w:t>
        </w:r>
      </w:hyperlink>
    </w:p>
    <w:p>
      <w:pPr>
        <w:pStyle w:val="Reference"/>
        <w:rPr/>
      </w:pPr>
      <w:r>
        <w:rPr/>
        <w:t xml:space="preserve">Anonymous. 1969. Early plans for Utah Field House started by Vernal Lions Club in 1934. </w:t>
      </w:r>
      <w:r>
        <w:rPr>
          <w:i/>
          <w:iCs/>
        </w:rPr>
        <w:t>Vernal Express</w:t>
      </w:r>
      <w:r>
        <w:rPr/>
        <w:t xml:space="preserve">, 24 April 1969, page 1B. </w:t>
      </w:r>
      <w:hyperlink r:id="rId12">
        <w:r>
          <w:rPr>
            <w:rStyle w:val="InternetLink"/>
          </w:rPr>
          <w:t>https://newspapers.lib.utah.edu/ark:/87278/s6515c19/21656624</w:t>
        </w:r>
      </w:hyperlink>
    </w:p>
    <w:p>
      <w:pPr>
        <w:pStyle w:val="Reference"/>
        <w:rPr/>
      </w:pPr>
      <w:hyperlink r:id="rId13">
        <w:r>
          <w:rPr>
            <w:rStyle w:val="NoCharacterStyle"/>
          </w:rPr>
          <w:t xml:space="preserve">Anonymous. 1991. Dippy returns as beast of new mold. </w:t>
        </w:r>
      </w:hyperlink>
      <w:r>
        <w:rPr>
          <w:i/>
          <w:iCs/>
        </w:rPr>
        <w:t>Vernal Express</w:t>
      </w:r>
      <w:r>
        <w:rPr/>
        <w:t xml:space="preserve">, 26 June 1991, page 1. </w:t>
      </w:r>
      <w:hyperlink r:id="rId14">
        <w:r>
          <w:rPr>
            <w:rStyle w:val="VisitedInternetLink"/>
          </w:rPr>
          <w:t>https://newspapers.lib.utah.edu/ark:/87278/s6rv4bxq/22646163</w:t>
        </w:r>
      </w:hyperlink>
    </w:p>
    <w:p>
      <w:pPr>
        <w:pStyle w:val="Reference"/>
        <w:rPr/>
      </w:pPr>
      <w:r>
        <w:rPr/>
        <w:t xml:space="preserve">Anonymous. 1993. “Dippy” the </w:t>
      </w:r>
      <w:r>
        <w:rPr>
          <w:i/>
          <w:iCs/>
        </w:rPr>
        <w:t>Diplodocus</w:t>
      </w:r>
      <w:r>
        <w:rPr/>
        <w:t xml:space="preserve"> is being reassembled. </w:t>
      </w:r>
      <w:r>
        <w:rPr>
          <w:i/>
          <w:iCs/>
        </w:rPr>
        <w:t>Vernal Express</w:t>
      </w:r>
      <w:r>
        <w:rPr/>
        <w:t xml:space="preserve">, 23 June 1993. </w:t>
      </w:r>
      <w:hyperlink r:id="rId15">
        <w:r>
          <w:rPr>
            <w:rStyle w:val="VisitedInternetLink"/>
          </w:rPr>
          <w:t>https://newspapers.lib.utah.edu/ark:/87278/s6b88zdc/22648688</w:t>
        </w:r>
      </w:hyperlink>
    </w:p>
    <w:p>
      <w:pPr>
        <w:pStyle w:val="Reference"/>
        <w:rPr/>
      </w:pPr>
      <w:r>
        <w:rPr/>
        <w:t xml:space="preserve">Anonymous. 2007. James Madsen Obituary. </w:t>
      </w:r>
      <w:hyperlink r:id="rId16">
        <w:r>
          <w:rPr>
            <w:rStyle w:val="InternetLink"/>
          </w:rPr>
          <w:t>https://www.legacy.com/us/obituaries/deseretnews/name/james-madsen-obituary?id=28417430</w:t>
        </w:r>
      </w:hyperlink>
      <w:r>
        <w:rPr/>
        <w:t xml:space="preserve">, archived at </w:t>
      </w:r>
      <w:hyperlink r:id="rId17">
        <w:r>
          <w:rPr>
            <w:rStyle w:val="InternetLink"/>
          </w:rPr>
          <w:t>https://web.archive.org/web/20220424032554/https://www.legacy.com/us/obituaries/deseretnews/name/james-madsen-obituary?id=28417430</w:t>
        </w:r>
      </w:hyperlink>
    </w:p>
    <w:p>
      <w:pPr>
        <w:pStyle w:val="Reference"/>
        <w:rPr/>
      </w:pPr>
      <w:r>
        <w:rPr/>
        <w:t xml:space="preserve">Bell, Mae. 1960a. Dinosaur’s coming here brings questions galore. </w:t>
      </w:r>
      <w:r>
        <w:rPr>
          <w:i/>
          <w:iCs/>
        </w:rPr>
        <w:t>Rocky Mount Evening Telegram</w:t>
      </w:r>
      <w:r>
        <w:rPr/>
        <w:t xml:space="preserve">, 14 May 1960, page 2. </w:t>
      </w:r>
      <w:hyperlink r:id="rId18">
        <w:r>
          <w:rPr>
            <w:rStyle w:val="InternetLink"/>
          </w:rPr>
          <w:t>https://newspaperarchive.com/rocky-mount-evening-telegram-may-14-1960-p-2/</w:t>
        </w:r>
      </w:hyperlink>
    </w:p>
    <w:p>
      <w:pPr>
        <w:pStyle w:val="Reference"/>
        <w:rPr/>
      </w:pPr>
      <w:r>
        <w:rPr/>
        <w:t xml:space="preserve">Bell, Mae. 1960b. ‘Dinosaur’ soon to arrive here. </w:t>
      </w:r>
      <w:r>
        <w:rPr>
          <w:i/>
          <w:iCs/>
        </w:rPr>
        <w:t>Rocky Mount Evening Telegram</w:t>
      </w:r>
      <w:r>
        <w:rPr/>
        <w:t xml:space="preserve">, 3 July 1960, page 3A. </w:t>
      </w:r>
      <w:hyperlink r:id="rId19">
        <w:r>
          <w:rPr>
            <w:rStyle w:val="InternetLink"/>
          </w:rPr>
          <w:t>https://newspaperarchive.com/rocky-mount-evening-telegram-jul-08-1960-p-8/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 xml:space="preserve">Carpenter, Kenneth, and Fred Hayes. 2013. Memorandum of understanding between the State of Utah Division of Parks and Recreation and Prehistoric Museum – Utah State University Eastern for loan of concrete </w:t>
      </w:r>
      <w:r>
        <w:rPr>
          <w:i/>
          <w:iCs/>
        </w:rPr>
        <w:t>Diplodocus</w:t>
      </w:r>
      <w:r>
        <w:rPr/>
        <w:t xml:space="preserve"> model.</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20">
        <w:r>
          <w:rPr>
            <w:rStyle w:val="InternetLink"/>
          </w:rPr>
          <w:t>https://collections.lib.utah.edu/details?id=1086142</w:t>
        </w:r>
      </w:hyperlink>
    </w:p>
    <w:p>
      <w:pPr>
        <w:pStyle w:val="Reference"/>
        <w:rPr/>
      </w:pPr>
      <w:bookmarkStart w:id="20" w:name="__DdeLink__11501_941453575"/>
      <w:r>
        <w:rPr/>
        <w:t>Contorno</w:t>
      </w:r>
      <w:bookmarkEnd w:id="20"/>
      <w:r>
        <w:rPr/>
        <w:t xml:space="preserve">, Steve. 2017. MOSI to close most of its building, IMAX to save money before move to downtown Tampa. </w:t>
      </w:r>
      <w:r>
        <w:rPr>
          <w:i/>
          <w:iCs/>
        </w:rPr>
        <w:t>Tampa Bay Times</w:t>
      </w:r>
      <w:r>
        <w:rPr/>
        <w:t xml:space="preserve">, 18 May 2017. </w:t>
      </w:r>
      <w:hyperlink r:id="rId21">
        <w:r>
          <w:rPr>
            <w:rStyle w:val="InternetLink"/>
          </w:rPr>
          <w:t>https://www.tampabay.com/news/business/tourism/mosi-to-close-part-of-its-building-to-save-money-before-move-to-downtown/2324358/</w:t>
        </w:r>
      </w:hyperlink>
      <w:r>
        <w:rPr/>
        <w:t xml:space="preserve">, archived at </w:t>
      </w:r>
      <w:hyperlink r:id="rId22">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w:t>
      </w:r>
      <w:r>
        <w:rPr>
          <w:b/>
          <w:bCs/>
        </w:rPr>
        <w:t>1999</w:t>
      </w:r>
      <w:r>
        <w:rPr/>
        <w:t>:12–18.</w:t>
      </w:r>
    </w:p>
    <w:p>
      <w:pPr>
        <w:pStyle w:val="Reference"/>
        <w:rPr/>
      </w:pPr>
      <w:r>
        <w:rPr/>
        <w:t xml:space="preserve">Gangewere, Robert Jay. 2011. </w:t>
      </w:r>
      <w:r>
        <w:rPr>
          <w:i/>
          <w:iCs/>
        </w:rPr>
        <w:t>Palace of Culture: Andrew Carnegie's Museums and Library in Pittsburgh</w:t>
      </w:r>
      <w:r>
        <w:rPr/>
        <w:t>. University of Pittsburgh Press, Pittsburgh, PA. 360 pages.</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1990.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1915. A new species of </w:t>
      </w:r>
      <w:r>
        <w:rPr>
          <w:i/>
          <w:iCs/>
        </w:rPr>
        <w:t>Apatosaurus</w:t>
      </w:r>
      <w:r>
        <w:rPr/>
        <w:t xml:space="preserve">. </w:t>
      </w:r>
      <w:r>
        <w:rPr>
          <w:i/>
          <w:iCs/>
        </w:rPr>
        <w:t>Annals of the Carnegie Museum</w:t>
      </w:r>
      <w:r>
        <w:rPr/>
        <w:t xml:space="preserve"> </w:t>
      </w:r>
      <w:r>
        <w:rPr>
          <w:b/>
          <w:bCs/>
        </w:rPr>
        <w:t>10</w:t>
      </w:r>
      <w:r>
        <w:rPr/>
        <w:t>:143–145.</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Kirby, Robert. 1998. Danny and the dinosaurs. </w:t>
      </w:r>
      <w:r>
        <w:rPr>
          <w:i/>
          <w:iCs/>
        </w:rPr>
        <w:t>Chamber Spirit</w:t>
      </w:r>
      <w:r>
        <w:rPr/>
        <w:t xml:space="preserve"> (newsletter of the Vernal area Chamber of Commerce) </w:t>
      </w:r>
      <w:r>
        <w:rPr>
          <w:b/>
          <w:bCs/>
        </w:rPr>
        <w:t>3(4)</w:t>
      </w:r>
      <w:hyperlink r:id="rId23">
        <w:r>
          <w:rPr>
            <w:rStyle w:val="NoCharacterStyle"/>
          </w:rPr>
          <w:t>:1–6.</w:t>
        </w:r>
      </w:hyperlink>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Memorandum to Howard W. Baker. 16 June 1955.</w:t>
      </w:r>
    </w:p>
    <w:p>
      <w:pPr>
        <w:pStyle w:val="Reference"/>
        <w:rPr/>
      </w:pPr>
      <w:r>
        <w:rPr/>
        <w:t>Lee, Ronald F. 1955b. Draft letter to M. Graham Netting. Draft date 16 June 1955.</w:t>
      </w:r>
    </w:p>
    <w:p>
      <w:pPr>
        <w:pStyle w:val="Reference"/>
        <w:rPr/>
      </w:pPr>
      <w:r>
        <w:rPr/>
        <w:t xml:space="preserve">Lewis, Marlene. 1977. G. Ernest Untermann papers, 1893–1975. Archives West for University of Utah Libraries, Special Collections. </w:t>
      </w:r>
      <w:hyperlink r:id="rId24">
        <w:r>
          <w:rPr>
            <w:rStyle w:val="InternetLink"/>
          </w:rPr>
          <w:t>https://archiveswest.orbiscascade.org/ark:/80444/xv38626</w:t>
        </w:r>
      </w:hyperlink>
      <w:r>
        <w:rPr/>
        <w:t xml:space="preserve">, archived at </w:t>
      </w:r>
      <w:hyperlink r:id="rId25">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Madsen, James H. 1993. Memorandum to Mary Dawson and Alden H. Hamblin. 29 January 1993.</w:t>
      </w:r>
    </w:p>
    <w:p>
      <w:pPr>
        <w:pStyle w:val="Reference"/>
        <w:rPr/>
      </w:pPr>
      <w:r>
        <w:rPr/>
        <w:t>Madsen, James H., James E. King, Jerry A. Miller, Alden H. Hamblin and Richard L. Barker. 1989. Agreement between Dinolab, inc., and the Utah Field House of Natural History State Park.</w:t>
      </w:r>
      <w:bookmarkStart w:id="21" w:name="__DdeLink__20580_446257137"/>
      <w:bookmarkEnd w:id="21"/>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26">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22" w:name="__DdeLink__16582_68767826"/>
      <w:r>
        <w:rPr/>
        <w:t>Nieuwland</w:t>
      </w:r>
      <w:bookmarkEnd w:id="22"/>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27">
        <w:r>
          <w:rPr>
            <w:rStyle w:val="InternetLink"/>
          </w:rPr>
          <w:t>http://hdl.handle.net/2246/6497</w:t>
        </w:r>
      </w:hyperlink>
    </w:p>
    <w:p>
      <w:pPr>
        <w:pStyle w:val="Reference"/>
        <w:rPr/>
      </w:pPr>
      <w:r>
        <w:rPr/>
        <w:t xml:space="preserve">Rea, Tom. 2001. </w:t>
      </w:r>
      <w:r>
        <w:rPr>
          <w:i/>
          <w:iCs/>
        </w:rPr>
        <w:t>Bone Wars: The Excavation and Celebrity of Andrew Carnegie’s Dinosaur</w:t>
      </w:r>
      <w:r>
        <w:rPr/>
        <w:t>. University of Pittsburgh Press, Pittsburgh, PA.</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r>
        <w:rPr/>
        <w:t>Rodeck, Hugo G. 1952. Letter to David Canfied. 2 July 1952.</w:t>
      </w:r>
    </w:p>
    <w:p>
      <w:pPr>
        <w:pStyle w:val="Reference"/>
        <w:rPr/>
      </w:pPr>
      <w:r>
        <w:rPr/>
        <w:t>Rolfe, William D. I. 1988. Letter to LuRae Caldwell. 24 October 1988.</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28">
        <w:r>
          <w:rPr>
            <w:rStyle w:val="VisitedInternetLink"/>
          </w:rPr>
          <w:t>https://wusfnews.wusf.usf.edu/news/2017-05-18/mosi-to-close-imax-other-exhibits-in-cost-saving-reconfiguration</w:t>
        </w:r>
      </w:hyperlink>
      <w:r>
        <w:rPr/>
        <w:t xml:space="preserve">, archived at </w:t>
      </w:r>
      <w:hyperlink r:id="rId29">
        <w:r>
          <w:rPr>
            <w:rStyle w:val="InternetLink"/>
          </w:rPr>
          <w:t>https://web.archive.org/web/20210507091810/https://wusfnews.wusf.usf.edu/news/2017-05-18/mosi-to-close-imax-other-exhibits-in-cost-saving-reconfiguration</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shd w:fill="FFFF00" w:val="clear"/>
        </w:rPr>
        <w:t>XXX replace with reference to preprint when available.</w:t>
      </w:r>
    </w:p>
    <w:p>
      <w:pPr>
        <w:pStyle w:val="Reference"/>
        <w:rPr/>
      </w:pPr>
      <w:r>
        <w:rPr/>
        <w:t xml:space="preserve">Taylor, Michael P., Peter May, Lowell Dingus and Eugene S. Gaffney. In prep, b. The skeletal reconstruction of </w:t>
      </w:r>
      <w:r>
        <w:rPr>
          <w:i/>
          <w:iCs/>
        </w:rPr>
        <w:t>Barosaurus lentus</w:t>
      </w:r>
      <w:r>
        <w:rPr/>
        <w:t xml:space="preserve"> in the American Museum of Natural History. </w:t>
      </w:r>
      <w:r>
        <w:rPr>
          <w:shd w:fill="FFFF00" w:val="clear"/>
        </w:rPr>
        <w:t>XXX replace with reference to preprint</w:t>
      </w:r>
      <w:bookmarkStart w:id="23" w:name="__DdeLink__3619_3219802390"/>
      <w:r>
        <w:rPr>
          <w:shd w:fill="FFFF00" w:val="clear"/>
        </w:rPr>
        <w:t xml:space="preserve"> when available</w:t>
      </w:r>
      <w:bookmarkEnd w:id="23"/>
      <w:r>
        <w:rPr>
          <w:shd w:fill="FFFF00" w:val="clear"/>
        </w:rPr>
        <w:t>.</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Vernal 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1971. Natural History State Museum. (Journal, volume and pagination not known: perhaps </w:t>
      </w:r>
      <w:r>
        <w:rPr>
          <w:i/>
          <w:iCs/>
        </w:rPr>
        <w:t>Utah Parks and Recreation newsletter</w:t>
      </w:r>
      <w:r>
        <w:rPr/>
        <w:t xml:space="preserve">). </w:t>
      </w:r>
      <w:r>
        <w:rPr>
          <w:shd w:fill="FFFF00" w:val="clear"/>
        </w:rPr>
        <w:t>XXX find this reference.</w:t>
      </w:r>
    </w:p>
    <w:p>
      <w:pPr>
        <w:pStyle w:val="Reference"/>
        <w:rPr/>
      </w:pPr>
      <w:r>
        <w:rPr/>
        <w:t xml:space="preserve">Williams, Oliver. Pre-historic dinosaur to tower over city; giant animal four times taller than man. </w:t>
      </w:r>
      <w:r>
        <w:rPr>
          <w:i/>
          <w:iCs/>
        </w:rPr>
        <w:t>Rocky Mount Evening Telegram</w:t>
      </w:r>
      <w:r>
        <w:rPr/>
        <w:t xml:space="preserve">, 24 April 1960, page 3B. </w:t>
      </w:r>
      <w:hyperlink r:id="rId30">
        <w:r>
          <w:rPr>
            <w:rStyle w:val="InternetLink"/>
          </w:rPr>
          <w:t>https://newspaperarchive.com/rocky-mount-evening-telegram-apr-24-1960-p-11/</w:t>
        </w:r>
      </w:hyperlink>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Reference"/>
        <w:rPr/>
      </w:pPr>
      <w:r>
        <w:rPr/>
      </w:r>
      <w:r>
        <w:br w:type="page"/>
      </w:r>
    </w:p>
    <w:p>
      <w:pPr>
        <w:pStyle w:val="Heading1"/>
        <w:numPr>
          <w:ilvl w:val="0"/>
          <w:numId w:val="3"/>
        </w:numPr>
        <w:rPr/>
      </w:pPr>
      <w:bookmarkStart w:id="24" w:name="__RefHeading___Toc3407_68767826"/>
      <w:bookmarkEnd w:id="24"/>
      <w:r>
        <w:rPr/>
        <w:t>Figure Captions</w:t>
      </w:r>
    </w:p>
    <w:p>
      <w:pPr>
        <w:pStyle w:val="FigureCaption"/>
        <w:rPr/>
      </w:pPr>
      <w:r>
        <w:rPr>
          <w:b/>
          <w:bCs/>
        </w:rPr>
        <w:t>Figure 1.</w:t>
      </w:r>
      <w:r>
        <w:rPr/>
        <w:t xml:space="preserve"> Mounted skeleton of </w:t>
      </w:r>
      <w:r>
        <w:rPr>
          <w:i/>
          <w:iCs/>
        </w:rPr>
        <w:t>Diplodocus carnegii</w:t>
      </w:r>
      <w:r>
        <w:rPr/>
        <w:t xml:space="preserve">: the original fossil material mounted in the public gallery of the Carnegie Museum. This mount consists primarily of the holotype specimen CM 84, augmented by elements from CM 94 and CM 307, plus casts and sculptures based on several other specimens. Skeleton in left anterolateral view, with </w:t>
      </w:r>
      <w:r>
        <w:rPr>
          <w:i/>
          <w:iCs/>
        </w:rPr>
        <w:t>Homo sapiens</w:t>
      </w:r>
      <w:r>
        <w:rPr/>
        <w:t xml:space="preserve"> Mathew J. Wedel for scale. Photograph by Michael P. Taylor.</w:t>
      </w:r>
    </w:p>
    <w:p>
      <w:pPr>
        <w:pStyle w:val="FigureCaption"/>
        <w:rPr/>
      </w:pPr>
      <w:r>
        <w:rPr>
          <w:b/>
          <w:bCs/>
        </w:rPr>
        <w:t>Figure 2.</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3.</w:t>
      </w:r>
      <w:r>
        <w:rPr/>
        <w:t xml:space="preserve"> Field House Museum Director G. Ernest Untermann (left), and his wife, Staff Scientist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4.</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anterodorsolateral view, probably taken from the roof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5.</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6.</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7.</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8.</w:t>
      </w:r>
      <w:r>
        <w:rPr/>
        <w:t xml:space="preserve"> The second-generation lightweight </w:t>
      </w:r>
      <w:r>
        <w:rPr>
          <w:i/>
          <w:iCs/>
        </w:rPr>
        <w:t>Diplodocus</w:t>
      </w:r>
      <w:r>
        <w:rPr/>
        <w:t xml:space="preserve"> cast as originally displayed at the old Field House building between 1994 and 2004.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9.</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10.</w:t>
      </w:r>
      <w:r>
        <w:rPr>
          <w:b w:val="false"/>
          <w:bCs w:val="false"/>
        </w:rPr>
        <w:t xml:space="preserve"> Double </w:t>
      </w:r>
      <w:r>
        <w:rPr>
          <w:b w:val="false"/>
          <w:bCs w:val="false"/>
          <w:i/>
          <w:iCs/>
        </w:rPr>
        <w:t>Diplodocus</w:t>
      </w:r>
      <w:r>
        <w:rPr>
          <w:b w:val="false"/>
          <w:bCs w:val="false"/>
        </w:rPr>
        <w:t xml:space="preserve"> mount at the Museum of Science and Industry (MOSI), Tampa, Florida. Both individuals are identical, having been cast from the molds made by Dinolab from the Concrete </w:t>
      </w:r>
      <w:r>
        <w:rPr>
          <w:b w:val="false"/>
          <w:bCs w:val="false"/>
          <w:i/>
          <w:iCs/>
        </w:rPr>
        <w:t>Diplodocus</w:t>
      </w:r>
      <w:r>
        <w:rPr>
          <w:b w:val="false"/>
          <w:bCs w:val="false"/>
        </w:rPr>
        <w:t xml:space="preserve"> of Vernal. Photograph by Anthony Pelaez, taken between 1997 and 2017.</w:t>
      </w:r>
    </w:p>
    <w:p>
      <w:pPr>
        <w:pStyle w:val="FigureCaption"/>
        <w:rPr/>
      </w:pPr>
      <w:r>
        <w:rPr>
          <w:b/>
          <w:bCs/>
        </w:rPr>
        <w:t>Figure 11.</w:t>
      </w:r>
      <w:r>
        <w:rPr/>
        <w:t xml:space="preserve"> The elements of the concrete cast moving from Vernal to Price on 8 April 2013. </w:t>
      </w:r>
      <w:r>
        <w:rPr>
          <w:b/>
          <w:bCs/>
        </w:rPr>
        <w:t>A.</w:t>
      </w:r>
      <w:r>
        <w:rPr/>
        <w:t xml:space="preserve"> the concrete bones packed onto wooden pallets outside the new Field House building, having been been prepared for transportation to the Utah State University Eastern campus in Price, Utah, about 100 miles southwest of Vernal. </w:t>
      </w:r>
      <w:r>
        <w:rPr>
          <w:b w:val="false"/>
          <w:bCs w:val="false"/>
        </w:rPr>
        <w:t xml:space="preserve">Photograph by Steven D. Sroka. </w:t>
      </w:r>
      <w:r>
        <w:rPr>
          <w:b/>
          <w:bCs/>
        </w:rPr>
        <w:t>B.</w:t>
      </w:r>
      <w:r>
        <w:rPr>
          <w:b w:val="false"/>
          <w:bCs w:val="false"/>
        </w:rPr>
        <w:t xml:space="preserve"> The same bones having been unpacked into Ken Carpenter’s garage in Price. Photograph by Ken Carpenter.</w:t>
      </w:r>
    </w:p>
    <w:p>
      <w:pPr>
        <w:pStyle w:val="FigureCaption"/>
        <w:rPr/>
      </w:pPr>
      <w:r>
        <w:rPr>
          <w:b/>
          <w:bCs/>
        </w:rPr>
        <w:t>Figure 12.</w:t>
      </w:r>
      <w:r>
        <w:rPr>
          <w:b w:val="false"/>
          <w:bCs w:val="false"/>
        </w:rPr>
        <w:t xml:space="preserve"> Carrie Herbel, a preparator at the Prehistoric Museum in Price, sandblasting old paint off the concrete </w:t>
      </w:r>
      <w:r>
        <w:rPr>
          <w:b w:val="false"/>
          <w:bCs w:val="false"/>
          <w:i/>
          <w:iCs/>
        </w:rPr>
        <w:t>Diplodocus</w:t>
      </w:r>
      <w:r>
        <w:rPr>
          <w:b w:val="false"/>
          <w:bCs w:val="false"/>
        </w:rPr>
        <w:t xml:space="preserve"> casts recently obtained from Vernal, on 1 November 2014. By comparison with Hatcher (1901:plate V), which shows anterior-view photographs of the cervical vertebrae of </w:t>
      </w:r>
      <w:r>
        <w:rPr>
          <w:b w:val="false"/>
          <w:bCs w:val="false"/>
          <w:i/>
          <w:iCs/>
        </w:rPr>
        <w:t>Diplodocus carnegii</w:t>
      </w:r>
      <w:r>
        <w:rPr>
          <w:b w:val="false"/>
          <w:bCs w:val="false"/>
        </w:rPr>
        <w:t xml:space="preserve"> holotype CM 84, this appears to be the cast of the 15th and last cervical, based on the wide zygapophyseal facets, the broad diapophyseal wings, the well-developed “V”-shaped intraprezygpophyseal lamina, and the tall, well separated halves of the bifid neural spine with little dorsal expansion.</w:t>
      </w:r>
      <w:r>
        <w:br w:type="page"/>
      </w:r>
    </w:p>
    <w:p>
      <w:pPr>
        <w:pStyle w:val="Heading1"/>
        <w:rPr/>
      </w:pPr>
      <w:bookmarkStart w:id="25" w:name="__RefHeading___Toc4426_1817233446"/>
      <w:bookmarkEnd w:id="25"/>
      <w:r>
        <w:rPr/>
        <w:t>Tables</w:t>
      </w:r>
    </w:p>
    <w:p>
      <w:pPr>
        <w:pStyle w:val="TextBody"/>
        <w:rPr/>
      </w:pPr>
      <w:r>
        <w:rPr>
          <w:b/>
          <w:bCs/>
        </w:rPr>
        <w:t>Table 1.</w:t>
      </w:r>
      <w:r>
        <w:rPr/>
        <w:t xml:space="preserve"> Casts made from the molds taken from the concrete </w:t>
      </w:r>
      <w:r>
        <w:rPr>
          <w:i/>
          <w:iCs/>
        </w:rPr>
        <w:t>Dipodocus</w:t>
      </w:r>
      <w:r>
        <w:rPr/>
        <w:t xml:space="preserve"> of Vernal. This table represents a synthesis of two sources of information: a list maintained by Dinolab and forwarded by Brian D. Curtice, and James H. Madsen’s (1993) memorandom to Mary Dawson (Carnegie Musuem) and Alden H. Hamlin (Utah Field House). The former lists specific cities that the casts were sent, includes dates, and extends to #13; the latter lists only the first four casts, lists clients, gives regions rather than cites, and notes what royalties were paid. Note that Dinolab’s numbering of the casts does not proceed in chronological order, and that casts 9–12 are not recorded in the available documents.</w:t>
      </w:r>
    </w:p>
    <w:tbl>
      <w:tblPr>
        <w:tblW w:w="9638" w:type="dxa"/>
        <w:jc w:val="left"/>
        <w:tblInd w:w="0" w:type="dxa"/>
        <w:tblLayout w:type="fixed"/>
        <w:tblCellMar>
          <w:top w:w="0" w:type="dxa"/>
          <w:left w:w="0" w:type="dxa"/>
          <w:bottom w:w="0" w:type="dxa"/>
          <w:right w:w="0" w:type="dxa"/>
        </w:tblCellMar>
      </w:tblPr>
      <w:tblGrid>
        <w:gridCol w:w="559"/>
        <w:gridCol w:w="1431"/>
        <w:gridCol w:w="1191"/>
        <w:gridCol w:w="1078"/>
        <w:gridCol w:w="1119"/>
        <w:gridCol w:w="1105"/>
        <w:gridCol w:w="1484"/>
        <w:gridCol w:w="1671"/>
      </w:tblGrid>
      <w:tr>
        <w:trPr>
          <w:tblHeader w:val="true"/>
        </w:trPr>
        <w:tc>
          <w:tcPr>
            <w:tcW w:w="559" w:type="dxa"/>
            <w:tcBorders/>
          </w:tcPr>
          <w:p>
            <w:pPr>
              <w:pStyle w:val="TextBody"/>
              <w:widowControl w:val="false"/>
              <w:spacing w:before="0" w:after="140"/>
              <w:rPr>
                <w:b/>
                <w:b/>
                <w:bCs/>
                <w:sz w:val="22"/>
                <w:szCs w:val="22"/>
              </w:rPr>
            </w:pPr>
            <w:r>
              <w:rPr>
                <w:b/>
                <w:bCs/>
                <w:sz w:val="22"/>
                <w:szCs w:val="22"/>
              </w:rPr>
              <w:t>#</w:t>
            </w:r>
          </w:p>
        </w:tc>
        <w:tc>
          <w:tcPr>
            <w:tcW w:w="1431" w:type="dxa"/>
            <w:tcBorders/>
          </w:tcPr>
          <w:p>
            <w:pPr>
              <w:pStyle w:val="TextBody"/>
              <w:widowControl w:val="false"/>
              <w:spacing w:before="0" w:after="140"/>
              <w:rPr>
                <w:b/>
                <w:b/>
                <w:bCs/>
                <w:sz w:val="22"/>
                <w:szCs w:val="22"/>
              </w:rPr>
            </w:pPr>
            <w:r>
              <w:rPr>
                <w:b/>
                <w:bCs/>
                <w:sz w:val="22"/>
                <w:szCs w:val="22"/>
              </w:rPr>
              <w:t>Date</w:t>
            </w:r>
          </w:p>
        </w:tc>
        <w:tc>
          <w:tcPr>
            <w:tcW w:w="1191" w:type="dxa"/>
            <w:tcBorders/>
          </w:tcPr>
          <w:p>
            <w:pPr>
              <w:pStyle w:val="TextBody"/>
              <w:widowControl w:val="false"/>
              <w:spacing w:before="0" w:after="140"/>
              <w:rPr>
                <w:b/>
                <w:b/>
                <w:bCs/>
                <w:sz w:val="22"/>
                <w:szCs w:val="22"/>
              </w:rPr>
            </w:pPr>
            <w:r>
              <w:rPr>
                <w:b/>
                <w:bCs/>
                <w:sz w:val="22"/>
                <w:szCs w:val="22"/>
              </w:rPr>
              <w:t>Client</w:t>
            </w:r>
          </w:p>
        </w:tc>
        <w:tc>
          <w:tcPr>
            <w:tcW w:w="1078" w:type="dxa"/>
            <w:tcBorders/>
          </w:tcPr>
          <w:p>
            <w:pPr>
              <w:pStyle w:val="TextBody"/>
              <w:widowControl w:val="false"/>
              <w:spacing w:before="0" w:after="140"/>
              <w:rPr>
                <w:b/>
                <w:b/>
                <w:bCs/>
                <w:sz w:val="22"/>
                <w:szCs w:val="22"/>
              </w:rPr>
            </w:pPr>
            <w:r>
              <w:rPr>
                <w:b/>
                <w:bCs/>
                <w:sz w:val="22"/>
                <w:szCs w:val="22"/>
              </w:rPr>
              <w:t>City</w:t>
            </w:r>
          </w:p>
        </w:tc>
        <w:tc>
          <w:tcPr>
            <w:tcW w:w="1119" w:type="dxa"/>
            <w:tcBorders/>
          </w:tcPr>
          <w:p>
            <w:pPr>
              <w:pStyle w:val="TextBody"/>
              <w:widowControl w:val="false"/>
              <w:spacing w:before="0" w:after="140"/>
              <w:rPr>
                <w:b/>
                <w:b/>
                <w:bCs/>
                <w:sz w:val="22"/>
                <w:szCs w:val="22"/>
              </w:rPr>
            </w:pPr>
            <w:r>
              <w:rPr>
                <w:b/>
                <w:bCs/>
                <w:sz w:val="22"/>
                <w:szCs w:val="22"/>
              </w:rPr>
              <w:t>Region</w:t>
            </w:r>
          </w:p>
        </w:tc>
        <w:tc>
          <w:tcPr>
            <w:tcW w:w="1105" w:type="dxa"/>
            <w:tcBorders/>
          </w:tcPr>
          <w:p>
            <w:pPr>
              <w:pStyle w:val="TextBody"/>
              <w:widowControl w:val="false"/>
              <w:spacing w:before="0" w:after="140"/>
              <w:rPr>
                <w:b/>
                <w:b/>
                <w:bCs/>
                <w:sz w:val="22"/>
                <w:szCs w:val="22"/>
              </w:rPr>
            </w:pPr>
            <w:r>
              <w:rPr>
                <w:b/>
                <w:bCs/>
                <w:sz w:val="22"/>
                <w:szCs w:val="22"/>
              </w:rPr>
              <w:t>Country</w:t>
            </w:r>
          </w:p>
        </w:tc>
        <w:tc>
          <w:tcPr>
            <w:tcW w:w="3155" w:type="dxa"/>
            <w:gridSpan w:val="2"/>
            <w:tcBorders/>
          </w:tcPr>
          <w:p>
            <w:pPr>
              <w:pStyle w:val="TextBody"/>
              <w:widowControl w:val="false"/>
              <w:spacing w:before="0" w:after="140"/>
              <w:rPr>
                <w:b/>
                <w:b/>
                <w:bCs/>
                <w:sz w:val="22"/>
                <w:szCs w:val="22"/>
              </w:rPr>
            </w:pPr>
            <w:r>
              <w:rPr>
                <w:b/>
                <w:bCs/>
                <w:sz w:val="22"/>
                <w:szCs w:val="22"/>
              </w:rPr>
              <w:t>Royalties paid</w:t>
            </w:r>
          </w:p>
        </w:tc>
      </w:tr>
      <w:tr>
        <w:trPr/>
        <w:tc>
          <w:tcPr>
            <w:tcW w:w="559" w:type="dxa"/>
            <w:tcBorders/>
          </w:tcPr>
          <w:p>
            <w:pPr>
              <w:pStyle w:val="TextBody"/>
              <w:widowControl w:val="false"/>
              <w:spacing w:before="0" w:after="140"/>
              <w:rPr>
                <w:b/>
                <w:b/>
                <w:bCs/>
                <w:sz w:val="22"/>
                <w:szCs w:val="22"/>
              </w:rPr>
            </w:pPr>
            <w:r>
              <w:rPr>
                <w:b/>
                <w:bCs/>
                <w:sz w:val="22"/>
                <w:szCs w:val="22"/>
              </w:rPr>
            </w:r>
          </w:p>
        </w:tc>
        <w:tc>
          <w:tcPr>
            <w:tcW w:w="1431" w:type="dxa"/>
            <w:tcBorders/>
          </w:tcPr>
          <w:p>
            <w:pPr>
              <w:pStyle w:val="TextBody"/>
              <w:widowControl w:val="false"/>
              <w:spacing w:before="0" w:after="140"/>
              <w:rPr>
                <w:b/>
                <w:b/>
                <w:bCs/>
                <w:sz w:val="22"/>
                <w:szCs w:val="22"/>
              </w:rPr>
            </w:pPr>
            <w:r>
              <w:rPr>
                <w:b/>
                <w:bCs/>
                <w:sz w:val="22"/>
                <w:szCs w:val="22"/>
              </w:rPr>
            </w:r>
          </w:p>
        </w:tc>
        <w:tc>
          <w:tcPr>
            <w:tcW w:w="1191" w:type="dxa"/>
            <w:tcBorders/>
          </w:tcPr>
          <w:p>
            <w:pPr>
              <w:pStyle w:val="TextBody"/>
              <w:widowControl w:val="false"/>
              <w:spacing w:before="0" w:after="140"/>
              <w:rPr>
                <w:b/>
                <w:b/>
                <w:bCs/>
                <w:sz w:val="22"/>
                <w:szCs w:val="22"/>
              </w:rPr>
            </w:pPr>
            <w:r>
              <w:rPr>
                <w:b/>
                <w:bCs/>
                <w:sz w:val="22"/>
                <w:szCs w:val="22"/>
              </w:rPr>
            </w:r>
          </w:p>
        </w:tc>
        <w:tc>
          <w:tcPr>
            <w:tcW w:w="1078" w:type="dxa"/>
            <w:tcBorders/>
          </w:tcPr>
          <w:p>
            <w:pPr>
              <w:pStyle w:val="TextBody"/>
              <w:widowControl w:val="false"/>
              <w:spacing w:before="0" w:after="140"/>
              <w:rPr>
                <w:b/>
                <w:b/>
                <w:bCs/>
                <w:sz w:val="22"/>
                <w:szCs w:val="22"/>
              </w:rPr>
            </w:pPr>
            <w:r>
              <w:rPr>
                <w:b/>
                <w:bCs/>
                <w:sz w:val="22"/>
                <w:szCs w:val="22"/>
              </w:rPr>
            </w:r>
          </w:p>
        </w:tc>
        <w:tc>
          <w:tcPr>
            <w:tcW w:w="1119" w:type="dxa"/>
            <w:tcBorders/>
          </w:tcPr>
          <w:p>
            <w:pPr>
              <w:pStyle w:val="TextBody"/>
              <w:widowControl w:val="false"/>
              <w:spacing w:before="0" w:after="140"/>
              <w:rPr>
                <w:b/>
                <w:b/>
                <w:bCs/>
                <w:sz w:val="22"/>
                <w:szCs w:val="22"/>
              </w:rPr>
            </w:pPr>
            <w:r>
              <w:rPr>
                <w:b/>
                <w:bCs/>
                <w:sz w:val="22"/>
                <w:szCs w:val="22"/>
              </w:rPr>
            </w:r>
          </w:p>
        </w:tc>
        <w:tc>
          <w:tcPr>
            <w:tcW w:w="1105" w:type="dxa"/>
            <w:tcBorders/>
          </w:tcPr>
          <w:p>
            <w:pPr>
              <w:pStyle w:val="TextBody"/>
              <w:widowControl w:val="false"/>
              <w:spacing w:before="0" w:after="140"/>
              <w:rPr>
                <w:b/>
                <w:b/>
                <w:bCs/>
                <w:sz w:val="22"/>
                <w:szCs w:val="22"/>
              </w:rPr>
            </w:pPr>
            <w:r>
              <w:rPr>
                <w:b/>
                <w:bCs/>
                <w:sz w:val="22"/>
                <w:szCs w:val="22"/>
              </w:rPr>
            </w:r>
          </w:p>
        </w:tc>
        <w:tc>
          <w:tcPr>
            <w:tcW w:w="1484" w:type="dxa"/>
            <w:tcBorders/>
          </w:tcPr>
          <w:p>
            <w:pPr>
              <w:pStyle w:val="TextBody"/>
              <w:widowControl w:val="false"/>
              <w:spacing w:before="0" w:after="140"/>
              <w:rPr>
                <w:b/>
                <w:b/>
                <w:bCs/>
                <w:sz w:val="22"/>
                <w:szCs w:val="22"/>
              </w:rPr>
            </w:pPr>
            <w:r>
              <w:rPr>
                <w:b/>
                <w:bCs/>
                <w:sz w:val="22"/>
                <w:szCs w:val="22"/>
              </w:rPr>
              <w:t>Field House</w:t>
            </w:r>
          </w:p>
        </w:tc>
        <w:tc>
          <w:tcPr>
            <w:tcW w:w="1671" w:type="dxa"/>
            <w:tcBorders/>
          </w:tcPr>
          <w:p>
            <w:pPr>
              <w:pStyle w:val="TextBody"/>
              <w:widowControl w:val="false"/>
              <w:spacing w:before="0" w:after="140"/>
              <w:rPr>
                <w:b/>
                <w:b/>
                <w:bCs/>
                <w:sz w:val="22"/>
                <w:szCs w:val="22"/>
              </w:rPr>
            </w:pPr>
            <w:r>
              <w:rPr>
                <w:b/>
                <w:bCs/>
                <w:sz w:val="22"/>
                <w:szCs w:val="22"/>
              </w:rPr>
              <w:t>Carnegie</w:t>
            </w:r>
          </w:p>
        </w:tc>
      </w:tr>
      <w:tr>
        <w:trPr/>
        <w:tc>
          <w:tcPr>
            <w:tcW w:w="559" w:type="dxa"/>
            <w:tcBorders/>
          </w:tcPr>
          <w:p>
            <w:pPr>
              <w:pStyle w:val="TextBody"/>
              <w:widowControl w:val="false"/>
              <w:spacing w:before="0" w:after="140"/>
              <w:rPr>
                <w:sz w:val="22"/>
                <w:szCs w:val="22"/>
              </w:rPr>
            </w:pPr>
            <w:r>
              <w:rPr>
                <w:sz w:val="22"/>
                <w:szCs w:val="22"/>
              </w:rPr>
              <w:t>1</w:t>
            </w:r>
          </w:p>
        </w:tc>
        <w:tc>
          <w:tcPr>
            <w:tcW w:w="1431" w:type="dxa"/>
            <w:tcBorders/>
          </w:tcPr>
          <w:p>
            <w:pPr>
              <w:pStyle w:val="TextBody"/>
              <w:widowControl w:val="false"/>
              <w:spacing w:before="0" w:after="140"/>
              <w:rPr>
                <w:sz w:val="22"/>
                <w:szCs w:val="22"/>
              </w:rPr>
            </w:pPr>
            <w:r>
              <w:rPr>
                <w:sz w:val="22"/>
                <w:szCs w:val="22"/>
              </w:rPr>
              <w:t>January 1990</w:t>
            </w:r>
          </w:p>
        </w:tc>
        <w:tc>
          <w:tcPr>
            <w:tcW w:w="1191" w:type="dxa"/>
            <w:tcBorders/>
          </w:tcPr>
          <w:p>
            <w:pPr>
              <w:pStyle w:val="TextBody"/>
              <w:widowControl w:val="false"/>
              <w:spacing w:before="0" w:after="140"/>
              <w:rPr>
                <w:sz w:val="22"/>
                <w:szCs w:val="22"/>
              </w:rPr>
            </w:pPr>
            <w:r>
              <w:rPr>
                <w:sz w:val="22"/>
                <w:szCs w:val="22"/>
              </w:rPr>
              <w:t>Meitetzu</w:t>
            </w:r>
          </w:p>
        </w:tc>
        <w:tc>
          <w:tcPr>
            <w:tcW w:w="1078" w:type="dxa"/>
            <w:tcBorders/>
          </w:tcPr>
          <w:p>
            <w:pPr>
              <w:pStyle w:val="TextBody"/>
              <w:widowControl w:val="false"/>
              <w:spacing w:before="0" w:after="140"/>
              <w:rPr>
                <w:sz w:val="22"/>
                <w:szCs w:val="22"/>
              </w:rPr>
            </w:pPr>
            <w:r>
              <w:rPr>
                <w:sz w:val="22"/>
                <w:szCs w:val="22"/>
              </w:rPr>
              <w:t>Odawara</w:t>
            </w:r>
          </w:p>
        </w:tc>
        <w:tc>
          <w:tcPr>
            <w:tcW w:w="1119" w:type="dxa"/>
            <w:tcBorders/>
          </w:tcPr>
          <w:p>
            <w:pPr>
              <w:pStyle w:val="TextBody"/>
              <w:widowControl w:val="false"/>
              <w:spacing w:before="0" w:after="140"/>
              <w:rPr>
                <w:sz w:val="22"/>
                <w:szCs w:val="22"/>
              </w:rPr>
            </w:pPr>
            <w:r>
              <w:rPr>
                <w:sz w:val="22"/>
                <w:szCs w:val="22"/>
              </w:rPr>
              <w:t>Kanagawa</w:t>
            </w:r>
          </w:p>
        </w:tc>
        <w:tc>
          <w:tcPr>
            <w:tcW w:w="1105"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71" w:type="dxa"/>
            <w:tcBorders/>
          </w:tcPr>
          <w:p>
            <w:pPr>
              <w:pStyle w:val="TextBody"/>
              <w:widowControl w:val="false"/>
              <w:spacing w:before="0" w:after="140"/>
              <w:rPr>
                <w:sz w:val="22"/>
                <w:szCs w:val="22"/>
              </w:rPr>
            </w:pPr>
            <w:r>
              <w:rPr>
                <w:sz w:val="22"/>
                <w:szCs w:val="22"/>
              </w:rPr>
              <w:t>N/A</w:t>
            </w:r>
          </w:p>
        </w:tc>
      </w:tr>
      <w:tr>
        <w:trPr/>
        <w:tc>
          <w:tcPr>
            <w:tcW w:w="559" w:type="dxa"/>
            <w:tcBorders/>
          </w:tcPr>
          <w:p>
            <w:pPr>
              <w:pStyle w:val="TextBody"/>
              <w:widowControl w:val="false"/>
              <w:spacing w:before="0" w:after="140"/>
              <w:rPr>
                <w:sz w:val="22"/>
                <w:szCs w:val="22"/>
              </w:rPr>
            </w:pPr>
            <w:r>
              <w:rPr>
                <w:sz w:val="22"/>
                <w:szCs w:val="22"/>
              </w:rPr>
              <w:t>2</w:t>
            </w:r>
          </w:p>
        </w:tc>
        <w:tc>
          <w:tcPr>
            <w:tcW w:w="1431" w:type="dxa"/>
            <w:tcBorders/>
          </w:tcPr>
          <w:p>
            <w:pPr>
              <w:pStyle w:val="TextBody"/>
              <w:widowControl w:val="false"/>
              <w:spacing w:before="0" w:after="140"/>
              <w:rPr>
                <w:sz w:val="22"/>
                <w:szCs w:val="22"/>
              </w:rPr>
            </w:pPr>
            <w:r>
              <w:rPr>
                <w:sz w:val="22"/>
                <w:szCs w:val="22"/>
              </w:rPr>
              <w:t>October 1992</w:t>
            </w:r>
          </w:p>
        </w:tc>
        <w:tc>
          <w:tcPr>
            <w:tcW w:w="1191" w:type="dxa"/>
            <w:tcBorders/>
          </w:tcPr>
          <w:p>
            <w:pPr>
              <w:pStyle w:val="TextBody"/>
              <w:widowControl w:val="false"/>
              <w:spacing w:before="0" w:after="140"/>
              <w:rPr>
                <w:sz w:val="22"/>
                <w:szCs w:val="22"/>
              </w:rPr>
            </w:pPr>
            <w:r>
              <w:rPr>
                <w:sz w:val="22"/>
                <w:szCs w:val="22"/>
              </w:rPr>
              <w:t>Meitetzu</w:t>
            </w:r>
          </w:p>
        </w:tc>
        <w:tc>
          <w:tcPr>
            <w:tcW w:w="1078" w:type="dxa"/>
            <w:tcBorders/>
          </w:tcPr>
          <w:p>
            <w:pPr>
              <w:pStyle w:val="TextBody"/>
              <w:widowControl w:val="false"/>
              <w:spacing w:before="0" w:after="140"/>
              <w:rPr>
                <w:sz w:val="22"/>
                <w:szCs w:val="22"/>
              </w:rPr>
            </w:pPr>
            <w:r>
              <w:rPr>
                <w:sz w:val="22"/>
                <w:szCs w:val="22"/>
              </w:rPr>
              <w:t>Shiramine</w:t>
            </w:r>
          </w:p>
        </w:tc>
        <w:tc>
          <w:tcPr>
            <w:tcW w:w="1119" w:type="dxa"/>
            <w:tcBorders/>
          </w:tcPr>
          <w:p>
            <w:pPr>
              <w:pStyle w:val="TextBody"/>
              <w:widowControl w:val="false"/>
              <w:spacing w:before="0" w:after="140"/>
              <w:rPr>
                <w:sz w:val="22"/>
                <w:szCs w:val="22"/>
              </w:rPr>
            </w:pPr>
            <w:r>
              <w:rPr>
                <w:sz w:val="22"/>
                <w:szCs w:val="22"/>
              </w:rPr>
              <w:t>Ishikawa</w:t>
            </w:r>
          </w:p>
        </w:tc>
        <w:tc>
          <w:tcPr>
            <w:tcW w:w="1105"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71" w:type="dxa"/>
            <w:tcBorders/>
          </w:tcPr>
          <w:p>
            <w:pPr>
              <w:pStyle w:val="TextBody"/>
              <w:widowControl w:val="false"/>
              <w:spacing w:before="0" w:after="140"/>
              <w:rPr>
                <w:sz w:val="22"/>
                <w:szCs w:val="22"/>
              </w:rPr>
            </w:pPr>
            <w:r>
              <w:rPr>
                <w:sz w:val="22"/>
                <w:szCs w:val="22"/>
              </w:rPr>
              <w:t>N/A</w:t>
            </w:r>
          </w:p>
        </w:tc>
      </w:tr>
      <w:tr>
        <w:trPr/>
        <w:tc>
          <w:tcPr>
            <w:tcW w:w="559" w:type="dxa"/>
            <w:tcBorders/>
          </w:tcPr>
          <w:p>
            <w:pPr>
              <w:pStyle w:val="TextBody"/>
              <w:widowControl w:val="false"/>
              <w:spacing w:before="0" w:after="140"/>
              <w:rPr>
                <w:sz w:val="22"/>
                <w:szCs w:val="22"/>
              </w:rPr>
            </w:pPr>
            <w:r>
              <w:rPr>
                <w:sz w:val="22"/>
                <w:szCs w:val="22"/>
              </w:rPr>
              <w:t>3</w:t>
            </w:r>
          </w:p>
        </w:tc>
        <w:tc>
          <w:tcPr>
            <w:tcW w:w="1431" w:type="dxa"/>
            <w:tcBorders/>
          </w:tcPr>
          <w:p>
            <w:pPr>
              <w:pStyle w:val="TextBody"/>
              <w:widowControl w:val="false"/>
              <w:spacing w:before="0" w:after="140"/>
              <w:rPr>
                <w:sz w:val="22"/>
                <w:szCs w:val="22"/>
              </w:rPr>
            </w:pPr>
            <w:r>
              <w:rPr>
                <w:sz w:val="22"/>
                <w:szCs w:val="22"/>
              </w:rPr>
              <w:t>May 1992</w:t>
            </w:r>
          </w:p>
        </w:tc>
        <w:tc>
          <w:tcPr>
            <w:tcW w:w="1191" w:type="dxa"/>
            <w:tcBorders/>
          </w:tcPr>
          <w:p>
            <w:pPr>
              <w:pStyle w:val="TextBody"/>
              <w:widowControl w:val="false"/>
              <w:spacing w:before="0" w:after="140"/>
              <w:rPr>
                <w:sz w:val="22"/>
                <w:szCs w:val="22"/>
              </w:rPr>
            </w:pPr>
            <w:r>
              <w:rPr>
                <w:sz w:val="22"/>
                <w:szCs w:val="22"/>
              </w:rPr>
              <w:t>Mitzukoshi</w:t>
            </w:r>
          </w:p>
        </w:tc>
        <w:tc>
          <w:tcPr>
            <w:tcW w:w="2197" w:type="dxa"/>
            <w:gridSpan w:val="2"/>
            <w:tcBorders/>
          </w:tcPr>
          <w:p>
            <w:pPr>
              <w:pStyle w:val="TextBody"/>
              <w:widowControl w:val="false"/>
              <w:spacing w:before="0" w:after="140"/>
              <w:rPr>
                <w:i/>
                <w:i/>
                <w:iCs/>
                <w:sz w:val="22"/>
                <w:szCs w:val="22"/>
              </w:rPr>
            </w:pPr>
            <w:r>
              <w:rPr>
                <w:i/>
                <w:iCs/>
                <w:sz w:val="22"/>
                <w:szCs w:val="22"/>
              </w:rPr>
              <w:t>(Travelling exhibit)</w:t>
            </w:r>
          </w:p>
        </w:tc>
        <w:tc>
          <w:tcPr>
            <w:tcW w:w="1105"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71" w:type="dxa"/>
            <w:tcBorders/>
          </w:tcPr>
          <w:p>
            <w:pPr>
              <w:pStyle w:val="TextBody"/>
              <w:widowControl w:val="false"/>
              <w:spacing w:before="0" w:after="140"/>
              <w:rPr>
                <w:sz w:val="22"/>
                <w:szCs w:val="22"/>
              </w:rPr>
            </w:pPr>
            <w:r>
              <w:rPr>
                <w:sz w:val="22"/>
                <w:szCs w:val="22"/>
              </w:rPr>
              <w:t>$3,500</w:t>
            </w:r>
          </w:p>
        </w:tc>
      </w:tr>
      <w:tr>
        <w:trPr>
          <w:trHeight w:val="528" w:hRule="atLeast"/>
        </w:trPr>
        <w:tc>
          <w:tcPr>
            <w:tcW w:w="559" w:type="dxa"/>
            <w:tcBorders/>
          </w:tcPr>
          <w:p>
            <w:pPr>
              <w:pStyle w:val="TextBody"/>
              <w:widowControl w:val="false"/>
              <w:spacing w:before="0" w:after="140"/>
              <w:rPr>
                <w:sz w:val="22"/>
                <w:szCs w:val="22"/>
              </w:rPr>
            </w:pPr>
            <w:r>
              <w:rPr>
                <w:sz w:val="22"/>
                <w:szCs w:val="22"/>
              </w:rPr>
              <w:t>4</w:t>
            </w:r>
          </w:p>
        </w:tc>
        <w:tc>
          <w:tcPr>
            <w:tcW w:w="1431" w:type="dxa"/>
            <w:tcBorders/>
          </w:tcPr>
          <w:p>
            <w:pPr>
              <w:pStyle w:val="TextBody"/>
              <w:widowControl w:val="false"/>
              <w:spacing w:before="0" w:after="140"/>
              <w:rPr>
                <w:sz w:val="22"/>
                <w:szCs w:val="22"/>
              </w:rPr>
            </w:pPr>
            <w:r>
              <w:rPr>
                <w:sz w:val="22"/>
                <w:szCs w:val="22"/>
              </w:rPr>
              <w:t>June 1992</w:t>
            </w:r>
          </w:p>
        </w:tc>
        <w:tc>
          <w:tcPr>
            <w:tcW w:w="1191" w:type="dxa"/>
            <w:tcBorders/>
          </w:tcPr>
          <w:p>
            <w:pPr>
              <w:pStyle w:val="TextBody"/>
              <w:widowControl w:val="false"/>
              <w:spacing w:before="0" w:after="140"/>
              <w:rPr>
                <w:sz w:val="22"/>
                <w:szCs w:val="22"/>
              </w:rPr>
            </w:pPr>
            <w:r>
              <w:rPr>
                <w:sz w:val="22"/>
                <w:szCs w:val="22"/>
              </w:rPr>
              <w:t>RCI</w:t>
            </w:r>
          </w:p>
        </w:tc>
        <w:tc>
          <w:tcPr>
            <w:tcW w:w="1078" w:type="dxa"/>
            <w:tcBorders/>
          </w:tcPr>
          <w:p>
            <w:pPr>
              <w:pStyle w:val="TextBody"/>
              <w:widowControl w:val="false"/>
              <w:spacing w:before="0" w:after="140"/>
              <w:rPr>
                <w:sz w:val="22"/>
                <w:szCs w:val="22"/>
              </w:rPr>
            </w:pPr>
            <w:r>
              <w:rPr>
                <w:sz w:val="22"/>
                <w:szCs w:val="22"/>
              </w:rPr>
              <w:t>Shimizu</w:t>
            </w:r>
          </w:p>
        </w:tc>
        <w:tc>
          <w:tcPr>
            <w:tcW w:w="1119" w:type="dxa"/>
            <w:tcBorders/>
          </w:tcPr>
          <w:p>
            <w:pPr>
              <w:pStyle w:val="Normal"/>
              <w:widowControl w:val="false"/>
              <w:rPr>
                <w:sz w:val="22"/>
                <w:szCs w:val="22"/>
              </w:rPr>
            </w:pPr>
            <w:r>
              <w:rPr>
                <w:sz w:val="22"/>
                <w:szCs w:val="22"/>
              </w:rPr>
              <w:t>Tokai</w:t>
            </w:r>
          </w:p>
        </w:tc>
        <w:tc>
          <w:tcPr>
            <w:tcW w:w="1105"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71" w:type="dxa"/>
            <w:tcBorders/>
          </w:tcPr>
          <w:p>
            <w:pPr>
              <w:pStyle w:val="TextBody"/>
              <w:widowControl w:val="false"/>
              <w:spacing w:before="0" w:after="140"/>
              <w:rPr>
                <w:sz w:val="22"/>
                <w:szCs w:val="22"/>
              </w:rPr>
            </w:pPr>
            <w:r>
              <w:rPr>
                <w:sz w:val="22"/>
                <w:szCs w:val="22"/>
              </w:rPr>
              <w:t>N/A</w:t>
            </w:r>
          </w:p>
        </w:tc>
      </w:tr>
      <w:tr>
        <w:trPr>
          <w:trHeight w:val="528" w:hRule="atLeast"/>
        </w:trPr>
        <w:tc>
          <w:tcPr>
            <w:tcW w:w="559" w:type="dxa"/>
            <w:tcBorders/>
          </w:tcPr>
          <w:p>
            <w:pPr>
              <w:pStyle w:val="TextBody"/>
              <w:widowControl w:val="false"/>
              <w:spacing w:before="0" w:after="140"/>
              <w:rPr>
                <w:sz w:val="22"/>
                <w:szCs w:val="22"/>
              </w:rPr>
            </w:pPr>
            <w:r>
              <w:rPr>
                <w:sz w:val="22"/>
                <w:szCs w:val="22"/>
              </w:rPr>
              <w:t>5</w:t>
            </w:r>
          </w:p>
        </w:tc>
        <w:tc>
          <w:tcPr>
            <w:tcW w:w="1431" w:type="dxa"/>
            <w:tcBorders/>
          </w:tcPr>
          <w:p>
            <w:pPr>
              <w:pStyle w:val="TextBody"/>
              <w:widowControl w:val="false"/>
              <w:spacing w:before="0" w:after="140"/>
              <w:rPr>
                <w:sz w:val="22"/>
                <w:szCs w:val="22"/>
              </w:rPr>
            </w:pPr>
            <w:r>
              <w:rPr>
                <w:sz w:val="22"/>
                <w:szCs w:val="22"/>
              </w:rPr>
              <w:t>May 1991</w:t>
            </w:r>
          </w:p>
        </w:tc>
        <w:tc>
          <w:tcPr>
            <w:tcW w:w="1191" w:type="dxa"/>
            <w:tcBorders/>
          </w:tcPr>
          <w:p>
            <w:pPr>
              <w:pStyle w:val="TextBody"/>
              <w:widowControl w:val="false"/>
              <w:spacing w:before="0" w:after="140"/>
              <w:rPr>
                <w:sz w:val="22"/>
                <w:szCs w:val="22"/>
              </w:rPr>
            </w:pPr>
            <w:r>
              <w:rPr>
                <w:sz w:val="22"/>
                <w:szCs w:val="22"/>
              </w:rPr>
            </w:r>
          </w:p>
        </w:tc>
        <w:tc>
          <w:tcPr>
            <w:tcW w:w="1078" w:type="dxa"/>
            <w:tcBorders/>
          </w:tcPr>
          <w:p>
            <w:pPr>
              <w:pStyle w:val="TextBody"/>
              <w:widowControl w:val="false"/>
              <w:spacing w:before="0" w:after="140"/>
              <w:rPr>
                <w:sz w:val="22"/>
                <w:szCs w:val="22"/>
              </w:rPr>
            </w:pPr>
            <w:r>
              <w:rPr>
                <w:sz w:val="22"/>
                <w:szCs w:val="22"/>
              </w:rPr>
              <w:t>Vernal</w:t>
            </w:r>
          </w:p>
        </w:tc>
        <w:tc>
          <w:tcPr>
            <w:tcW w:w="1119" w:type="dxa"/>
            <w:tcBorders/>
          </w:tcPr>
          <w:p>
            <w:pPr>
              <w:pStyle w:val="Normal"/>
              <w:widowControl w:val="false"/>
              <w:rPr>
                <w:sz w:val="22"/>
                <w:szCs w:val="22"/>
              </w:rPr>
            </w:pPr>
            <w:r>
              <w:rPr>
                <w:sz w:val="22"/>
                <w:szCs w:val="22"/>
              </w:rPr>
              <w:t>Utah</w:t>
            </w:r>
          </w:p>
        </w:tc>
        <w:tc>
          <w:tcPr>
            <w:tcW w:w="1105" w:type="dxa"/>
            <w:tcBorders/>
          </w:tcPr>
          <w:p>
            <w:pPr>
              <w:pStyle w:val="TextBody"/>
              <w:widowControl w:val="false"/>
              <w:spacing w:before="0" w:after="140"/>
              <w:rPr>
                <w:sz w:val="22"/>
                <w:szCs w:val="22"/>
              </w:rPr>
            </w:pPr>
            <w:r>
              <w:rPr>
                <w:sz w:val="22"/>
                <w:szCs w:val="22"/>
              </w:rPr>
              <w:t>USA</w:t>
            </w:r>
          </w:p>
        </w:tc>
        <w:tc>
          <w:tcPr>
            <w:tcW w:w="1484" w:type="dxa"/>
            <w:tcBorders/>
          </w:tcPr>
          <w:p>
            <w:pPr>
              <w:pStyle w:val="TextBody"/>
              <w:widowControl w:val="false"/>
              <w:spacing w:before="0" w:after="140"/>
              <w:rPr>
                <w:sz w:val="22"/>
                <w:szCs w:val="22"/>
              </w:rPr>
            </w:pPr>
            <w:r>
              <w:rPr>
                <w:sz w:val="22"/>
                <w:szCs w:val="22"/>
              </w:rPr>
              <w:t>N/A</w:t>
            </w:r>
          </w:p>
        </w:tc>
        <w:tc>
          <w:tcPr>
            <w:tcW w:w="1671" w:type="dxa"/>
            <w:tcBorders/>
          </w:tcPr>
          <w:p>
            <w:pPr>
              <w:pStyle w:val="TextBody"/>
              <w:widowControl w:val="false"/>
              <w:spacing w:before="0" w:after="140"/>
              <w:rPr>
                <w:sz w:val="22"/>
                <w:szCs w:val="22"/>
              </w:rPr>
            </w:pPr>
            <w:r>
              <w:rPr>
                <w:sz w:val="22"/>
                <w:szCs w:val="22"/>
              </w:rPr>
              <w:t>N/A</w:t>
            </w:r>
          </w:p>
        </w:tc>
      </w:tr>
      <w:tr>
        <w:trPr>
          <w:trHeight w:val="528" w:hRule="atLeast"/>
        </w:trPr>
        <w:tc>
          <w:tcPr>
            <w:tcW w:w="559" w:type="dxa"/>
            <w:tcBorders/>
          </w:tcPr>
          <w:p>
            <w:pPr>
              <w:pStyle w:val="TextBody"/>
              <w:widowControl w:val="false"/>
              <w:spacing w:before="0" w:after="140"/>
              <w:rPr>
                <w:sz w:val="22"/>
                <w:szCs w:val="22"/>
              </w:rPr>
            </w:pPr>
            <w:r>
              <w:rPr>
                <w:sz w:val="22"/>
                <w:szCs w:val="22"/>
              </w:rPr>
              <w:t>6</w:t>
            </w:r>
          </w:p>
        </w:tc>
        <w:tc>
          <w:tcPr>
            <w:tcW w:w="1431" w:type="dxa"/>
            <w:tcBorders/>
          </w:tcPr>
          <w:p>
            <w:pPr>
              <w:pStyle w:val="TextBody"/>
              <w:widowControl w:val="false"/>
              <w:spacing w:before="0" w:after="140"/>
              <w:rPr>
                <w:sz w:val="22"/>
                <w:szCs w:val="22"/>
              </w:rPr>
            </w:pPr>
            <w:r>
              <w:rPr>
                <w:sz w:val="22"/>
                <w:szCs w:val="22"/>
              </w:rPr>
              <w:t>February 1998</w:t>
            </w:r>
          </w:p>
        </w:tc>
        <w:tc>
          <w:tcPr>
            <w:tcW w:w="1191" w:type="dxa"/>
            <w:tcBorders/>
          </w:tcPr>
          <w:p>
            <w:pPr>
              <w:pStyle w:val="TextBody"/>
              <w:widowControl w:val="false"/>
              <w:spacing w:before="0" w:after="140"/>
              <w:rPr>
                <w:sz w:val="22"/>
                <w:szCs w:val="22"/>
              </w:rPr>
            </w:pPr>
            <w:r>
              <w:rPr>
                <w:sz w:val="22"/>
                <w:szCs w:val="22"/>
              </w:rPr>
            </w:r>
          </w:p>
        </w:tc>
        <w:tc>
          <w:tcPr>
            <w:tcW w:w="1078" w:type="dxa"/>
            <w:tcBorders/>
          </w:tcPr>
          <w:p>
            <w:pPr>
              <w:pStyle w:val="TextBody"/>
              <w:widowControl w:val="false"/>
              <w:spacing w:before="0" w:after="140"/>
              <w:rPr>
                <w:sz w:val="22"/>
                <w:szCs w:val="22"/>
              </w:rPr>
            </w:pPr>
            <w:r>
              <w:rPr>
                <w:sz w:val="22"/>
                <w:szCs w:val="22"/>
              </w:rPr>
              <w:t>Tokyo</w:t>
            </w:r>
          </w:p>
        </w:tc>
        <w:tc>
          <w:tcPr>
            <w:tcW w:w="1119" w:type="dxa"/>
            <w:tcBorders/>
          </w:tcPr>
          <w:p>
            <w:pPr>
              <w:pStyle w:val="Normal"/>
              <w:widowControl w:val="false"/>
              <w:rPr>
                <w:sz w:val="22"/>
                <w:szCs w:val="22"/>
              </w:rPr>
            </w:pPr>
            <w:r>
              <w:rPr>
                <w:sz w:val="22"/>
                <w:szCs w:val="22"/>
              </w:rPr>
            </w:r>
          </w:p>
        </w:tc>
        <w:tc>
          <w:tcPr>
            <w:tcW w:w="1105"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r>
          </w:p>
        </w:tc>
        <w:tc>
          <w:tcPr>
            <w:tcW w:w="1671"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7</w:t>
            </w:r>
          </w:p>
        </w:tc>
        <w:tc>
          <w:tcPr>
            <w:tcW w:w="1431" w:type="dxa"/>
            <w:tcBorders/>
          </w:tcPr>
          <w:p>
            <w:pPr>
              <w:pStyle w:val="TextBody"/>
              <w:widowControl w:val="false"/>
              <w:spacing w:before="0" w:after="140"/>
              <w:rPr>
                <w:sz w:val="22"/>
                <w:szCs w:val="22"/>
              </w:rPr>
            </w:pPr>
            <w:r>
              <w:rPr>
                <w:sz w:val="22"/>
                <w:szCs w:val="22"/>
              </w:rPr>
              <w:t>October 1998</w:t>
            </w:r>
          </w:p>
        </w:tc>
        <w:tc>
          <w:tcPr>
            <w:tcW w:w="1191" w:type="dxa"/>
            <w:tcBorders/>
          </w:tcPr>
          <w:p>
            <w:pPr>
              <w:pStyle w:val="TextBody"/>
              <w:widowControl w:val="false"/>
              <w:spacing w:before="0" w:after="140"/>
              <w:rPr>
                <w:sz w:val="22"/>
                <w:szCs w:val="22"/>
              </w:rPr>
            </w:pPr>
            <w:r>
              <w:rPr>
                <w:sz w:val="22"/>
                <w:szCs w:val="22"/>
              </w:rPr>
            </w:r>
          </w:p>
        </w:tc>
        <w:tc>
          <w:tcPr>
            <w:tcW w:w="1078" w:type="dxa"/>
            <w:tcBorders/>
          </w:tcPr>
          <w:p>
            <w:pPr>
              <w:pStyle w:val="TextBody"/>
              <w:widowControl w:val="false"/>
              <w:spacing w:before="0" w:after="140"/>
              <w:rPr>
                <w:sz w:val="22"/>
                <w:szCs w:val="22"/>
              </w:rPr>
            </w:pPr>
            <w:r>
              <w:rPr>
                <w:sz w:val="22"/>
                <w:szCs w:val="22"/>
              </w:rPr>
              <w:t>Tampa</w:t>
            </w:r>
          </w:p>
        </w:tc>
        <w:tc>
          <w:tcPr>
            <w:tcW w:w="1119" w:type="dxa"/>
            <w:tcBorders/>
          </w:tcPr>
          <w:p>
            <w:pPr>
              <w:pStyle w:val="Normal"/>
              <w:widowControl w:val="false"/>
              <w:rPr>
                <w:sz w:val="22"/>
                <w:szCs w:val="22"/>
              </w:rPr>
            </w:pPr>
            <w:r>
              <w:rPr>
                <w:sz w:val="22"/>
                <w:szCs w:val="22"/>
              </w:rPr>
              <w:t>Florida</w:t>
            </w:r>
          </w:p>
        </w:tc>
        <w:tc>
          <w:tcPr>
            <w:tcW w:w="1105" w:type="dxa"/>
            <w:tcBorders/>
          </w:tcPr>
          <w:p>
            <w:pPr>
              <w:pStyle w:val="TextBody"/>
              <w:widowControl w:val="false"/>
              <w:spacing w:before="0" w:after="140"/>
              <w:rPr>
                <w:sz w:val="22"/>
                <w:szCs w:val="22"/>
              </w:rPr>
            </w:pPr>
            <w:r>
              <w:rPr>
                <w:sz w:val="22"/>
                <w:szCs w:val="22"/>
              </w:rPr>
              <w:t>USA</w:t>
            </w:r>
          </w:p>
        </w:tc>
        <w:tc>
          <w:tcPr>
            <w:tcW w:w="1484" w:type="dxa"/>
            <w:tcBorders/>
          </w:tcPr>
          <w:p>
            <w:pPr>
              <w:pStyle w:val="TextBody"/>
              <w:widowControl w:val="false"/>
              <w:spacing w:before="0" w:after="140"/>
              <w:rPr>
                <w:sz w:val="22"/>
                <w:szCs w:val="22"/>
              </w:rPr>
            </w:pPr>
            <w:r>
              <w:rPr>
                <w:sz w:val="22"/>
                <w:szCs w:val="22"/>
              </w:rPr>
            </w:r>
          </w:p>
        </w:tc>
        <w:tc>
          <w:tcPr>
            <w:tcW w:w="1671"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9–12</w:t>
            </w:r>
          </w:p>
        </w:tc>
        <w:tc>
          <w:tcPr>
            <w:tcW w:w="9079" w:type="dxa"/>
            <w:gridSpan w:val="7"/>
            <w:tcBorders/>
          </w:tcPr>
          <w:p>
            <w:pPr>
              <w:pStyle w:val="TextBody"/>
              <w:widowControl w:val="false"/>
              <w:spacing w:before="0" w:after="140"/>
              <w:rPr>
                <w:i/>
                <w:i/>
                <w:iCs/>
                <w:sz w:val="22"/>
                <w:szCs w:val="22"/>
              </w:rPr>
            </w:pPr>
            <w:r>
              <w:rPr>
                <w:i/>
                <w:iCs/>
                <w:sz w:val="22"/>
                <w:szCs w:val="22"/>
              </w:rPr>
              <w:t>(Not recorded)</w:t>
            </w:r>
          </w:p>
        </w:tc>
      </w:tr>
      <w:tr>
        <w:trPr>
          <w:trHeight w:val="528" w:hRule="atLeast"/>
        </w:trPr>
        <w:tc>
          <w:tcPr>
            <w:tcW w:w="559" w:type="dxa"/>
            <w:tcBorders/>
          </w:tcPr>
          <w:p>
            <w:pPr>
              <w:pStyle w:val="TextBody"/>
              <w:widowControl w:val="false"/>
              <w:spacing w:before="0" w:after="140"/>
              <w:rPr>
                <w:sz w:val="22"/>
                <w:szCs w:val="22"/>
              </w:rPr>
            </w:pPr>
            <w:r>
              <w:rPr>
                <w:sz w:val="22"/>
                <w:szCs w:val="22"/>
              </w:rPr>
              <w:t>13</w:t>
            </w:r>
          </w:p>
        </w:tc>
        <w:tc>
          <w:tcPr>
            <w:tcW w:w="1431" w:type="dxa"/>
            <w:tcBorders/>
          </w:tcPr>
          <w:p>
            <w:pPr>
              <w:pStyle w:val="TextBody"/>
              <w:widowControl w:val="false"/>
              <w:spacing w:before="0" w:after="140"/>
              <w:rPr>
                <w:sz w:val="22"/>
                <w:szCs w:val="22"/>
              </w:rPr>
            </w:pPr>
            <w:r>
              <w:rPr>
                <w:sz w:val="22"/>
                <w:szCs w:val="22"/>
              </w:rPr>
              <w:t>2006</w:t>
            </w:r>
          </w:p>
        </w:tc>
        <w:tc>
          <w:tcPr>
            <w:tcW w:w="1191" w:type="dxa"/>
            <w:tcBorders/>
          </w:tcPr>
          <w:p>
            <w:pPr>
              <w:pStyle w:val="TextBody"/>
              <w:widowControl w:val="false"/>
              <w:spacing w:before="0" w:after="140"/>
              <w:rPr>
                <w:sz w:val="22"/>
                <w:szCs w:val="22"/>
              </w:rPr>
            </w:pPr>
            <w:r>
              <w:rPr>
                <w:sz w:val="22"/>
                <w:szCs w:val="22"/>
              </w:rPr>
              <w:t>The Dinosaur Store</w:t>
            </w:r>
          </w:p>
        </w:tc>
        <w:tc>
          <w:tcPr>
            <w:tcW w:w="1078" w:type="dxa"/>
            <w:tcBorders/>
          </w:tcPr>
          <w:p>
            <w:pPr>
              <w:pStyle w:val="TextBody"/>
              <w:widowControl w:val="false"/>
              <w:spacing w:before="0" w:after="140"/>
              <w:rPr>
                <w:sz w:val="22"/>
                <w:szCs w:val="22"/>
              </w:rPr>
            </w:pPr>
            <w:r>
              <w:rPr>
                <w:sz w:val="22"/>
                <w:szCs w:val="22"/>
              </w:rPr>
              <w:t>Cocoa Beach</w:t>
            </w:r>
          </w:p>
        </w:tc>
        <w:tc>
          <w:tcPr>
            <w:tcW w:w="1119" w:type="dxa"/>
            <w:tcBorders/>
          </w:tcPr>
          <w:p>
            <w:pPr>
              <w:pStyle w:val="Normal"/>
              <w:widowControl w:val="false"/>
              <w:rPr>
                <w:sz w:val="22"/>
                <w:szCs w:val="22"/>
              </w:rPr>
            </w:pPr>
            <w:r>
              <w:rPr>
                <w:sz w:val="22"/>
                <w:szCs w:val="22"/>
              </w:rPr>
              <w:t>Florida</w:t>
            </w:r>
          </w:p>
        </w:tc>
        <w:tc>
          <w:tcPr>
            <w:tcW w:w="1105" w:type="dxa"/>
            <w:tcBorders/>
          </w:tcPr>
          <w:p>
            <w:pPr>
              <w:pStyle w:val="TextBody"/>
              <w:widowControl w:val="false"/>
              <w:spacing w:before="0" w:after="140"/>
              <w:rPr>
                <w:sz w:val="22"/>
                <w:szCs w:val="22"/>
              </w:rPr>
            </w:pPr>
            <w:r>
              <w:rPr>
                <w:sz w:val="22"/>
                <w:szCs w:val="22"/>
              </w:rPr>
              <w:t>USA</w:t>
            </w:r>
          </w:p>
        </w:tc>
        <w:tc>
          <w:tcPr>
            <w:tcW w:w="1484" w:type="dxa"/>
            <w:tcBorders/>
          </w:tcPr>
          <w:p>
            <w:pPr>
              <w:pStyle w:val="TextBody"/>
              <w:widowControl w:val="false"/>
              <w:spacing w:before="0" w:after="140"/>
              <w:rPr>
                <w:sz w:val="22"/>
                <w:szCs w:val="22"/>
              </w:rPr>
            </w:pPr>
            <w:r>
              <w:rPr>
                <w:sz w:val="22"/>
                <w:szCs w:val="22"/>
              </w:rPr>
            </w:r>
          </w:p>
        </w:tc>
        <w:tc>
          <w:tcPr>
            <w:tcW w:w="1671" w:type="dxa"/>
            <w:tcBorders/>
          </w:tcPr>
          <w:p>
            <w:pPr>
              <w:pStyle w:val="TextBody"/>
              <w:widowControl w:val="false"/>
              <w:spacing w:before="0" w:after="140"/>
              <w:rPr>
                <w:sz w:val="22"/>
                <w:szCs w:val="22"/>
              </w:rPr>
            </w:pPr>
            <w:r>
              <w:rPr>
                <w:sz w:val="22"/>
                <w:szCs w:val="22"/>
              </w:rPr>
            </w:r>
          </w:p>
        </w:tc>
      </w:tr>
    </w:tbl>
    <w:p>
      <w:pPr>
        <w:pStyle w:val="TextBody"/>
        <w:spacing w:before="0" w:after="140"/>
        <w:rPr/>
      </w:pPr>
      <w:r>
        <w:rPr/>
      </w:r>
    </w:p>
    <w:sectPr>
      <w:headerReference w:type="default" r:id="rId31"/>
      <w:type w:val="nextPage"/>
      <w:pgSz w:w="11906" w:h="16838"/>
      <w:pgMar w:left="1134" w:right="1134" w:gutter="0" w:header="1134" w:top="1696"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smallCaps/>
      </w:rPr>
      <w:t xml:space="preserve">Taylor et al. — Concrete </w:t>
    </w:r>
    <w:r>
      <w:rPr>
        <w:i/>
        <w:iCs/>
        <w:smallCaps/>
      </w:rPr>
      <w:t>Diplodocus</w:t>
      <w:tab/>
      <w:tab/>
    </w:r>
    <w:r>
      <w:rPr>
        <w:i w:val="false"/>
        <w:iCs w:val="false"/>
        <w:smallCaps/>
      </w:rPr>
      <w:t>p</w:t>
    </w:r>
    <w:r>
      <w:rPr>
        <w:i w:val="false"/>
        <w:iCs w:val="false"/>
        <w:smallCaps/>
      </w:rPr>
      <w:fldChar w:fldCharType="begin"/>
    </w:r>
    <w:r>
      <w:rPr>
        <w:smallCaps/>
        <w:i w:val="false"/>
        <w:iCs w:val="false"/>
      </w:rPr>
      <w:instrText xml:space="preserve"> PAGE </w:instrText>
    </w:r>
    <w:r>
      <w:rPr>
        <w:smallCaps/>
        <w:i w:val="false"/>
        <w:iCs w:val="false"/>
      </w:rPr>
      <w:fldChar w:fldCharType="separate"/>
    </w:r>
    <w:r>
      <w:rPr>
        <w:smallCaps/>
        <w:i w:val="false"/>
        <w:iCs w:val="false"/>
      </w:rPr>
      <w:t>24</w:t>
    </w:r>
    <w:r>
      <w:rPr>
        <w:smallCaps/>
        <w:i w:val="false"/>
        <w:iCs w:val="false"/>
      </w:rPr>
      <w:fldChar w:fldCharType="end"/>
    </w:r>
    <w:r>
      <w:rPr>
        <w:i w:val="false"/>
        <w:iCs w:val="false"/>
        <w:smallCaps/>
      </w:rPr>
      <w:t>/</w:t>
    </w:r>
    <w:r>
      <w:rPr>
        <w:i w:val="false"/>
        <w:iCs w:val="false"/>
        <w:smallCaps/>
      </w:rPr>
      <w:fldChar w:fldCharType="begin"/>
    </w:r>
    <w:r>
      <w:rPr>
        <w:smallCaps/>
        <w:i w:val="false"/>
        <w:iCs w:val="false"/>
      </w:rPr>
      <w:instrText xml:space="preserve"> NUMPAGES </w:instrText>
    </w:r>
    <w:r>
      <w:rPr>
        <w:smallCaps/>
        <w:i w:val="false"/>
        <w:iCs w:val="false"/>
      </w:rPr>
      <w:fldChar w:fldCharType="separate"/>
    </w:r>
    <w:r>
      <w:rPr>
        <w:smallCaps/>
        <w:i w:val="false"/>
        <w:iCs w:val="false"/>
      </w:rPr>
      <w:t>24</w:t>
    </w:r>
    <w:r>
      <w:rPr>
        <w:smallCaps/>
        <w:i w:val="false"/>
        <w:iCs w:val="false"/>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0"/>
      </w:numPr>
      <w:spacing w:before="567" w:after="142"/>
      <w:outlineLvl w:val="0"/>
    </w:pPr>
    <w:rPr>
      <w:bCs/>
      <w:sz w:val="32"/>
      <w:szCs w:val="36"/>
    </w:rPr>
  </w:style>
  <w:style w:type="paragraph" w:styleId="Heading2">
    <w:name w:val="Heading 2"/>
    <w:basedOn w:val="Heading"/>
    <w:next w:val="TextBody"/>
    <w:qFormat/>
    <w:pPr>
      <w:numPr>
        <w:ilvl w:val="0"/>
        <w:numId w:val="0"/>
      </w:numPr>
      <w:spacing w:before="198" w:after="119"/>
      <w:outlineLvl w:val="1"/>
    </w:pPr>
    <w:rPr>
      <w:rFonts w:eastAsia="Songti SC"/>
      <w:bCs/>
      <w:sz w:val="24"/>
      <w:szCs w:val="36"/>
    </w:rPr>
  </w:style>
  <w:style w:type="paragraph" w:styleId="Heading3">
    <w:name w:val="Heading 3"/>
    <w:basedOn w:val="Heading"/>
    <w:next w:val="TextBody"/>
    <w:qFormat/>
    <w:pPr>
      <w:numPr>
        <w:ilvl w:val="0"/>
        <w:numId w:val="0"/>
      </w:numPr>
      <w:spacing w:before="142" w:after="142"/>
      <w:outlineLvl w:val="2"/>
    </w:pPr>
    <w:rPr>
      <w:b w:val="false"/>
      <w:bCs/>
      <w:sz w:val="22"/>
    </w:rPr>
  </w:style>
  <w:style w:type="paragraph" w:styleId="Heading4">
    <w:name w:val="Heading 4"/>
    <w:basedOn w:val="Normal"/>
    <w:next w:val="Normal"/>
    <w:link w:val="Heading4Char"/>
    <w:qFormat/>
    <w:pPr>
      <w:keepNext w:val="true"/>
      <w:keepLines/>
      <w:numPr>
        <w:ilvl w:val="0"/>
        <w:numId w:val="0"/>
      </w:numPr>
      <w:spacing w:before="40" w:after="0"/>
      <w:outlineLvl w:val="3"/>
    </w:pPr>
    <w:rPr>
      <w:rFonts w:ascii="Calibri Light" w:hAnsi="Calibri Light" w:eastAsia="Songti SC" w:cs="Mangal"/>
      <w:i/>
      <w:iCs/>
      <w:color w:val="2F5496"/>
      <w:szCs w:val="21"/>
    </w:rPr>
  </w:style>
  <w:style w:type="character" w:styleId="DefaultParagraphFont">
    <w:name w:val="Default Paragraph Font"/>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ascii="Baskerville" w:hAnsi="Baskerville" w:cs="Mangal"/>
      <w:szCs w:val="18"/>
    </w:rPr>
  </w:style>
  <w:style w:type="character" w:styleId="CommentSubjectChar">
    <w:name w:val="Comment Subject Char"/>
    <w:basedOn w:val="CommentTextChar"/>
    <w:qFormat/>
    <w:rPr>
      <w:rFonts w:ascii="Baskerville" w:hAnsi="Baskerville" w:cs="Mangal"/>
      <w:b/>
      <w:bCs/>
      <w:szCs w:val="18"/>
    </w:rPr>
  </w:style>
  <w:style w:type="character" w:styleId="Heading4Char">
    <w:name w:val="Heading 4 Char"/>
    <w:basedOn w:val="DefaultParagraphFont"/>
    <w:link w:val="Heading4"/>
    <w:qFormat/>
    <w:rPr>
      <w:rFonts w:ascii="Calibri Light" w:hAnsi="Calibri Light" w:eastAsia="Songti SC" w:cs="Mangal"/>
      <w:i/>
      <w:iCs/>
      <w:color w:val="2F5496"/>
      <w:sz w:val="24"/>
      <w:szCs w:val="21"/>
    </w:rPr>
  </w:style>
  <w:style w:type="character" w:styleId="LineNumbering">
    <w:name w:val="Line Numbering"/>
    <w:rPr/>
  </w:style>
  <w:style w:type="paragraph" w:styleId="Heading">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qFormat/>
    <w:pPr>
      <w:spacing w:before="238" w:after="119"/>
      <w:ind w:left="0" w:right="0" w:hanging="0"/>
    </w:pPr>
    <w:rPr>
      <w:bCs/>
      <w:sz w:val="40"/>
      <w:szCs w:val="56"/>
    </w:rPr>
  </w:style>
  <w:style w:type="paragraph" w:styleId="Author">
    <w:name w:val="Author"/>
    <w:basedOn w:val="TextBody"/>
    <w:qFormat/>
    <w:pPr>
      <w:spacing w:before="0" w:after="142"/>
      <w:ind w:left="283" w:right="0" w:hanging="283"/>
    </w:pPr>
    <w:rPr>
      <w:i/>
    </w:rPr>
  </w:style>
  <w:style w:type="paragraph" w:styleId="Quotations">
    <w:name w:val="Quotations"/>
    <w:basedOn w:val="Normal"/>
    <w:qFormat/>
    <w:pPr>
      <w:spacing w:lineRule="auto" w:line="276" w:before="0" w:after="142"/>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name w:val="Reference"/>
    <w:basedOn w:val="TextBody"/>
    <w:qFormat/>
    <w:pPr>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Annotationtext">
    <w:name w:val="annotation text"/>
    <w:basedOn w:val="Normal"/>
    <w:link w:val="CommentTextChar"/>
    <w:qFormat/>
    <w:pPr/>
    <w:rPr>
      <w:rFonts w:cs="Mangal"/>
      <w:sz w:val="20"/>
      <w:szCs w:val="18"/>
    </w:rPr>
  </w:style>
  <w:style w:type="paragraph" w:styleId="Annotationsubject">
    <w:name w:val="annotation subject"/>
    <w:basedOn w:val="Annotationtext"/>
    <w:next w:val="Annotationtext"/>
    <w:link w:val="CommentSubjectChar"/>
    <w:qFormat/>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basedOn w:val="Normal"/>
    <w:pPr>
      <w:suppressLineNumbers/>
      <w:tabs>
        <w:tab w:val="clear" w:pos="720"/>
        <w:tab w:val="center" w:pos="4819" w:leader="none"/>
        <w:tab w:val="right" w:pos="9638"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h" TargetMode="External"/><Relationship Id="rId4" Type="http://schemas.openxmlformats.org/officeDocument/2006/relationships/hyperlink" Target="https://newspapers.lib.utah.edu/search" TargetMode="External"/><Relationship Id="rId5" Type="http://schemas.openxmlformats.org/officeDocument/2006/relationships/hyperlink" Target="https://newspaperarchive.com/" TargetMode="External"/><Relationship Id="rId6" Type="http://schemas.openxmlformats.org/officeDocument/2006/relationships/hyperlink" Target="https://newspapers.lib.utah.edu/details?id=21512583" TargetMode="External"/><Relationship Id="rId7" Type="http://schemas.openxmlformats.org/officeDocument/2006/relationships/hyperlink" Target="https://newspapers.lib.utah.edu/details?id=21493559" TargetMode="External"/><Relationship Id="rId8" Type="http://schemas.openxmlformats.org/officeDocument/2006/relationships/hyperlink" Target="https://newspapers.lib.utah.edu/details?id=21485044" TargetMode="External"/><Relationship Id="rId9" Type="http://schemas.openxmlformats.org/officeDocument/2006/relationships/hyperlink" Target="https://newspapers.lib.utah.edu/ark:/87278/s6zk6w6s/21338221" TargetMode="External"/><Relationship Id="rId10" Type="http://schemas.openxmlformats.org/officeDocument/2006/relationships/hyperlink" Target="https://newspaperarchive.com/rocky-mount-evening-telegram-jul-08-1960-p-4/" TargetMode="External"/><Relationship Id="rId11" Type="http://schemas.openxmlformats.org/officeDocument/2006/relationships/hyperlink" Target="https://newspapers.lib.utah.edu/ark:/87278/s6pk1vwz/21595150" TargetMode="External"/><Relationship Id="rId12" Type="http://schemas.openxmlformats.org/officeDocument/2006/relationships/hyperlink" Target="https://newspapers.lib.utah.edu/ark:/87278/s6515c19/21656624" TargetMode="External"/><Relationship Id="rId13" Type="http://schemas.openxmlformats.org/officeDocument/2006/relationships/hyperlink" Target="https://newspapers.lib.utah.edu/ark:/87278/s62v6594/22643733" TargetMode="External"/><Relationship Id="rId14" Type="http://schemas.openxmlformats.org/officeDocument/2006/relationships/hyperlink" Target="https://newspapers.lib.utah.edu/ark:/87278/s6rv4bxq/22646163" TargetMode="External"/><Relationship Id="rId15" Type="http://schemas.openxmlformats.org/officeDocument/2006/relationships/hyperlink" Target="https://newspapers.lib.utah.edu/details?id=22648688&amp;page=3&amp;q=Dippy&amp;sort=date_tdt+asc%2Cparent_i+asc%2Cpage_i+asc&amp;facet_paper=&quot;Vernal+Express&quot;" TargetMode="External"/><Relationship Id="rId16" Type="http://schemas.openxmlformats.org/officeDocument/2006/relationships/hyperlink" Target="https://www.legacy.com/us/obituaries/deseretnews/name/james-madsen-obituary?id=28417430" TargetMode="External"/><Relationship Id="rId17" Type="http://schemas.openxmlformats.org/officeDocument/2006/relationships/hyperlink" Target="https://web.archive.org/web/20220424032554/https://www.legacy.com/us/obituaries/deseretnews/name/james-madsen-obituary?id=28417430" TargetMode="External"/><Relationship Id="rId18" Type="http://schemas.openxmlformats.org/officeDocument/2006/relationships/hyperlink" Target="https://newspaperarchive.com/rocky-mount-evening-telegram-may-14-1960-p-2/" TargetMode="External"/><Relationship Id="rId19" Type="http://schemas.openxmlformats.org/officeDocument/2006/relationships/hyperlink" Target="https://newspaperarchive.com/rocky-mount-evening-telegram-jul-08-1960-p-8/" TargetMode="External"/><Relationship Id="rId20" Type="http://schemas.openxmlformats.org/officeDocument/2006/relationships/hyperlink" Target="https://collections.lib.utah.edu/details?id=1086142" TargetMode="External"/><Relationship Id="rId21" Type="http://schemas.openxmlformats.org/officeDocument/2006/relationships/hyperlink" Target="https://www.tampabay.com/news/business/tourism/mosi-to-close-part-of-its-building-to-save-money-before-move-to-downtown/2324358/" TargetMode="External"/><Relationship Id="rId22" Type="http://schemas.openxmlformats.org/officeDocument/2006/relationships/hyperlink" Target="https://web.archive.org/web/20211125120642/https://www.tampabay.com/news/business/tourism/mosi-to-close-part-of-its-building-to-save-money-before-move-to-downtown/2324358/" TargetMode="External"/><Relationship Id="rId23" Type="http://schemas.openxmlformats.org/officeDocument/2006/relationships/hyperlink" Target="https://newspapers.lib.utah.edu/ark:/87278/s62v6594/22643733" TargetMode="External"/><Relationship Id="rId24" Type="http://schemas.openxmlformats.org/officeDocument/2006/relationships/hyperlink" Target="https://archiveswest.orbiscascade.org/ark:/80444/xv38626" TargetMode="External"/><Relationship Id="rId25" Type="http://schemas.openxmlformats.org/officeDocument/2006/relationships/hyperlink" Target="https://web.archive.org/web/20220610005257/https://archiveswest.orbiscascade.org/ark:/80444/xv38626" TargetMode="External"/><Relationship Id="rId26" Type="http://schemas.openxmlformats.org/officeDocument/2006/relationships/hyperlink" Target="https://newspapers.lib.utah.edu/ark:/87278/s6r53f0k/22649899" TargetMode="External"/><Relationship Id="rId27" Type="http://schemas.openxmlformats.org/officeDocument/2006/relationships/hyperlink" Target="http://hdl.handle.net/2246/6497" TargetMode="External"/><Relationship Id="rId28" Type="http://schemas.openxmlformats.org/officeDocument/2006/relationships/hyperlink" Target="https://wusfnews.wusf.usf.edu/news/2017-05-18/mosi-to-close-imax-other-exhibits-in-cost-saving-reconfiguration" TargetMode="External"/><Relationship Id="rId29" Type="http://schemas.openxmlformats.org/officeDocument/2006/relationships/hyperlink" Target="https://web.archive.org/web/20210507091810/https://wusfnews.wusf.usf.edu/news/2017-05-18/mosi-to-close-imax-other-exhibits-in-cost-saving-reconfiguration" TargetMode="External"/><Relationship Id="rId30" Type="http://schemas.openxmlformats.org/officeDocument/2006/relationships/hyperlink" Target="https://newspaperarchive.com/rocky-mount-evening-telegram-apr-24-1960-p-11/" TargetMode="External"/><Relationship Id="rId31" Type="http://schemas.openxmlformats.org/officeDocument/2006/relationships/header" Target="head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32065</TotalTime>
  <Application>LibreOffice/7.3.6.2$Linux_X86_64 LibreOffice_project/30$Build-2</Application>
  <AppVersion>15.0000</AppVersion>
  <Pages>24</Pages>
  <Words>12389</Words>
  <Characters>64964</Characters>
  <CharactersWithSpaces>77088</CharactersWithSpaces>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
  <dcterms:modified xsi:type="dcterms:W3CDTF">2022-10-26T12:56:34Z</dcterms:modified>
  <cp:revision>719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