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16</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20</w:t>
            </w:r>
          </w:hyperlink>
        </w:p>
        <w:p>
          <w:pPr>
            <w:pStyle w:val="Contents1"/>
            <w:rPr/>
          </w:pPr>
          <w:hyperlink w:anchor="__RefHeading___Toc3407_68767826">
            <w:r>
              <w:rPr>
                <w:rStyle w:val="IndexLink"/>
              </w:rPr>
              <w:t>Figure Captions</w:t>
              <w:tab/>
              <w:t>26</w:t>
            </w:r>
          </w:hyperlink>
        </w:p>
        <w:p>
          <w:pPr>
            <w:pStyle w:val="Contents1"/>
            <w:rPr/>
          </w:pPr>
          <w:hyperlink w:anchor="__RefHeading___Toc4426_1817233446">
            <w:r>
              <w:rPr>
                <w:rStyle w:val="IndexLink"/>
              </w:rPr>
              <w:t>Tables</w:t>
              <w:tab/>
              <w:t>28</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(Ogawa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labour and material, and perhaps lack of interest also” (Ogawa 1957). More specifically, the Los Angeles museum had recently acquired the California Institute of Technology collection of 55,000 vertebrate follows,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where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t xml:space="preserve">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w:t>
      </w:r>
      <w:r>
        <w:rPr/>
        <w:t xml:space="preserve">It seems then, that </w:t>
      </w:r>
      <w:r>
        <w:rPr/>
        <w:t xml:space="preserve">while </w:t>
      </w:r>
      <w:r>
        <w:rPr/>
        <w:t xml:space="preserve">some casts were probably made from the molds, the project petered out </w:t>
      </w:r>
      <w:r>
        <w:rPr/>
        <w:t>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t>
      </w:r>
      <w:r>
        <w:rPr/>
        <w:t xml:space="preserve">the molds cannot be located at the </w:t>
      </w:r>
      <w:r>
        <w:rPr/>
        <w:t xml:space="preserve">Houston Museum </w:t>
      </w:r>
      <w:r>
        <w:rPr/>
        <w:t>(Robert Bakker, pers. comm., 2022)</w:t>
      </w:r>
      <w:r>
        <w:rPr/>
        <w:t xml:space="preserve">. Brian Curtice (pers. comm., 2022) </w:t>
      </w:r>
      <w:r>
        <w:rPr/>
        <w:t xml:space="preserve">also </w:t>
      </w:r>
      <w:r>
        <w:rPr/>
        <w:t xml:space="preserve">reports that he was in Houston in 1995 and did not see the molds in the collection, nor hear of their ever having been there. In the absence of evidence that the molds ever made it to Houston, it seems </w:t>
      </w:r>
      <w:r>
        <w:rPr/>
        <w:t>more</w:t>
      </w:r>
      <w:r>
        <w:rPr/>
        <w:t xml:space="preserve">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w:t>
      </w:r>
      <w:r>
        <w:rPr/>
        <w:t xml:space="preserve">Robert Bakker (Houston Museum of Natural History), </w:t>
      </w:r>
      <w:r>
        <w:rPr/>
        <w:t>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Anonymous. Undated. “Dippy” the Traffic Stopper. (Journal, volume and pagination not known.)</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right="0" w:hanging="0"/>
        <w:rPr/>
      </w:pPr>
      <w:r>
        <w:rPr/>
        <w:t xml:space="preserve">Dinolab, inc. 2001. </w:t>
      </w:r>
      <w:r>
        <w:rPr>
          <w:i/>
          <w:iCs/>
        </w:rPr>
        <w:t>UT Field House of Natural History accounting sheet</w:t>
      </w:r>
      <w:r>
        <w:rPr/>
        <w:t>. August 2001.</w:t>
      </w:r>
    </w:p>
    <w:p>
      <w:pPr>
        <w:pStyle w:val="Reference"/>
        <w:ind w:right="0"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r>
        <w:rPr/>
        <w:t>Peter H. Laraba.</w:t>
      </w:r>
      <w:r>
        <w:rPr/>
        <w:t xml:space="preserve"> 1985. </w:t>
      </w:r>
      <w:r>
        <w:rPr/>
        <w:t>Letter to</w:t>
      </w:r>
      <w:r>
        <w:rPr/>
        <w:t xml:space="preserve"> </w:t>
      </w:r>
      <w:r>
        <w:rPr/>
        <w:t xml:space="preserve">Karl L. </w:t>
      </w:r>
      <w:r>
        <w:rPr/>
        <w:t xml:space="preserve">McKinnon. </w:t>
      </w:r>
      <w:r>
        <w:rPr/>
        <w:t>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 xml:space="preserve">McKinnon, </w:t>
      </w:r>
      <w:r>
        <w:rPr/>
        <w:t>Karl L.</w:t>
      </w:r>
      <w:r>
        <w:rPr/>
        <w:t xml:space="preserve"> 1985. </w:t>
      </w:r>
      <w:r>
        <w:rPr/>
        <w:t>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w:t>
      </w:r>
    </w:p>
    <w:p>
      <w:pPr>
        <w:pStyle w:val="Reference"/>
        <w:rPr>
          <w:shd w:fill="FFFF00" w:val="clear"/>
        </w:rPr>
      </w:pPr>
      <w:r>
        <w:rPr/>
        <w:t xml:space="preserve">Taylor, Michael P., Peter May, Lowell Dingus and Eugene S. Gaffney. In prep, b. The skeletal reconstruction of </w:t>
      </w:r>
      <w:r>
        <w:rPr>
          <w:i/>
          <w:iCs/>
        </w:rPr>
        <w:t>Barosaurus lentus</w:t>
      </w:r>
      <w:r>
        <w:rPr/>
        <w:t xml:space="preserve"> in the American Museum of Natural History.</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2">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3">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4" w:name="__RefHeading___Toc4426_1817233446"/>
      <w:bookmarkEnd w:id="24"/>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w:t>
      </w:r>
      <w:r>
        <w:rPr/>
        <w:t>three</w:t>
      </w:r>
      <w:r>
        <w:rPr/>
        <w:t xml:space="preserve"> sources of information: a list maintained by Dinolab and forwarded by Brian D. Curtice; James H. Madsen’s (1993) memorandum to Mary Dawson (Carnegie Museum) and Alden H. Hamlin (Utah Field House); </w:t>
      </w:r>
      <w:r>
        <w:rPr/>
        <w:t>and an accounting made by Dinolab to Steve Sroke shortly after he started work at the Field House (Dinolab 2001)</w:t>
      </w:r>
      <w:r>
        <w:rPr/>
        <w:t xml:space="preserve">. The </w:t>
      </w:r>
      <w:r>
        <w:rPr/>
        <w:t>first of these</w:t>
      </w:r>
      <w:r>
        <w:rPr/>
        <w:t xml:space="preserve"> lists specific cities that the casts were sent </w:t>
      </w:r>
      <w:r>
        <w:rPr/>
        <w:t>to</w:t>
      </w:r>
      <w:r>
        <w:rPr/>
        <w:t xml:space="preserve">, includes dates, and extends to #13; the </w:t>
      </w:r>
      <w:r>
        <w:rPr/>
        <w:t xml:space="preserve">second </w:t>
      </w:r>
      <w:r>
        <w:rPr/>
        <w:t xml:space="preserve">lists only the first four casts, lists clients, gives regions rather than cites, and notes what royalties were paid; </w:t>
      </w:r>
      <w:r>
        <w:rPr/>
        <w:t xml:space="preserve">the third notes where payments were made “in kind” as contribution towards the cost of a </w:t>
      </w:r>
      <w:r>
        <w:rPr>
          <w:i/>
          <w:iCs/>
        </w:rPr>
        <w:t>Stegosaurus</w:t>
      </w:r>
      <w:r>
        <w:rPr/>
        <w:t xml:space="preserve"> cast</w:t>
      </w:r>
      <w:r>
        <w:rPr/>
        <w: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365"/>
        <w:gridCol w:w="1480"/>
        <w:gridCol w:w="1073"/>
        <w:gridCol w:w="1074"/>
        <w:gridCol w:w="968"/>
        <w:gridCol w:w="1925"/>
        <w:gridCol w:w="1192"/>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5" w:type="dxa"/>
            <w:tcBorders/>
          </w:tcPr>
          <w:p>
            <w:pPr>
              <w:pStyle w:val="TextBody"/>
              <w:widowControl w:val="false"/>
              <w:spacing w:before="0" w:after="140"/>
              <w:rPr>
                <w:b/>
                <w:b/>
                <w:bCs/>
                <w:sz w:val="22"/>
                <w:szCs w:val="22"/>
              </w:rPr>
            </w:pPr>
            <w:r>
              <w:rPr>
                <w:b/>
                <w:bCs/>
                <w:sz w:val="22"/>
                <w:szCs w:val="22"/>
              </w:rPr>
              <w:t>Date</w:t>
            </w:r>
          </w:p>
        </w:tc>
        <w:tc>
          <w:tcPr>
            <w:tcW w:w="1480" w:type="dxa"/>
            <w:tcBorders/>
          </w:tcPr>
          <w:p>
            <w:pPr>
              <w:pStyle w:val="TextBody"/>
              <w:widowControl w:val="false"/>
              <w:spacing w:before="0" w:after="140"/>
              <w:rPr>
                <w:b/>
                <w:b/>
                <w:bCs/>
                <w:sz w:val="22"/>
                <w:szCs w:val="22"/>
              </w:rPr>
            </w:pPr>
            <w:r>
              <w:rPr>
                <w:b/>
                <w:bCs/>
                <w:sz w:val="22"/>
                <w:szCs w:val="22"/>
              </w:rPr>
              <w:t>Client</w:t>
            </w:r>
          </w:p>
        </w:tc>
        <w:tc>
          <w:tcPr>
            <w:tcW w:w="1073" w:type="dxa"/>
            <w:tcBorders/>
          </w:tcPr>
          <w:p>
            <w:pPr>
              <w:pStyle w:val="TextBody"/>
              <w:widowControl w:val="false"/>
              <w:spacing w:before="0" w:after="140"/>
              <w:rPr>
                <w:b/>
                <w:b/>
                <w:bCs/>
                <w:sz w:val="22"/>
                <w:szCs w:val="22"/>
              </w:rPr>
            </w:pPr>
            <w:r>
              <w:rPr>
                <w:b/>
                <w:bCs/>
                <w:sz w:val="22"/>
                <w:szCs w:val="22"/>
              </w:rPr>
              <w:t>City</w:t>
            </w:r>
          </w:p>
        </w:tc>
        <w:tc>
          <w:tcPr>
            <w:tcW w:w="1074" w:type="dxa"/>
            <w:tcBorders/>
          </w:tcPr>
          <w:p>
            <w:pPr>
              <w:pStyle w:val="TextBody"/>
              <w:widowControl w:val="false"/>
              <w:spacing w:before="0" w:after="140"/>
              <w:rPr>
                <w:b/>
                <w:b/>
                <w:bCs/>
                <w:sz w:val="22"/>
                <w:szCs w:val="22"/>
              </w:rPr>
            </w:pPr>
            <w:r>
              <w:rPr>
                <w:b/>
                <w:bCs/>
                <w:sz w:val="22"/>
                <w:szCs w:val="22"/>
              </w:rPr>
              <w:t>Region</w:t>
            </w:r>
          </w:p>
        </w:tc>
        <w:tc>
          <w:tcPr>
            <w:tcW w:w="968" w:type="dxa"/>
            <w:tcBorders/>
          </w:tcPr>
          <w:p>
            <w:pPr>
              <w:pStyle w:val="TextBody"/>
              <w:widowControl w:val="false"/>
              <w:spacing w:before="0" w:after="140"/>
              <w:rPr>
                <w:b/>
                <w:b/>
                <w:bCs/>
                <w:sz w:val="22"/>
                <w:szCs w:val="22"/>
              </w:rPr>
            </w:pPr>
            <w:r>
              <w:rPr>
                <w:b/>
                <w:bCs/>
                <w:sz w:val="22"/>
                <w:szCs w:val="22"/>
              </w:rPr>
              <w:t>Country</w:t>
            </w:r>
          </w:p>
        </w:tc>
        <w:tc>
          <w:tcPr>
            <w:tcW w:w="3117"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5" w:type="dxa"/>
            <w:tcBorders/>
          </w:tcPr>
          <w:p>
            <w:pPr>
              <w:pStyle w:val="TextBody"/>
              <w:widowControl w:val="false"/>
              <w:spacing w:before="0" w:after="140"/>
              <w:rPr>
                <w:b/>
                <w:b/>
                <w:bCs/>
                <w:sz w:val="22"/>
                <w:szCs w:val="22"/>
              </w:rPr>
            </w:pPr>
            <w:r>
              <w:rPr>
                <w:b/>
                <w:bCs/>
                <w:sz w:val="22"/>
                <w:szCs w:val="22"/>
              </w:rPr>
            </w:r>
          </w:p>
        </w:tc>
        <w:tc>
          <w:tcPr>
            <w:tcW w:w="1480" w:type="dxa"/>
            <w:tcBorders/>
          </w:tcPr>
          <w:p>
            <w:pPr>
              <w:pStyle w:val="TextBody"/>
              <w:widowControl w:val="false"/>
              <w:spacing w:before="0" w:after="140"/>
              <w:rPr>
                <w:b/>
                <w:b/>
                <w:bCs/>
                <w:sz w:val="22"/>
                <w:szCs w:val="22"/>
              </w:rPr>
            </w:pPr>
            <w:r>
              <w:rPr>
                <w:b/>
                <w:bCs/>
                <w:sz w:val="22"/>
                <w:szCs w:val="22"/>
              </w:rPr>
            </w:r>
          </w:p>
        </w:tc>
        <w:tc>
          <w:tcPr>
            <w:tcW w:w="1073" w:type="dxa"/>
            <w:tcBorders/>
          </w:tcPr>
          <w:p>
            <w:pPr>
              <w:pStyle w:val="TextBody"/>
              <w:widowControl w:val="false"/>
              <w:spacing w:before="0" w:after="140"/>
              <w:rPr>
                <w:b/>
                <w:b/>
                <w:bCs/>
                <w:sz w:val="22"/>
                <w:szCs w:val="22"/>
              </w:rPr>
            </w:pPr>
            <w:r>
              <w:rPr>
                <w:b/>
                <w:bCs/>
                <w:sz w:val="22"/>
                <w:szCs w:val="22"/>
              </w:rPr>
            </w:r>
          </w:p>
        </w:tc>
        <w:tc>
          <w:tcPr>
            <w:tcW w:w="1074" w:type="dxa"/>
            <w:tcBorders/>
          </w:tcPr>
          <w:p>
            <w:pPr>
              <w:pStyle w:val="TextBody"/>
              <w:widowControl w:val="false"/>
              <w:spacing w:before="0" w:after="140"/>
              <w:rPr>
                <w:b/>
                <w:b/>
                <w:bCs/>
                <w:sz w:val="22"/>
                <w:szCs w:val="22"/>
              </w:rPr>
            </w:pPr>
            <w:r>
              <w:rPr>
                <w:b/>
                <w:bCs/>
                <w:sz w:val="22"/>
                <w:szCs w:val="22"/>
              </w:rPr>
            </w:r>
          </w:p>
        </w:tc>
        <w:tc>
          <w:tcPr>
            <w:tcW w:w="968" w:type="dxa"/>
            <w:tcBorders/>
          </w:tcPr>
          <w:p>
            <w:pPr>
              <w:pStyle w:val="TextBody"/>
              <w:widowControl w:val="false"/>
              <w:spacing w:before="0" w:after="140"/>
              <w:rPr>
                <w:b/>
                <w:b/>
                <w:bCs/>
                <w:sz w:val="22"/>
                <w:szCs w:val="22"/>
              </w:rPr>
            </w:pPr>
            <w:r>
              <w:rPr>
                <w:b/>
                <w:bCs/>
                <w:sz w:val="22"/>
                <w:szCs w:val="22"/>
              </w:rPr>
            </w:r>
          </w:p>
        </w:tc>
        <w:tc>
          <w:tcPr>
            <w:tcW w:w="1925" w:type="dxa"/>
            <w:tcBorders/>
          </w:tcPr>
          <w:p>
            <w:pPr>
              <w:pStyle w:val="TextBody"/>
              <w:widowControl w:val="false"/>
              <w:spacing w:before="0" w:after="140"/>
              <w:rPr>
                <w:b/>
                <w:b/>
                <w:bCs/>
                <w:sz w:val="22"/>
                <w:szCs w:val="22"/>
              </w:rPr>
            </w:pPr>
            <w:r>
              <w:rPr>
                <w:b/>
                <w:bCs/>
                <w:sz w:val="22"/>
                <w:szCs w:val="22"/>
              </w:rPr>
              <w:t>Field House</w:t>
            </w:r>
          </w:p>
        </w:tc>
        <w:tc>
          <w:tcPr>
            <w:tcW w:w="1192"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5" w:type="dxa"/>
            <w:tcBorders/>
          </w:tcPr>
          <w:p>
            <w:pPr>
              <w:pStyle w:val="TextBody"/>
              <w:widowControl w:val="false"/>
              <w:spacing w:before="0" w:after="140"/>
              <w:rPr>
                <w:sz w:val="22"/>
                <w:szCs w:val="22"/>
              </w:rPr>
            </w:pPr>
            <w:r>
              <w:rPr>
                <w:sz w:val="22"/>
                <w:szCs w:val="22"/>
              </w:rPr>
              <w:t>January 1990</w:t>
            </w:r>
          </w:p>
        </w:tc>
        <w:tc>
          <w:tcPr>
            <w:tcW w:w="1480" w:type="dxa"/>
            <w:tcBorders/>
          </w:tcPr>
          <w:p>
            <w:pPr>
              <w:pStyle w:val="TextBody"/>
              <w:widowControl w:val="false"/>
              <w:spacing w:before="0" w:after="140"/>
              <w:rPr>
                <w:sz w:val="22"/>
                <w:szCs w:val="22"/>
              </w:rPr>
            </w:pPr>
            <w:r>
              <w:rPr>
                <w:sz w:val="22"/>
                <w:szCs w:val="22"/>
              </w:rPr>
              <w:t>Meitetzu</w:t>
            </w:r>
          </w:p>
        </w:tc>
        <w:tc>
          <w:tcPr>
            <w:tcW w:w="1073" w:type="dxa"/>
            <w:tcBorders/>
          </w:tcPr>
          <w:p>
            <w:pPr>
              <w:pStyle w:val="TextBody"/>
              <w:widowControl w:val="false"/>
              <w:spacing w:before="0" w:after="140"/>
              <w:rPr>
                <w:sz w:val="22"/>
                <w:szCs w:val="22"/>
              </w:rPr>
            </w:pPr>
            <w:r>
              <w:rPr>
                <w:sz w:val="22"/>
                <w:szCs w:val="22"/>
              </w:rPr>
              <w:t>Odawara</w:t>
            </w:r>
          </w:p>
        </w:tc>
        <w:tc>
          <w:tcPr>
            <w:tcW w:w="1074" w:type="dxa"/>
            <w:tcBorders/>
          </w:tcPr>
          <w:p>
            <w:pPr>
              <w:pStyle w:val="TextBody"/>
              <w:widowControl w:val="false"/>
              <w:spacing w:before="0" w:after="140"/>
              <w:rPr>
                <w:sz w:val="22"/>
                <w:szCs w:val="22"/>
              </w:rPr>
            </w:pPr>
            <w:r>
              <w:rPr>
                <w:sz w:val="22"/>
                <w:szCs w:val="22"/>
              </w:rPr>
              <w:t>Kanagawa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5" w:type="dxa"/>
            <w:tcBorders/>
          </w:tcPr>
          <w:p>
            <w:pPr>
              <w:pStyle w:val="TextBody"/>
              <w:widowControl w:val="false"/>
              <w:spacing w:before="0" w:after="140"/>
              <w:rPr>
                <w:sz w:val="22"/>
                <w:szCs w:val="22"/>
              </w:rPr>
            </w:pPr>
            <w:r>
              <w:rPr>
                <w:sz w:val="22"/>
                <w:szCs w:val="22"/>
              </w:rPr>
              <w:t>October 1992</w:t>
            </w:r>
          </w:p>
        </w:tc>
        <w:tc>
          <w:tcPr>
            <w:tcW w:w="1480" w:type="dxa"/>
            <w:tcBorders/>
          </w:tcPr>
          <w:p>
            <w:pPr>
              <w:pStyle w:val="TextBody"/>
              <w:widowControl w:val="false"/>
              <w:spacing w:before="0" w:after="140"/>
              <w:rPr>
                <w:sz w:val="22"/>
                <w:szCs w:val="22"/>
              </w:rPr>
            </w:pPr>
            <w:r>
              <w:rPr>
                <w:sz w:val="22"/>
                <w:szCs w:val="22"/>
              </w:rPr>
              <w:t>Meitetzu</w:t>
            </w:r>
          </w:p>
        </w:tc>
        <w:tc>
          <w:tcPr>
            <w:tcW w:w="1073" w:type="dxa"/>
            <w:tcBorders/>
          </w:tcPr>
          <w:p>
            <w:pPr>
              <w:pStyle w:val="TextBody"/>
              <w:widowControl w:val="false"/>
              <w:spacing w:before="0" w:after="140"/>
              <w:rPr>
                <w:sz w:val="22"/>
                <w:szCs w:val="22"/>
              </w:rPr>
            </w:pPr>
            <w:r>
              <w:rPr>
                <w:sz w:val="22"/>
                <w:szCs w:val="22"/>
              </w:rPr>
              <w:t>Shiramine</w:t>
            </w:r>
          </w:p>
        </w:tc>
        <w:tc>
          <w:tcPr>
            <w:tcW w:w="1074" w:type="dxa"/>
            <w:tcBorders/>
          </w:tcPr>
          <w:p>
            <w:pPr>
              <w:pStyle w:val="TextBody"/>
              <w:widowControl w:val="false"/>
              <w:spacing w:before="0" w:after="140"/>
              <w:rPr>
                <w:sz w:val="22"/>
                <w:szCs w:val="22"/>
              </w:rPr>
            </w:pPr>
            <w:r>
              <w:rPr>
                <w:sz w:val="22"/>
                <w:szCs w:val="22"/>
              </w:rPr>
              <w:t>Ishikawa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5" w:type="dxa"/>
            <w:tcBorders/>
          </w:tcPr>
          <w:p>
            <w:pPr>
              <w:pStyle w:val="TextBody"/>
              <w:widowControl w:val="false"/>
              <w:spacing w:before="0" w:after="140"/>
              <w:rPr>
                <w:sz w:val="22"/>
                <w:szCs w:val="22"/>
              </w:rPr>
            </w:pPr>
            <w:r>
              <w:rPr>
                <w:sz w:val="22"/>
                <w:szCs w:val="22"/>
              </w:rPr>
              <w:t>May 1992</w:t>
            </w:r>
          </w:p>
        </w:tc>
        <w:tc>
          <w:tcPr>
            <w:tcW w:w="1480" w:type="dxa"/>
            <w:tcBorders/>
          </w:tcPr>
          <w:p>
            <w:pPr>
              <w:pStyle w:val="TextBody"/>
              <w:widowControl w:val="false"/>
              <w:spacing w:before="0" w:after="140"/>
              <w:rPr>
                <w:sz w:val="22"/>
                <w:szCs w:val="22"/>
              </w:rPr>
            </w:pPr>
            <w:r>
              <w:rPr>
                <w:sz w:val="22"/>
                <w:szCs w:val="22"/>
              </w:rPr>
              <w:t>Mitzukoshi</w:t>
            </w:r>
          </w:p>
        </w:tc>
        <w:tc>
          <w:tcPr>
            <w:tcW w:w="2147" w:type="dxa"/>
            <w:gridSpan w:val="2"/>
            <w:tcBorders/>
          </w:tcPr>
          <w:p>
            <w:pPr>
              <w:pStyle w:val="TextBody"/>
              <w:widowControl w:val="false"/>
              <w:spacing w:before="0" w:after="140"/>
              <w:rPr>
                <w:i/>
                <w:i/>
                <w:iCs/>
                <w:sz w:val="22"/>
                <w:szCs w:val="22"/>
              </w:rPr>
            </w:pPr>
            <w:r>
              <w:rPr>
                <w:i/>
                <w:iCs/>
                <w:sz w:val="22"/>
                <w:szCs w:val="22"/>
              </w:rPr>
              <w:t>(Travelling exhibit)</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5" w:type="dxa"/>
            <w:tcBorders/>
          </w:tcPr>
          <w:p>
            <w:pPr>
              <w:pStyle w:val="TextBody"/>
              <w:widowControl w:val="false"/>
              <w:spacing w:before="0" w:after="140"/>
              <w:rPr>
                <w:sz w:val="22"/>
                <w:szCs w:val="22"/>
              </w:rPr>
            </w:pPr>
            <w:r>
              <w:rPr>
                <w:sz w:val="22"/>
                <w:szCs w:val="22"/>
              </w:rPr>
              <w:t>June 1992</w:t>
            </w:r>
          </w:p>
        </w:tc>
        <w:tc>
          <w:tcPr>
            <w:tcW w:w="1480" w:type="dxa"/>
            <w:tcBorders/>
          </w:tcPr>
          <w:p>
            <w:pPr>
              <w:pStyle w:val="TextBody"/>
              <w:widowControl w:val="false"/>
              <w:spacing w:before="0" w:after="140"/>
              <w:rPr>
                <w:sz w:val="22"/>
                <w:szCs w:val="22"/>
              </w:rPr>
            </w:pPr>
            <w:r>
              <w:rPr>
                <w:sz w:val="22"/>
                <w:szCs w:val="22"/>
              </w:rPr>
              <w:t>RCI</w:t>
            </w:r>
          </w:p>
        </w:tc>
        <w:tc>
          <w:tcPr>
            <w:tcW w:w="1073" w:type="dxa"/>
            <w:tcBorders/>
          </w:tcPr>
          <w:p>
            <w:pPr>
              <w:pStyle w:val="TextBody"/>
              <w:widowControl w:val="false"/>
              <w:spacing w:before="0" w:after="140"/>
              <w:rPr>
                <w:sz w:val="22"/>
                <w:szCs w:val="22"/>
              </w:rPr>
            </w:pPr>
            <w:r>
              <w:rPr>
                <w:sz w:val="22"/>
                <w:szCs w:val="22"/>
              </w:rPr>
              <w:t>Shimizu</w:t>
            </w:r>
          </w:p>
        </w:tc>
        <w:tc>
          <w:tcPr>
            <w:tcW w:w="1074" w:type="dxa"/>
            <w:tcBorders/>
          </w:tcPr>
          <w:p>
            <w:pPr>
              <w:pStyle w:val="Normal"/>
              <w:widowControl w:val="false"/>
              <w:rPr>
                <w:sz w:val="22"/>
                <w:szCs w:val="22"/>
              </w:rPr>
            </w:pPr>
            <w:r>
              <w:rPr>
                <w:sz w:val="22"/>
                <w:szCs w:val="22"/>
              </w:rPr>
              <w:t>Tokai</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5" w:type="dxa"/>
            <w:tcBorders/>
          </w:tcPr>
          <w:p>
            <w:pPr>
              <w:pStyle w:val="TextBody"/>
              <w:widowControl w:val="false"/>
              <w:spacing w:before="0" w:after="140"/>
              <w:rPr>
                <w:sz w:val="22"/>
                <w:szCs w:val="22"/>
              </w:rPr>
            </w:pPr>
            <w:r>
              <w:rPr>
                <w:sz w:val="22"/>
                <w:szCs w:val="22"/>
              </w:rPr>
              <w:t>May 1991</w:t>
            </w:r>
          </w:p>
        </w:tc>
        <w:tc>
          <w:tcPr>
            <w:tcW w:w="1480" w:type="dxa"/>
            <w:tcBorders/>
          </w:tcPr>
          <w:p>
            <w:pPr>
              <w:pStyle w:val="TextBody"/>
              <w:widowControl w:val="false"/>
              <w:spacing w:before="0" w:after="140"/>
              <w:rPr>
                <w:sz w:val="22"/>
                <w:szCs w:val="22"/>
              </w:rPr>
            </w:pPr>
            <w:r>
              <w:rPr>
                <w:sz w:val="22"/>
                <w:szCs w:val="22"/>
              </w:rPr>
              <w:t>Alden Hamblin</w:t>
            </w:r>
          </w:p>
        </w:tc>
        <w:tc>
          <w:tcPr>
            <w:tcW w:w="1073" w:type="dxa"/>
            <w:tcBorders/>
          </w:tcPr>
          <w:p>
            <w:pPr>
              <w:pStyle w:val="TextBody"/>
              <w:widowControl w:val="false"/>
              <w:spacing w:before="0" w:after="140"/>
              <w:rPr>
                <w:sz w:val="22"/>
                <w:szCs w:val="22"/>
              </w:rPr>
            </w:pPr>
            <w:r>
              <w:rPr>
                <w:sz w:val="22"/>
                <w:szCs w:val="22"/>
              </w:rPr>
              <w:t>Vernal</w:t>
            </w:r>
          </w:p>
        </w:tc>
        <w:tc>
          <w:tcPr>
            <w:tcW w:w="1074" w:type="dxa"/>
            <w:tcBorders/>
          </w:tcPr>
          <w:p>
            <w:pPr>
              <w:pStyle w:val="Normal"/>
              <w:widowControl w:val="false"/>
              <w:rPr>
                <w:sz w:val="22"/>
                <w:szCs w:val="22"/>
              </w:rPr>
            </w:pPr>
            <w:r>
              <w:rPr>
                <w:sz w:val="22"/>
                <w:szCs w:val="22"/>
              </w:rPr>
              <w:t>Utah</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5" w:type="dxa"/>
            <w:tcBorders/>
          </w:tcPr>
          <w:p>
            <w:pPr>
              <w:pStyle w:val="TextBody"/>
              <w:widowControl w:val="false"/>
              <w:spacing w:before="0" w:after="140"/>
              <w:rPr>
                <w:sz w:val="22"/>
                <w:szCs w:val="22"/>
              </w:rPr>
            </w:pPr>
            <w:r>
              <w:rPr>
                <w:sz w:val="22"/>
                <w:szCs w:val="22"/>
              </w:rPr>
              <w:t>February 1998</w:t>
            </w:r>
          </w:p>
        </w:tc>
        <w:tc>
          <w:tcPr>
            <w:tcW w:w="1480" w:type="dxa"/>
            <w:tcBorders/>
          </w:tcPr>
          <w:p>
            <w:pPr>
              <w:pStyle w:val="TextBody"/>
              <w:widowControl w:val="false"/>
              <w:spacing w:before="0" w:after="140"/>
              <w:rPr>
                <w:sz w:val="22"/>
                <w:szCs w:val="22"/>
              </w:rPr>
            </w:pPr>
            <w:r>
              <w:rPr>
                <w:sz w:val="22"/>
                <w:szCs w:val="22"/>
              </w:rPr>
              <w:t>Aurora Oval</w:t>
            </w:r>
          </w:p>
        </w:tc>
        <w:tc>
          <w:tcPr>
            <w:tcW w:w="1073" w:type="dxa"/>
            <w:tcBorders/>
          </w:tcPr>
          <w:p>
            <w:pPr>
              <w:pStyle w:val="TextBody"/>
              <w:widowControl w:val="false"/>
              <w:spacing w:before="0" w:after="140"/>
              <w:rPr>
                <w:sz w:val="22"/>
                <w:szCs w:val="22"/>
              </w:rPr>
            </w:pPr>
            <w:r>
              <w:rPr>
                <w:sz w:val="22"/>
                <w:szCs w:val="22"/>
              </w:rPr>
              <w:t>Tokyo</w:t>
            </w:r>
          </w:p>
        </w:tc>
        <w:tc>
          <w:tcPr>
            <w:tcW w:w="1074" w:type="dxa"/>
            <w:tcBorders/>
          </w:tcPr>
          <w:p>
            <w:pPr>
              <w:pStyle w:val="Normal"/>
              <w:widowControl w:val="false"/>
              <w:rPr>
                <w:sz w:val="22"/>
                <w:szCs w:val="22"/>
              </w:rPr>
            </w:pPr>
            <w:r>
              <w:rPr>
                <w:sz w:val="22"/>
                <w:szCs w:val="22"/>
              </w:rPr>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5" w:type="dxa"/>
            <w:tcBorders/>
          </w:tcPr>
          <w:p>
            <w:pPr>
              <w:pStyle w:val="TextBody"/>
              <w:widowControl w:val="false"/>
              <w:spacing w:before="0" w:after="140"/>
              <w:rPr>
                <w:sz w:val="22"/>
                <w:szCs w:val="22"/>
              </w:rPr>
            </w:pPr>
            <w:r>
              <w:rPr>
                <w:sz w:val="22"/>
                <w:szCs w:val="22"/>
              </w:rPr>
              <w:t>October 1998</w:t>
            </w:r>
          </w:p>
        </w:tc>
        <w:tc>
          <w:tcPr>
            <w:tcW w:w="1480" w:type="dxa"/>
            <w:tcBorders/>
          </w:tcPr>
          <w:p>
            <w:pPr>
              <w:pStyle w:val="TextBody"/>
              <w:widowControl w:val="false"/>
              <w:spacing w:before="0" w:after="140"/>
              <w:rPr>
                <w:sz w:val="22"/>
                <w:szCs w:val="22"/>
              </w:rPr>
            </w:pPr>
            <w:r>
              <w:rPr>
                <w:sz w:val="22"/>
                <w:szCs w:val="22"/>
              </w:rPr>
              <w:t>David Letasi</w:t>
            </w:r>
          </w:p>
        </w:tc>
        <w:tc>
          <w:tcPr>
            <w:tcW w:w="1073" w:type="dxa"/>
            <w:tcBorders/>
          </w:tcPr>
          <w:p>
            <w:pPr>
              <w:pStyle w:val="TextBody"/>
              <w:widowControl w:val="false"/>
              <w:spacing w:before="0" w:after="140"/>
              <w:rPr>
                <w:sz w:val="22"/>
                <w:szCs w:val="22"/>
              </w:rPr>
            </w:pPr>
            <w:r>
              <w:rPr>
                <w:sz w:val="22"/>
                <w:szCs w:val="22"/>
              </w:rPr>
              <w:t>Tampa</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5" w:type="dxa"/>
            <w:tcBorders/>
          </w:tcPr>
          <w:p>
            <w:pPr>
              <w:pStyle w:val="TextBody"/>
              <w:widowControl w:val="false"/>
              <w:spacing w:before="0" w:after="140"/>
              <w:rPr>
                <w:sz w:val="22"/>
                <w:szCs w:val="22"/>
              </w:rPr>
            </w:pPr>
            <w:r>
              <w:rPr>
                <w:sz w:val="22"/>
                <w:szCs w:val="22"/>
              </w:rPr>
              <w:t>October 1998</w:t>
            </w:r>
          </w:p>
        </w:tc>
        <w:tc>
          <w:tcPr>
            <w:tcW w:w="1480" w:type="dxa"/>
            <w:tcBorders/>
          </w:tcPr>
          <w:p>
            <w:pPr>
              <w:pStyle w:val="TextBody"/>
              <w:widowControl w:val="false"/>
              <w:spacing w:before="0" w:after="140"/>
              <w:rPr>
                <w:sz w:val="22"/>
                <w:szCs w:val="22"/>
              </w:rPr>
            </w:pPr>
            <w:r>
              <w:rPr>
                <w:sz w:val="22"/>
                <w:szCs w:val="22"/>
              </w:rPr>
              <w:t>David Letasi</w:t>
            </w:r>
          </w:p>
        </w:tc>
        <w:tc>
          <w:tcPr>
            <w:tcW w:w="1073" w:type="dxa"/>
            <w:tcBorders/>
          </w:tcPr>
          <w:p>
            <w:pPr>
              <w:pStyle w:val="TextBody"/>
              <w:widowControl w:val="false"/>
              <w:spacing w:before="0" w:after="140"/>
              <w:rPr>
                <w:sz w:val="22"/>
                <w:szCs w:val="22"/>
              </w:rPr>
            </w:pPr>
            <w:r>
              <w:rPr>
                <w:sz w:val="22"/>
                <w:szCs w:val="22"/>
              </w:rPr>
              <w:t>Tampa</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5" w:type="dxa"/>
            <w:tcBorders/>
          </w:tcPr>
          <w:p>
            <w:pPr>
              <w:pStyle w:val="TextBody"/>
              <w:widowControl w:val="false"/>
              <w:spacing w:before="0" w:after="140"/>
              <w:rPr>
                <w:sz w:val="22"/>
                <w:szCs w:val="22"/>
              </w:rPr>
            </w:pPr>
            <w:r>
              <w:rPr>
                <w:sz w:val="22"/>
                <w:szCs w:val="22"/>
              </w:rPr>
              <w:t>2006</w:t>
            </w:r>
          </w:p>
        </w:tc>
        <w:tc>
          <w:tcPr>
            <w:tcW w:w="1480" w:type="dxa"/>
            <w:tcBorders/>
          </w:tcPr>
          <w:p>
            <w:pPr>
              <w:pStyle w:val="TextBody"/>
              <w:widowControl w:val="false"/>
              <w:spacing w:before="0" w:after="140"/>
              <w:rPr>
                <w:sz w:val="22"/>
                <w:szCs w:val="22"/>
              </w:rPr>
            </w:pPr>
            <w:r>
              <w:rPr>
                <w:sz w:val="22"/>
                <w:szCs w:val="22"/>
              </w:rPr>
              <w:t>The Dinosaur Store</w:t>
            </w:r>
          </w:p>
        </w:tc>
        <w:tc>
          <w:tcPr>
            <w:tcW w:w="1073" w:type="dxa"/>
            <w:tcBorders/>
          </w:tcPr>
          <w:p>
            <w:pPr>
              <w:pStyle w:val="TextBody"/>
              <w:widowControl w:val="false"/>
              <w:spacing w:before="0" w:after="140"/>
              <w:rPr>
                <w:sz w:val="22"/>
                <w:szCs w:val="22"/>
              </w:rPr>
            </w:pPr>
            <w:r>
              <w:rPr>
                <w:sz w:val="22"/>
                <w:szCs w:val="22"/>
              </w:rPr>
              <w:t>Cocoa Beach</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r>
          </w:p>
        </w:tc>
        <w:tc>
          <w:tcPr>
            <w:tcW w:w="1192"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4"/>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28</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28</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github.com/MikeTaylor/palaeo-concrete" TargetMode="External"/><Relationship Id="rId7" Type="http://schemas.openxmlformats.org/officeDocument/2006/relationships/hyperlink" Target="https://newspapers.lib.utah.edu/details?id=21512583" TargetMode="External"/><Relationship Id="rId8" Type="http://schemas.openxmlformats.org/officeDocument/2006/relationships/hyperlink" Target="https://newspapers.lib.utah.edu/details?id=21493559" TargetMode="External"/><Relationship Id="rId9" Type="http://schemas.openxmlformats.org/officeDocument/2006/relationships/hyperlink" Target="https://newspapers.lib.utah.edu/details?id=21485044"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s.lib.utah.edu/ark:/87278/s6mw3wpx/21314960" TargetMode="External"/><Relationship Id="rId33" Type="http://schemas.openxmlformats.org/officeDocument/2006/relationships/hyperlink" Target="https://newspaperarchive.com/rocky-mount-evening-telegram-apr-24-1960-p-11/"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32483</TotalTime>
  <Application>LibreOffice/7.4.2.3$MacOSX_X86_64 LibreOffice_project/382eef1f22670f7f4118c8c2dd222ec7ad009daf</Application>
  <AppVersion>15.0000</AppVersion>
  <Pages>28</Pages>
  <Words>13389</Words>
  <Characters>70338</Characters>
  <CharactersWithSpaces>83424</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2022-11-02T23:33:34Z</dcterms:modified>
  <cp:revision>760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