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809_2856925443">
            <w:r>
              <w:rPr>
                <w:rStyle w:val="IndexLink"/>
              </w:rPr>
              <w:t>Introduction</w:t>
              <w:tab/>
              <w:t>3</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4</w:t>
            </w:r>
          </w:hyperlink>
        </w:p>
        <w:p>
          <w:pPr>
            <w:pStyle w:val="Contents2"/>
            <w:tabs>
              <w:tab w:val="clear" w:pos="9355"/>
              <w:tab w:val="right" w:pos="9638" w:leader="dot"/>
            </w:tabs>
            <w:rPr/>
          </w:pPr>
          <w:hyperlink w:anchor="__RefHeading___Toc947_1155462304">
            <w:r>
              <w:rPr>
                <w:rStyle w:val="IndexLink"/>
              </w:rPr>
              <w:t>The Field House Museum in Vernal</w:t>
              <w:tab/>
              <w:t>5</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12</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3005_1175089729">
            <w:r>
              <w:rPr>
                <w:rStyle w:val="IndexLink"/>
              </w:rPr>
              <w:t>The fate of the new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3529_2542618767">
            <w:r>
              <w:rPr>
                <w:rStyle w:val="IndexLink"/>
              </w:rPr>
              <w:t>Acknowledgements</w:t>
              <w:tab/>
              <w:t>16</w:t>
            </w:r>
          </w:hyperlink>
        </w:p>
        <w:p>
          <w:pPr>
            <w:pStyle w:val="Contents1"/>
            <w:rPr/>
          </w:pPr>
          <w:hyperlink w:anchor="__RefHeading___Toc3405_68767826">
            <w:r>
              <w:rPr>
                <w:rStyle w:val="IndexLink"/>
              </w:rPr>
              <w:t>References</w:t>
              <w:tab/>
              <w:t>18</w:t>
            </w:r>
          </w:hyperlink>
        </w:p>
        <w:p>
          <w:pPr>
            <w:pStyle w:val="Contents1"/>
            <w:rPr/>
          </w:pPr>
          <w:hyperlink w:anchor="__RefHeading___Toc3407_68767826">
            <w:r>
              <w:rPr>
                <w:rStyle w:val="IndexLink"/>
              </w:rPr>
              <w:t>Figure Captions</w:t>
              <w:tab/>
              <w:t>23</w:t>
            </w:r>
          </w:hyperlink>
        </w:p>
        <w:p>
          <w:pPr>
            <w:pStyle w:val="Contents1"/>
            <w:rPr/>
          </w:pPr>
          <w:hyperlink w:anchor="__RefHeading___Toc4426_1817233446">
            <w:r>
              <w:rPr>
                <w:rStyle w:val="IndexLink"/>
              </w:rPr>
              <w:t>Tables</w:t>
              <w:tab/>
              <w:t>25</w:t>
            </w:r>
          </w:hyperlink>
        </w:p>
        <w:p>
          <w:pPr>
            <w:pStyle w:val="Heading1"/>
            <w:rPr/>
          </w:pPr>
          <w:bookmarkStart w:id="0" w:name="__RefHeading___Toc3809_2856925443"/>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7;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Reports in the </w:t>
      </w:r>
      <w:r>
        <w:rPr>
          <w:i/>
          <w:iCs/>
        </w:rPr>
        <w:t>Rocky Mount Evening Telegram</w:t>
      </w:r>
      <w:r>
        <w:rPr/>
        <w:t xml:space="preserve"> from April to July 1960 (Williams 1960, Bell 1960a, Bell 1960b, Anonymous 1960b) enthusiastically announce and discuss the impeding arrival, and the later articles say that by 7 July museum board president Harold Minges had left for Utah to collect to molds. Anonymous (1960) confirmed that the molds were collected on or around 14 July. But then the </w:t>
      </w:r>
      <w:r>
        <w:rPr>
          <w:i/>
          <w:iCs/>
        </w:rPr>
        <w:t>Rocky Mount Evening Telegram</w:t>
      </w:r>
      <w:r>
        <w:rPr/>
        <w:t xml:space="preserve">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had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possibility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were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ins w:id="0" w:author="Mike Taylor" w:date="2022-10-24T23:13:55Z">
        <w:r>
          <w:rPr/>
          <w:t xml:space="preserve"> </w:t>
        </w:r>
      </w:ins>
      <w:ins w:id="1" w:author="Mike Taylor" w:date="2022-10-24T23:13:55Z">
        <w:r>
          <w:rPr/>
          <w:t>The femora, separated from the rest of the skeleton, were left outside the building in a children</w:t>
        </w:r>
      </w:ins>
      <w:ins w:id="2" w:author="Mike Taylor" w:date="2022-10-24T23:13:55Z">
        <w:r>
          <w:rPr>
            <w:rFonts w:eastAsia="Songti SC" w:cs="Arial Unicode MS"/>
            <w:color w:val="auto"/>
            <w:kern w:val="2"/>
            <w:sz w:val="24"/>
            <w:szCs w:val="24"/>
            <w:lang w:val="en-GB" w:eastAsia="zh-CN" w:bidi="hi-IN"/>
          </w:rPr>
          <w:t xml:space="preserve">’s </w:t>
        </w:r>
      </w:ins>
      <w:ins w:id="3" w:author="Mike Taylor" w:date="2022-10-24T23:13:55Z">
        <w:r>
          <w:rPr/>
          <w:t xml:space="preserve">sandbox </w:t>
        </w:r>
      </w:ins>
      <w:ins w:id="4" w:author="Mike Taylor" w:date="2022-10-24T23:13:55Z">
        <w:r>
          <w:rPr>
            <w:rFonts w:eastAsia="Songti SC" w:cs="Arial Unicode MS"/>
            <w:color w:val="auto"/>
            <w:kern w:val="2"/>
            <w:sz w:val="24"/>
            <w:szCs w:val="24"/>
            <w:lang w:val="en-GB" w:eastAsia="zh-CN" w:bidi="hi-IN"/>
          </w:rPr>
          <w:t>“</w:t>
        </w:r>
      </w:ins>
      <w:ins w:id="5" w:author="Mike Taylor" w:date="2022-10-24T23:13:55Z">
        <w:r>
          <w:rPr/>
          <w:t>dino dig</w:t>
        </w:r>
      </w:ins>
      <w:ins w:id="6" w:author="Mike Taylor" w:date="2022-10-24T23:13:55Z">
        <w:r>
          <w:rPr>
            <w:rFonts w:eastAsia="Songti SC" w:cs="Arial Unicode MS"/>
            <w:color w:val="auto"/>
            <w:kern w:val="2"/>
            <w:sz w:val="24"/>
            <w:szCs w:val="24"/>
            <w:lang w:val="en-GB" w:eastAsia="zh-CN" w:bidi="hi-IN"/>
          </w:rPr>
          <w:t xml:space="preserve">” </w:t>
        </w:r>
      </w:ins>
      <w:ins w:id="7" w:author="Mike Taylor" w:date="2022-10-24T23:13:55Z">
        <w:r>
          <w:rPr/>
          <w:t>area,</w:t>
        </w:r>
      </w:ins>
    </w:p>
    <w:p>
      <w:pPr>
        <w:pStyle w:val="TextBody"/>
        <w:rPr>
          <w:ins w:id="11" w:author="Mike Taylor" w:date="2022-10-24T23:14:27Z"/>
        </w:rPr>
      </w:pPr>
      <w:r>
        <w:rPr/>
        <w:t xml:space="preserve">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w:t>
      </w:r>
      <w:ins w:id="8" w:author="Mike Taylor" w:date="2022-10-24T23:14:27Z">
        <w:r>
          <w:rPr/>
          <w:t xml:space="preserve">A company was hired by the city to demolish what remained, including built-in exhibit cases, the front counter, etc. </w:t>
        </w:r>
      </w:ins>
      <w:ins w:id="9" w:author="Mike Taylor" w:date="2022-10-24T23:14:27Z">
        <w:r>
          <w:rPr/>
          <w:t xml:space="preserve">One of the demolition company workers, assuming the femora were abandoned, took them home. </w:t>
        </w:r>
      </w:ins>
      <w:ins w:id="10" w:author="Mike Taylor" w:date="2022-10-24T23:14:27Z">
        <w:r>
          <w:rPr/>
          <w:t>Ken Carpenter suggested posting a news article requesting the return of the bones, and the workman came forward with them.</w:t>
        </w:r>
      </w:ins>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3">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4">
        <w:r>
          <w:rPr>
            <w:rStyle w:val="InternetLink"/>
          </w:rPr>
          <w:t>https://archiveswest.orbiscascade.org/ark:/80444/xv38626</w:t>
        </w:r>
      </w:hyperlink>
      <w:r>
        <w:rPr/>
        <w:t xml:space="preserve">, archived at </w:t>
      </w:r>
      <w:hyperlink r:id="rId25">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6">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7">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8">
        <w:r>
          <w:rPr>
            <w:rStyle w:val="VisitedInternetLink"/>
          </w:rPr>
          <w:t>https://wusfnews.wusf.usf.edu/news/2017-05-18/mosi-to-close-imax-other-exhibits-in-cost-saving-reconfiguration</w:t>
        </w:r>
      </w:hyperlink>
      <w:r>
        <w:rPr/>
        <w:t xml:space="preserve">, archived at </w:t>
      </w:r>
      <w:hyperlink r:id="rId29">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replace with reference to preprint</w:t>
      </w:r>
      <w:bookmarkStart w:id="23" w:name="__DdeLink__3619_3219802390"/>
      <w:r>
        <w:rPr>
          <w:highlight w:val="yellow"/>
        </w:rPr>
        <w:t xml:space="preserve"> when available</w:t>
      </w:r>
      <w:bookmarkEnd w:id="23"/>
      <w:r>
        <w:rPr>
          <w:highlight w:val="yellow"/>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0">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1"/>
        <w:gridCol w:w="1078"/>
        <w:gridCol w:w="1119"/>
        <w:gridCol w:w="2"/>
        <w:gridCol w:w="1101"/>
        <w:gridCol w:w="9"/>
        <w:gridCol w:w="1475"/>
        <w:gridCol w:w="9"/>
        <w:gridCol w:w="1662"/>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8" w:type="dxa"/>
            <w:tcBorders/>
            <w:shd w:fill="auto" w:val="clear"/>
          </w:tcPr>
          <w:p>
            <w:pPr>
              <w:pStyle w:val="TextBody"/>
              <w:widowControl w:val="false"/>
              <w:spacing w:before="0" w:after="140"/>
              <w:rPr>
                <w:b/>
                <w:b/>
                <w:bCs/>
                <w:sz w:val="22"/>
                <w:szCs w:val="22"/>
              </w:rPr>
            </w:pPr>
            <w:r>
              <w:rPr>
                <w:b/>
                <w:bCs/>
                <w:sz w:val="22"/>
                <w:szCs w:val="22"/>
              </w:rPr>
              <w:t>City</w:t>
            </w:r>
          </w:p>
        </w:tc>
        <w:tc>
          <w:tcPr>
            <w:tcW w:w="1119" w:type="dxa"/>
            <w:tcBorders/>
            <w:shd w:fill="auto" w:val="clear"/>
          </w:tcPr>
          <w:p>
            <w:pPr>
              <w:pStyle w:val="TextBody"/>
              <w:widowControl w:val="false"/>
              <w:spacing w:before="0" w:after="140"/>
              <w:rPr>
                <w:b/>
                <w:b/>
                <w:bCs/>
                <w:sz w:val="22"/>
                <w:szCs w:val="22"/>
              </w:rPr>
            </w:pPr>
            <w:r>
              <w:rPr>
                <w:b/>
                <w:bCs/>
                <w:sz w:val="22"/>
                <w:szCs w:val="22"/>
              </w:rPr>
              <w:t>Region</w:t>
            </w:r>
          </w:p>
        </w:tc>
        <w:tc>
          <w:tcPr>
            <w:tcW w:w="1103" w:type="dxa"/>
            <w:gridSpan w:val="2"/>
            <w:tcBorders/>
            <w:shd w:fill="auto" w:val="clear"/>
          </w:tcPr>
          <w:p>
            <w:pPr>
              <w:pStyle w:val="TextBody"/>
              <w:widowControl w:val="false"/>
              <w:spacing w:before="0" w:after="140"/>
              <w:rPr>
                <w:b/>
                <w:b/>
                <w:bCs/>
                <w:sz w:val="22"/>
                <w:szCs w:val="22"/>
              </w:rPr>
            </w:pPr>
            <w:r>
              <w:rPr>
                <w:b/>
                <w:bCs/>
                <w:sz w:val="22"/>
                <w:szCs w:val="22"/>
              </w:rPr>
              <w:t>Country</w:t>
            </w:r>
          </w:p>
        </w:tc>
        <w:tc>
          <w:tcPr>
            <w:tcW w:w="3155" w:type="dxa"/>
            <w:gridSpan w:val="4"/>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8" w:type="dxa"/>
            <w:tcBorders/>
            <w:shd w:fill="auto" w:val="clear"/>
          </w:tcPr>
          <w:p>
            <w:pPr>
              <w:pStyle w:val="TextBody"/>
              <w:widowControl w:val="false"/>
              <w:spacing w:before="0" w:after="140"/>
              <w:rPr>
                <w:b/>
                <w:b/>
                <w:bCs/>
                <w:sz w:val="22"/>
                <w:szCs w:val="22"/>
              </w:rPr>
            </w:pPr>
            <w:r>
              <w:rPr>
                <w:b/>
                <w:bCs/>
                <w:sz w:val="22"/>
                <w:szCs w:val="22"/>
              </w:rPr>
            </w:r>
          </w:p>
        </w:tc>
        <w:tc>
          <w:tcPr>
            <w:tcW w:w="1119" w:type="dxa"/>
            <w:tcBorders/>
            <w:shd w:fill="auto" w:val="clear"/>
          </w:tcPr>
          <w:p>
            <w:pPr>
              <w:pStyle w:val="TextBody"/>
              <w:widowControl w:val="false"/>
              <w:spacing w:before="0" w:after="140"/>
              <w:rPr>
                <w:b/>
                <w:b/>
                <w:bCs/>
                <w:sz w:val="22"/>
                <w:szCs w:val="22"/>
              </w:rPr>
            </w:pPr>
            <w:r>
              <w:rPr>
                <w:b/>
                <w:bCs/>
                <w:sz w:val="22"/>
                <w:szCs w:val="22"/>
              </w:rPr>
            </w:r>
          </w:p>
        </w:tc>
        <w:tc>
          <w:tcPr>
            <w:tcW w:w="1103" w:type="dxa"/>
            <w:gridSpan w:val="2"/>
            <w:tcBorders/>
            <w:shd w:fill="auto" w:val="clear"/>
          </w:tcPr>
          <w:p>
            <w:pPr>
              <w:pStyle w:val="TextBody"/>
              <w:widowControl w:val="false"/>
              <w:spacing w:before="0" w:after="140"/>
              <w:rPr>
                <w:b/>
                <w:b/>
                <w:bCs/>
                <w:sz w:val="22"/>
                <w:szCs w:val="22"/>
              </w:rPr>
            </w:pPr>
            <w:r>
              <w:rPr>
                <w:b/>
                <w:bCs/>
                <w:sz w:val="22"/>
                <w:szCs w:val="22"/>
              </w:rPr>
            </w:r>
          </w:p>
        </w:tc>
        <w:tc>
          <w:tcPr>
            <w:tcW w:w="1484" w:type="dxa"/>
            <w:gridSpan w:val="2"/>
            <w:tcBorders/>
            <w:shd w:fill="auto" w:val="clear"/>
          </w:tcPr>
          <w:p>
            <w:pPr>
              <w:pStyle w:val="TextBody"/>
              <w:widowControl w:val="false"/>
              <w:spacing w:before="0" w:after="140"/>
              <w:rPr>
                <w:b/>
                <w:b/>
                <w:bCs/>
                <w:sz w:val="22"/>
                <w:szCs w:val="22"/>
              </w:rPr>
            </w:pPr>
            <w:r>
              <w:rPr>
                <w:b/>
                <w:bCs/>
                <w:sz w:val="22"/>
                <w:szCs w:val="22"/>
              </w:rPr>
              <w:t>Field House</w:t>
            </w:r>
          </w:p>
        </w:tc>
        <w:tc>
          <w:tcPr>
            <w:tcW w:w="1671" w:type="dxa"/>
            <w:gridSpan w:val="2"/>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Odawara</w:t>
            </w:r>
          </w:p>
        </w:tc>
        <w:tc>
          <w:tcPr>
            <w:tcW w:w="1119" w:type="dxa"/>
            <w:tcBorders/>
            <w:shd w:fill="auto" w:val="clear"/>
          </w:tcPr>
          <w:p>
            <w:pPr>
              <w:pStyle w:val="TextBody"/>
              <w:widowControl w:val="false"/>
              <w:spacing w:before="0" w:after="140"/>
              <w:rPr>
                <w:sz w:val="22"/>
                <w:szCs w:val="22"/>
              </w:rPr>
            </w:pPr>
            <w:r>
              <w:rPr>
                <w:sz w:val="22"/>
                <w:szCs w:val="22"/>
              </w:rPr>
              <w:t>Kanagawa</w:t>
            </w:r>
          </w:p>
        </w:tc>
        <w:tc>
          <w:tcPr>
            <w:tcW w:w="1103"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1"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Shiramine</w:t>
            </w:r>
          </w:p>
        </w:tc>
        <w:tc>
          <w:tcPr>
            <w:tcW w:w="1119" w:type="dxa"/>
            <w:tcBorders/>
            <w:shd w:fill="auto" w:val="clear"/>
          </w:tcPr>
          <w:p>
            <w:pPr>
              <w:pStyle w:val="TextBody"/>
              <w:widowControl w:val="false"/>
              <w:spacing w:before="0" w:after="140"/>
              <w:rPr>
                <w:sz w:val="22"/>
                <w:szCs w:val="22"/>
              </w:rPr>
            </w:pPr>
            <w:r>
              <w:rPr>
                <w:sz w:val="22"/>
                <w:szCs w:val="22"/>
              </w:rPr>
              <w:t>Ishikawa</w:t>
            </w:r>
          </w:p>
        </w:tc>
        <w:tc>
          <w:tcPr>
            <w:tcW w:w="1103"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1"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3"/>
            <w:tcBorders/>
            <w:shd w:fill="auto" w:val="clear"/>
          </w:tcPr>
          <w:p>
            <w:pPr>
              <w:pStyle w:val="TextBody"/>
              <w:widowControl w:val="false"/>
              <w:spacing w:before="0" w:after="140"/>
              <w:rPr>
                <w:i/>
                <w:i/>
                <w:iCs/>
                <w:sz w:val="22"/>
                <w:szCs w:val="22"/>
              </w:rPr>
            </w:pPr>
            <w:r>
              <w:rPr>
                <w:i/>
                <w:iCs/>
                <w:sz w:val="22"/>
                <w:szCs w:val="22"/>
              </w:rPr>
              <w:t>(Travelling exhibit)</w:t>
            </w:r>
          </w:p>
        </w:tc>
        <w:tc>
          <w:tcPr>
            <w:tcW w:w="1110"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62"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8" w:type="dxa"/>
            <w:tcBorders/>
            <w:shd w:fill="auto" w:val="clear"/>
          </w:tcPr>
          <w:p>
            <w:pPr>
              <w:pStyle w:val="TextBody"/>
              <w:widowControl w:val="false"/>
              <w:spacing w:before="0" w:after="140"/>
              <w:rPr>
                <w:sz w:val="22"/>
                <w:szCs w:val="22"/>
              </w:rPr>
            </w:pPr>
            <w:r>
              <w:rPr>
                <w:sz w:val="22"/>
                <w:szCs w:val="22"/>
              </w:rPr>
              <w:t>Shimizu</w:t>
            </w:r>
          </w:p>
        </w:tc>
        <w:tc>
          <w:tcPr>
            <w:tcW w:w="1119" w:type="dxa"/>
            <w:tcBorders/>
            <w:shd w:fill="auto" w:val="clear"/>
          </w:tcPr>
          <w:p>
            <w:pPr>
              <w:pStyle w:val="Normal"/>
              <w:widowControl w:val="false"/>
              <w:rPr>
                <w:sz w:val="22"/>
                <w:szCs w:val="22"/>
              </w:rPr>
            </w:pPr>
            <w:r>
              <w:rPr>
                <w:sz w:val="22"/>
                <w:szCs w:val="22"/>
              </w:rPr>
              <w:t>Tokai</w:t>
            </w:r>
          </w:p>
        </w:tc>
        <w:tc>
          <w:tcPr>
            <w:tcW w:w="1103"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1"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Vernal</w:t>
            </w:r>
          </w:p>
        </w:tc>
        <w:tc>
          <w:tcPr>
            <w:tcW w:w="1119" w:type="dxa"/>
            <w:tcBorders/>
            <w:shd w:fill="auto" w:val="clear"/>
          </w:tcPr>
          <w:p>
            <w:pPr>
              <w:pStyle w:val="Normal"/>
              <w:widowControl w:val="false"/>
              <w:rPr>
                <w:sz w:val="22"/>
                <w:szCs w:val="22"/>
              </w:rPr>
            </w:pPr>
            <w:r>
              <w:rPr>
                <w:sz w:val="22"/>
                <w:szCs w:val="22"/>
              </w:rPr>
              <w:t>Utah</w:t>
            </w:r>
          </w:p>
        </w:tc>
        <w:tc>
          <w:tcPr>
            <w:tcW w:w="1103"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t>N/A</w:t>
            </w:r>
          </w:p>
        </w:tc>
        <w:tc>
          <w:tcPr>
            <w:tcW w:w="1671"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Tokyo</w:t>
            </w:r>
          </w:p>
        </w:tc>
        <w:tc>
          <w:tcPr>
            <w:tcW w:w="1119" w:type="dxa"/>
            <w:tcBorders/>
            <w:shd w:fill="auto" w:val="clear"/>
          </w:tcPr>
          <w:p>
            <w:pPr>
              <w:pStyle w:val="Normal"/>
              <w:widowControl w:val="false"/>
              <w:rPr>
                <w:sz w:val="22"/>
                <w:szCs w:val="22"/>
              </w:rPr>
            </w:pPr>
            <w:r>
              <w:rPr>
                <w:sz w:val="22"/>
                <w:szCs w:val="22"/>
              </w:rPr>
            </w:r>
          </w:p>
        </w:tc>
        <w:tc>
          <w:tcPr>
            <w:tcW w:w="1103"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1"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Tampa</w:t>
            </w:r>
          </w:p>
        </w:tc>
        <w:tc>
          <w:tcPr>
            <w:tcW w:w="1119" w:type="dxa"/>
            <w:tcBorders/>
            <w:shd w:fill="auto" w:val="clear"/>
          </w:tcPr>
          <w:p>
            <w:pPr>
              <w:pStyle w:val="Normal"/>
              <w:widowControl w:val="false"/>
              <w:rPr>
                <w:sz w:val="22"/>
                <w:szCs w:val="22"/>
              </w:rPr>
            </w:pPr>
            <w:r>
              <w:rPr>
                <w:sz w:val="22"/>
                <w:szCs w:val="22"/>
              </w:rPr>
              <w:t>Florida</w:t>
            </w:r>
          </w:p>
        </w:tc>
        <w:tc>
          <w:tcPr>
            <w:tcW w:w="1103"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1"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10"/>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t>The Dinosaur Store</w:t>
            </w:r>
          </w:p>
        </w:tc>
        <w:tc>
          <w:tcPr>
            <w:tcW w:w="1078" w:type="dxa"/>
            <w:tcBorders/>
            <w:shd w:fill="auto" w:val="clear"/>
          </w:tcPr>
          <w:p>
            <w:pPr>
              <w:pStyle w:val="TextBody"/>
              <w:widowControl w:val="false"/>
              <w:spacing w:before="0" w:after="140"/>
              <w:rPr>
                <w:sz w:val="22"/>
                <w:szCs w:val="22"/>
              </w:rPr>
            </w:pPr>
            <w:r>
              <w:rPr>
                <w:sz w:val="22"/>
                <w:szCs w:val="22"/>
              </w:rPr>
              <w:t>Cocoa Beach</w:t>
            </w:r>
          </w:p>
        </w:tc>
        <w:tc>
          <w:tcPr>
            <w:tcW w:w="1119" w:type="dxa"/>
            <w:tcBorders/>
            <w:shd w:fill="auto" w:val="clear"/>
          </w:tcPr>
          <w:p>
            <w:pPr>
              <w:pStyle w:val="Normal"/>
              <w:widowControl w:val="false"/>
              <w:rPr>
                <w:sz w:val="22"/>
                <w:szCs w:val="22"/>
              </w:rPr>
            </w:pPr>
            <w:r>
              <w:rPr>
                <w:sz w:val="22"/>
                <w:szCs w:val="22"/>
              </w:rPr>
              <w:t>Florida</w:t>
            </w:r>
          </w:p>
        </w:tc>
        <w:tc>
          <w:tcPr>
            <w:tcW w:w="1103"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1" w:type="dxa"/>
            <w:gridSpan w:val="2"/>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1"/>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mallCaps/>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25</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25</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newspapers.lib.utah.edu/ark:/87278/s62v6594/22643733" TargetMode="External"/><Relationship Id="rId24" Type="http://schemas.openxmlformats.org/officeDocument/2006/relationships/hyperlink" Target="https://archiveswest.orbiscascade.org/ark:/80444/xv38626" TargetMode="External"/><Relationship Id="rId25" Type="http://schemas.openxmlformats.org/officeDocument/2006/relationships/hyperlink" Target="https://web.archive.org/web/20220610005257/https://archiveswest.orbiscascade.org/ark:/80444/xv38626" TargetMode="External"/><Relationship Id="rId26" Type="http://schemas.openxmlformats.org/officeDocument/2006/relationships/hyperlink" Target="https://newspapers.lib.utah.edu/ark:/87278/s6r53f0k/22649899" TargetMode="External"/><Relationship Id="rId27" Type="http://schemas.openxmlformats.org/officeDocument/2006/relationships/hyperlink" Target="http://hdl.handle.net/2246/6497" TargetMode="External"/><Relationship Id="rId28" Type="http://schemas.openxmlformats.org/officeDocument/2006/relationships/hyperlink" Target="https://wusfnews.wusf.usf.edu/news/2017-05-18/mosi-to-close-imax-other-exhibits-in-cost-saving-reconfiguration" TargetMode="External"/><Relationship Id="rId29" Type="http://schemas.openxmlformats.org/officeDocument/2006/relationships/hyperlink" Target="https://web.archive.org/web/20210507091810/https://wusfnews.wusf.usf.edu/news/2017-05-18/mosi-to-close-imax-other-exhibits-in-cost-saving-reconfiguration" TargetMode="External"/><Relationship Id="rId30" Type="http://schemas.openxmlformats.org/officeDocument/2006/relationships/hyperlink" Target="https://newspaperarchive.com/rocky-mount-evening-telegram-apr-24-1960-p-11/"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31950</TotalTime>
  <Application>LibreOffice/7.4.1.2$MacOSX_X86_64 LibreOffice_project/3c58a8f3a960df8bc8fd77b461821e42c061c5f0</Application>
  <AppVersion>15.0000</AppVersion>
  <Pages>25</Pages>
  <Words>11918</Words>
  <Characters>62512</Characters>
  <CharactersWithSpaces>74167</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2022-10-24T23:14:59Z</dcterms:modified>
  <cp:revision>700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