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1120_4253449514">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11</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14</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15</w:t>
            </w:r>
          </w:hyperlink>
        </w:p>
        <w:p>
          <w:pPr>
            <w:pStyle w:val="Contents2"/>
            <w:tabs>
              <w:tab w:val="clear" w:pos="9355"/>
              <w:tab w:val="right" w:pos="9638" w:leader="dot"/>
            </w:tabs>
            <w:rPr/>
          </w:pPr>
          <w:hyperlink w:anchor="__RefHeading___Toc3005_1175089729">
            <w:r>
              <w:rPr>
                <w:rStyle w:val="IndexLink"/>
              </w:rPr>
              <w:t>The fate of the new molds</w:t>
              <w:tab/>
              <w:t>17</w:t>
            </w:r>
          </w:hyperlink>
        </w:p>
        <w:p>
          <w:pPr>
            <w:pStyle w:val="Contents1"/>
            <w:tabs>
              <w:tab w:val="right" w:pos="9638" w:leader="dot"/>
            </w:tabs>
            <w:rPr/>
          </w:pPr>
          <w:hyperlink w:anchor="__RefHeading___Toc3401_68767826">
            <w:r>
              <w:rPr>
                <w:rStyle w:val="IndexLink"/>
              </w:rPr>
              <w:t>Discussion</w:t>
              <w:tab/>
              <w:t>17</w:t>
            </w:r>
          </w:hyperlink>
        </w:p>
        <w:p>
          <w:pPr>
            <w:pStyle w:val="Contents1"/>
            <w:tabs>
              <w:tab w:val="right" w:pos="9638" w:leader="dot"/>
            </w:tabs>
            <w:rPr/>
          </w:pPr>
          <w:hyperlink w:anchor="__RefHeading___Toc3529_2542618767">
            <w:r>
              <w:rPr>
                <w:rStyle w:val="IndexLink"/>
              </w:rPr>
              <w:t>Acknowledgements</w:t>
              <w:tab/>
              <w:t>18</w:t>
            </w:r>
          </w:hyperlink>
        </w:p>
        <w:p>
          <w:pPr>
            <w:pStyle w:val="Contents1"/>
            <w:tabs>
              <w:tab w:val="right" w:pos="9638" w:leader="dot"/>
            </w:tabs>
            <w:rPr/>
          </w:pPr>
          <w:hyperlink w:anchor="__RefHeading___Toc3405_68767826">
            <w:r>
              <w:rPr>
                <w:rStyle w:val="IndexLink"/>
              </w:rPr>
              <w:t>References</w:t>
              <w:tab/>
              <w:t>19</w:t>
            </w:r>
          </w:hyperlink>
        </w:p>
        <w:p>
          <w:pPr>
            <w:pStyle w:val="Contents1"/>
            <w:tabs>
              <w:tab w:val="right" w:pos="9638" w:leader="dot"/>
            </w:tabs>
            <w:rPr/>
          </w:pPr>
          <w:hyperlink w:anchor="__RefHeading___Toc3407_68767826">
            <w:r>
              <w:rPr>
                <w:rStyle w:val="IndexLink"/>
              </w:rPr>
              <w:t>Figure Captions</w:t>
              <w:tab/>
              <w:t>25</w:t>
            </w:r>
          </w:hyperlink>
        </w:p>
        <w:p>
          <w:pPr>
            <w:pStyle w:val="Contents1"/>
            <w:tabs>
              <w:tab w:val="right" w:pos="9638" w:leader="dot"/>
            </w:tabs>
            <w:rPr/>
          </w:pPr>
          <w:hyperlink w:anchor="__RefHeading___Toc4426_1817233446">
            <w:r>
              <w:rPr>
                <w:rStyle w:val="IndexLink"/>
              </w:rPr>
              <w:t>Tables</w:t>
              <w:tab/>
              <w:t>27</w:t>
            </w:r>
          </w:hyperlink>
          <w:r>
            <w:rPr>
              <w:rStyle w:val="IndexLink"/>
            </w:rPr>
            <w:fldChar w:fldCharType="end"/>
          </w:r>
        </w:p>
      </w:sdtContent>
    </w:sdt>
    <w:p>
      <w:pPr>
        <w:pStyle w:val="Heading1"/>
        <w:numPr>
          <w:ilvl w:val="0"/>
          <w:numId w:val="0"/>
        </w:numPr>
        <w:spacing w:before="567" w:after="142"/>
        <w:ind w:left="0" w:hanging="0"/>
        <w:rPr>
          <w:bCs/>
          <w:sz w:val="32"/>
          <w:szCs w:val="36"/>
        </w:rPr>
      </w:pPr>
      <w:bookmarkStart w:id="0" w:name="__RefHeading___Toc1120_4253449514"/>
      <w:bookmarkEnd w:id="0"/>
      <w:r>
        <w:rPr>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described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summarize the history of the original Carnegie </w:t>
      </w:r>
      <w:r>
        <w:rPr>
          <w:i/>
          <w:iCs/>
        </w:rPr>
        <w:t>Diplodocus</w:t>
      </w:r>
      <w:r>
        <w:rPr/>
        <w:t>, discuss how the concrete cast came to be, and consider its legacy.</w:t>
      </w:r>
    </w:p>
    <w:p>
      <w:pPr>
        <w:pStyle w:val="Heading2"/>
        <w:ind w:left="0" w:hanging="0"/>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ind w:left="0" w:hanging="0"/>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 xml:space="preserve">LACM — </w:t>
      </w:r>
      <w:r>
        <w:rPr/>
        <w:t>Natural History Museum of Los Angeles County, Los Angeles, California,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ind w:left="0" w:hanging="0"/>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1889,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ind w:left="0" w:hanging="0"/>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supervize the mounting of the casts.</w:t>
      </w:r>
    </w:p>
    <w:p>
      <w:pPr>
        <w:pStyle w:val="TextBody"/>
        <w:rPr/>
      </w:pPr>
      <w:r>
        <w:rPr/>
        <w:t>Buoyed by success of his donation program, Carnegie authorized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ind w:left="0" w:hanging="0"/>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center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ind w:left="0" w:hanging="0"/>
        <w:rPr/>
      </w:pPr>
      <w:bookmarkStart w:id="7" w:name="__RefHeading___Toc26119_446257137"/>
      <w:bookmarkEnd w:id="7"/>
      <w:r>
        <w:rPr/>
        <w:t>The concrete cast in Vernal</w:t>
      </w:r>
    </w:p>
    <w:p>
      <w:pPr>
        <w:pStyle w:val="TextBody"/>
        <w:rPr/>
      </w:pPr>
      <w:r>
        <w:rPr/>
        <w:t>As noted above, Vernal native J. LeRoy Kay had gained his entry to paleontology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w:t>
      </w:r>
      <w:r>
        <w:rPr/>
        <w:t>five</w:t>
      </w:r>
      <w:r>
        <w:rPr/>
        <w:t xml:space="preserve"> tons (Untermann 195</w:t>
      </w:r>
      <w:r>
        <w:rPr/>
        <w:t>6</w:t>
      </w:r>
      <w:r>
        <w:rPr/>
        <w:t>)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1957; Untermann 1959:367–368). The completed concrete skeleton weighed 8 tons (Untermann 1957).</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ind w:left="0" w:hanging="0"/>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to create a complete new cast. However, that was not Untermann’s intention. </w:t>
      </w:r>
      <w:r>
        <w:rPr/>
        <w:t>As early as June 1956, well before the completion of the Vernal cast, he was in negotiation with Theodore Downs, Curator of Vertebrate Paleontology at the Los Angeles County Museum, to have the molds shipped there when the Vernal mount had been erected (Untermann 1956). Furthermore, tentative plans were already in place for molds to subsequently be used by “some museum in the State of Louisiana” (Ogawa 1957) — most likely either McNeese State College (now McNeese State University) or Louisiana State University (Downs 1957), and Michigan State University had also expressed an interest (Downs 1957).</w:t>
      </w:r>
    </w:p>
    <w:p>
      <w:pPr>
        <w:pStyle w:val="TextBody"/>
        <w:rPr/>
      </w:pPr>
      <w:r>
        <w:rPr/>
        <w:t xml:space="preserve">Downs’ intention was to to mount the LACM cast indoors, underneath the recently added hanging skeleton of a 70-foot-long blue whale, in the Hall of Evolving Life (Downs 1956). By May of 1957, however, this project was foundering due to “lack of room in the [Los Angeles] Museum, lack of time and money for technological supervision, labour and material, and perhaps lack of interest also” (Ogawa 1957). More specifically, the Los Angeles museum had recently acquired the California Institute of Technology collection of 55,000 vertebrate follows, and needed the display space for the dozen or so exhibit specimens that were included (Downs 1957). </w:t>
      </w:r>
      <w:r>
        <w:rPr/>
        <w:t xml:space="preserve">With the Los Angeles plan having fallen through, Untermann followed up with McNeese State College, but they failed even to reply to three letters (Untermann 1958) and so were removed from consideration. </w:t>
      </w:r>
    </w:p>
    <w:p>
      <w:pPr>
        <w:pStyle w:val="TextBody"/>
        <w:rPr/>
      </w:pPr>
      <w:r>
        <w:rPr/>
        <w:t xml:space="preserve">Untermann remained anxious to get rid of the molds, which where taking up far too much of the small museum’s limited space. </w:t>
      </w:r>
      <w:r>
        <w:rPr/>
        <w:t xml:space="preserve">In </w:t>
      </w:r>
      <w:r>
        <w:rPr/>
        <w:t xml:space="preserve">his </w:t>
      </w:r>
      <w:r>
        <w:rPr/>
        <w:t>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however. As shown by a 1960 report in the </w:t>
      </w:r>
      <w:r>
        <w:rPr>
          <w:i/>
          <w:iCs/>
        </w:rPr>
        <w:t>Vernal Express</w:t>
      </w:r>
      <w:r>
        <w:rPr/>
        <w:t xml:space="preserve"> newspaper (Anonymous 1960a; Figure 7; see also Carr and Hansen 2005), in the middle of July 1960, the molds were collected by the Rocky Mount Children’s Museum (now the Rocky Mount Imperial Center, Children’s Museum &amp; Science Center) in North Carolina, with the intention that they would be used to create a twelfth cast which would be mounted outside the museum building next to the Tar River in Rocky Mount’s Sunset Park. But it seems the new cast was never completed. Reports in the </w:t>
      </w:r>
      <w:r>
        <w:rPr>
          <w:i/>
          <w:iCs/>
        </w:rPr>
        <w:t>Rocky Mount Evening Telegram</w:t>
      </w:r>
      <w:r>
        <w:rPr/>
        <w:t xml:space="preserve"> from April to July 1960 (Williams 1960, Bell 1960a, Bell 1960b, Anonymous 1960b) enthusiastically announced and discussed the impeding arrival, and the later articles say that by 7 July museum board president Harold Minges had left for Utah to collect to molds. In fact Minges took his whole family on this trip to collect the molds (Leigh Minges in Herring 2022a). Anonymous (1960a) confirmed that the molds were collected on or around 14 July. But as Rea (2001:210) reported, “from Vernal the molds kept travelling — first, to the Rocky Mount Children’s Museum in Rocky Mount, North Carolina, although a cast was never made there”. </w:t>
      </w:r>
      <w:r>
        <w:rPr>
          <w:shd w:fill="auto" w:val="clear"/>
        </w:rPr>
        <w:t xml:space="preserve">Similarly, Moore (2014:234–235) stated that “From Vernal, Utah, [CM] molds of </w:t>
      </w:r>
      <w:r>
        <w:rPr>
          <w:i/>
          <w:iCs/>
          <w:shd w:fill="auto" w:val="clear"/>
        </w:rPr>
        <w:t>Diplodocus carnegii</w:t>
      </w:r>
      <w:r>
        <w:rPr>
          <w:shd w:fill="auto" w:val="clear"/>
        </w:rPr>
        <w:t xml:space="preserve"> are shipped to Rocky Mount Children’s Museum in Rocky Mount, North Carolina. Because of the age-related damage to the molds, a cast was never prepared”.</w:t>
      </w:r>
    </w:p>
    <w:p>
      <w:pPr>
        <w:pStyle w:val="TextBody"/>
        <w:rPr/>
      </w:pPr>
      <w:r>
        <w:rPr/>
        <w:t xml:space="preserve">At first, there was some excitement in Rocky Mount. Mae Woods Bell, who had been the museum director ever since its creation in 1951 (Anonymous 1962b) made presentations about the dinosaur project to the Rotary (Anonymous 1960c) and the Lions Club (Anonymous 1960d). On 26 August 1960, </w:t>
      </w:r>
      <w:r>
        <w:rPr>
          <w:b w:val="false"/>
          <w:bCs w:val="false"/>
        </w:rPr>
        <w:t xml:space="preserve">Bell reported that </w:t>
      </w:r>
      <w:r>
        <w:rPr/>
        <w:t>casting “will start soon” (Anonymous 1960d), but evidently that work 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disorganization and physical state of molds was of concern as “Several months will be involved classifying and preparing molds for casting” (Anonymous 1961a).</w:t>
      </w:r>
    </w:p>
    <w:p>
      <w:pPr>
        <w:pStyle w:val="TextBody"/>
        <w:rPr/>
      </w:pPr>
      <w:r>
        <w:rPr/>
        <w:t xml:space="preserve">An invitation was now issued to local citizens who wished to volunteer for the work, and they began to work on Monday and Tuesday evenings (Anonymous 1961a) in a warehouse provided by Minges (Anonymous 1962b) on Hill Street, east of the intersection with Washington Street behind the old Pepsi bottling plant (Alan Anderson in Herring 2022a). The Tuesday sessions were soon halted due to the hot weather (Anonymous 1961b). Their suspension may have been intended as a temporary measure but by 28 September “The dinosaur project [was] progressing steadily, with museum personnel, trustees and volunteers working each Monday night” (Anonymous 1961c). On 10 October, Bell told the Junior Woman’s Club that “the work of the dinosaur was progressing nicely” (Anonymous 1961d), and on 9 January 1962, Harold Minges told the museum’s annual meeting that the dinosaur was “rapidly being brought back to life by Museum members” (Anonymous 1962a). From this we must conclude that some elements had been successfully cast by this point. On 20 February, the Rocky Mountain Evening Telegraph reported, presumably with Bell’s authority, that “during the year prospects are bright for the Museum’s ‘big’ project to be completed”. This optimism was to prove misplaced, however: nearly two years later on 8 January 1964 new Museum president Ted P. Williamson called for “completion of the dinosaur project […] which they hope to have on display during the year” (Anonymous 1964a); on 8 December that year, Bell told trustees that “work is continuing on the dinosaur project” (Anonymous 1964b). Still the work lingered on, and as of 23 March 1966 John Thompson and Harold Minges were listed as co-chairmen of the Museum’s Dinosaur Committee (Anonymous 1966). The last mention of the project in the </w:t>
      </w:r>
      <w:r>
        <w:rPr>
          <w:i/>
          <w:iCs/>
        </w:rPr>
        <w:t>Telegram</w:t>
      </w:r>
      <w:r>
        <w:rPr/>
        <w:t xml:space="preserve"> is in 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molds now are stored in the old Avalon Airport building on NC 97 East. We expect to resume work on the project in the spring”.</w:t>
      </w:r>
    </w:p>
    <w:p>
      <w:pPr>
        <w:pStyle w:val="TextBody"/>
        <w:rPr/>
      </w:pPr>
      <w:r>
        <w:rPr/>
        <w:t>Avalon Airport was a small airstrip on Leggett Highway in the mid-1940s (at that time known as Route 95, later changed to Highway 97 to avoid confusion with the new I-95.) It was closed after operations were moved to Rocky Mount Municipal Airport on North Church Street (Herring 2022b), and all buildings associated with it are now gone: there is still a local airport on Highway 97, but it is a completely different complex on the west side (Thompson, pers. comm., 2022). It seems likely, but is not certain, that the molds and any elements that had been cast from them, were destroyed or discarded when old building was demolished.</w:t>
      </w:r>
    </w:p>
    <w:p>
      <w:pPr>
        <w:pStyle w:val="TextBody"/>
        <w:rPr/>
      </w:pPr>
      <w:r>
        <w:rPr>
          <w:shd w:fill="FFFF00" w:val="clear"/>
        </w:rPr>
        <w:t>XXX newly recovered letters here.</w:t>
      </w:r>
      <w:r>
        <w:rPr/>
        <w:t xml:space="preserve"> It seems then, that some casts were probably made from the molds, but the project petered out.</w:t>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the eventual outcome, if any, of the </w:t>
      </w:r>
      <w:r>
        <w:rPr>
          <w:i/>
          <w:iCs/>
        </w:rPr>
        <w:t>Diplodocus</w:t>
      </w:r>
      <w:r>
        <w:rPr/>
        <w:t xml:space="preserve"> project. The museum was located next door to a municipal water treatment facility that also flooded and released unknown chemicals, so museum property that might have otherwise been salvageable in that area was deemed contaminated and had to be destroyed. If any molds or casts were in storage at the Children’s Museum at this time, then this was likely the end of their story.</w:t>
      </w:r>
    </w:p>
    <w:p>
      <w:pPr>
        <w:pStyle w:val="TextBody"/>
        <w:rPr/>
      </w:pPr>
      <w:r>
        <w:rPr/>
        <w:t xml:space="preserve">The Children’s Museum was re-established at the newly built Imperial Center, where it still resides, but no trace exists there of molds or casts of </w:t>
      </w:r>
      <w:r>
        <w:rPr>
          <w:i/>
          <w:iCs/>
        </w:rPr>
        <w:t>Diplodocus</w:t>
      </w:r>
      <w:r>
        <w:rPr/>
        <w:t xml:space="preserve">. Corroborating the likely conclusion that no cast was ever completed,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made from the Carnegie molds,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confirm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to LuRae Caldwell of the Utah Field House,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 and it must be considered possible that Rolfe was working from false or outdated information. Rolfe cannot now recall any details of this initiative (pers. comm. via Jeff Liston, 2022) and it is considered unlike that any further relevant correspondence survives or is discoverable (Michael A. Taylor, pers. comm., 2022).</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journey Langston thought the molds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account of the molds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them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would have been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some way into the casting project determined not to be up to the job (Rea 2001:210, Moore 2014:234-235) and left in storage. At some later point it may be that they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ind w:left="0" w:hanging="0"/>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February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formalized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ind w:left="0" w:hanging="0"/>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summarizes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ind w:left="0" w:hanging="0"/>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 The femora, separated from the rest of the skeleton, were left outside the building in a children</w:t>
      </w:r>
      <w:r>
        <w:rPr>
          <w:rFonts w:eastAsia="Songti SC" w:cs="Arial Unicode MS"/>
          <w:color w:val="auto"/>
          <w:kern w:val="2"/>
          <w:sz w:val="24"/>
          <w:szCs w:val="24"/>
          <w:lang w:val="en-GB" w:eastAsia="zh-CN" w:bidi="hi-IN"/>
        </w:rPr>
        <w:t xml:space="preserve">’s </w:t>
      </w:r>
      <w:r>
        <w:rPr/>
        <w:t xml:space="preserve">sandbox </w:t>
      </w:r>
      <w:r>
        <w:rPr>
          <w:rFonts w:eastAsia="Songti SC" w:cs="Arial Unicode MS"/>
          <w:color w:val="auto"/>
          <w:kern w:val="2"/>
          <w:sz w:val="24"/>
          <w:szCs w:val="24"/>
          <w:lang w:val="en-GB" w:eastAsia="zh-CN" w:bidi="hi-IN"/>
        </w:rPr>
        <w:t>“</w:t>
      </w:r>
      <w:r>
        <w:rPr/>
        <w:t>dino dig</w:t>
      </w:r>
      <w:r>
        <w:rPr>
          <w:rFonts w:eastAsia="Songti SC" w:cs="Arial Unicode MS"/>
          <w:color w:val="auto"/>
          <w:kern w:val="2"/>
          <w:sz w:val="24"/>
          <w:szCs w:val="24"/>
          <w:lang w:val="en-GB" w:eastAsia="zh-CN" w:bidi="hi-IN"/>
        </w:rPr>
        <w:t xml:space="preserve">” </w:t>
      </w:r>
      <w:r>
        <w:rPr/>
        <w:t>area,</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 company was hired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ind w:left="0" w:hanging="0"/>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centerpiece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Traci Thompson (Braswell Memorial Library) helped us to track down newspaper articles on the Rocky Mount </w:t>
      </w:r>
      <w:r>
        <w:rPr>
          <w:i/>
          <w:iCs/>
        </w:rPr>
        <w:t>Diplodocus</w:t>
      </w:r>
      <w:r>
        <w:rPr/>
        <w:t xml:space="preserve"> project. David S. Berman (late of the Carnegie Museum), Brian Curtice (Fossil Crates), Jeff Liston (Royal Tyrrell Museum of Palaeontology), Peter May (Research Casting International), Ilja Nieuwland (Huygens Institute, Royal Netherlands Academy of Arts and Sciences) and Michael A. Taylor (National Museums Scotland)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artifact with magical powers.</w:t>
      </w:r>
    </w:p>
    <w:p>
      <w:pPr>
        <w:pStyle w:val="TextBody"/>
        <w:rPr/>
      </w:pPr>
      <w:r>
        <w:rPr/>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shd w:fill="FFFF00" w:val="clear"/>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r>
        <w:rPr>
          <w:rStyle w:val="InternetLink"/>
        </w:rPr>
        <w:t>https://newspapers.lib.utah.edu/ark:/87278/s6zk6w6s/21338221</w:t>
      </w:r>
      <w:r>
        <w:rPr/>
        <w:t>. Drafted by G. Ernest Untermann as “Dippy rides again”.</w:t>
      </w:r>
    </w:p>
    <w:p>
      <w:pPr>
        <w:pStyle w:val="FigureCaption"/>
        <w:rPr/>
      </w:pPr>
      <w:r>
        <w:rPr/>
        <w:t xml:space="preserve">Anonymous. 1960b. Something ‘big’ for a fact. </w:t>
      </w:r>
      <w:r>
        <w:rPr>
          <w:i/>
          <w:iCs/>
        </w:rPr>
        <w:t>Rocky Mount Evening Telegram</w:t>
      </w:r>
      <w:r>
        <w:rPr/>
        <w:t xml:space="preserve">, 8 July 1960, page 4A. </w:t>
      </w:r>
      <w:hyperlink r:id="rId9">
        <w:r>
          <w:rPr>
            <w:rStyle w:val="InternetLink"/>
          </w:rPr>
          <w:t>https://newspaperarchive.com/rocky-mount-evening-telegram-jul-08-1960-p-4/</w:t>
        </w:r>
      </w:hyperlink>
    </w:p>
    <w:p>
      <w:pPr>
        <w:pStyle w:val="FigureCaption"/>
        <w:rPr/>
      </w:pPr>
      <w:r>
        <w:rPr/>
        <w:t xml:space="preserve">Anonymous. 1960c. Mrs. Bell tells rotary about coming dinosaur. </w:t>
      </w:r>
      <w:r>
        <w:rPr>
          <w:i/>
          <w:iCs/>
        </w:rPr>
        <w:t>Rocky Mount Evening Telegram</w:t>
      </w:r>
      <w:r>
        <w:rPr/>
        <w:t>, 23 August 1960, page 7.</w:t>
      </w:r>
    </w:p>
    <w:p>
      <w:pPr>
        <w:pStyle w:val="FigureCaption"/>
        <w:rPr/>
      </w:pPr>
      <w:r>
        <w:rPr/>
        <w:t xml:space="preserve">Anonymous. 1960d. Mrs. Bell talks to local lions. </w:t>
      </w:r>
      <w:r>
        <w:rPr>
          <w:i/>
          <w:iCs/>
        </w:rPr>
        <w:t>Rocky Mount Evening Telegram</w:t>
      </w:r>
      <w:r>
        <w:rPr/>
        <w:t>, 26 August 1960, page 9.</w:t>
      </w:r>
    </w:p>
    <w:p>
      <w:pPr>
        <w:pStyle w:val="FigureCaption"/>
        <w:rPr/>
      </w:pPr>
      <w:r>
        <w:rPr/>
        <w:t xml:space="preserve">Anonymous. 1961a. Work to begin Monday on dinosaur project. </w:t>
      </w:r>
      <w:r>
        <w:rPr>
          <w:i/>
          <w:iCs/>
        </w:rPr>
        <w:t>Rocky Mount Evening Telegram</w:t>
      </w:r>
      <w:r>
        <w:rPr/>
        <w:t>, 11 June 1961, page 5.</w:t>
      </w:r>
    </w:p>
    <w:p>
      <w:pPr>
        <w:pStyle w:val="FigureCaption"/>
        <w:rPr/>
      </w:pPr>
      <w:r>
        <w:rPr/>
        <w:t xml:space="preserve">Anonymous. 1961b. Dinosaur work. </w:t>
      </w:r>
      <w:r>
        <w:rPr>
          <w:i/>
          <w:iCs/>
        </w:rPr>
        <w:t>Rocky Mount Evening Telegram</w:t>
      </w:r>
      <w:r>
        <w:rPr/>
        <w:t>, 31 July 1961, page 7.</w:t>
      </w:r>
    </w:p>
    <w:p>
      <w:pPr>
        <w:pStyle w:val="FigureCaption"/>
        <w:rPr/>
      </w:pPr>
      <w:r>
        <w:rPr/>
        <w:t xml:space="preserve">Anonymous. 1961c. New officers, trustees named for city museum. </w:t>
      </w:r>
      <w:r>
        <w:rPr>
          <w:i/>
          <w:iCs/>
        </w:rPr>
        <w:t>Rocky Mount Evening Telegram</w:t>
      </w:r>
      <w:r>
        <w:rPr/>
        <w:t>, 28 September 1961, page 15.</w:t>
      </w:r>
    </w:p>
    <w:p>
      <w:pPr>
        <w:pStyle w:val="FigureCaption"/>
        <w:rPr/>
      </w:pPr>
      <w:r>
        <w:rPr/>
        <w:t xml:space="preserve">Anonymous. 1961d. Junior women's club program on Children's Museum. </w:t>
      </w:r>
      <w:r>
        <w:rPr>
          <w:i/>
          <w:iCs/>
        </w:rPr>
        <w:t>Rocky Mount Evening Telegram</w:t>
      </w:r>
      <w:r>
        <w:rPr/>
        <w:t>, 12 October 1961, page 9.</w:t>
      </w:r>
    </w:p>
    <w:p>
      <w:pPr>
        <w:pStyle w:val="FigureCaption"/>
        <w:rPr/>
      </w:pPr>
      <w:r>
        <w:rPr/>
        <w:t xml:space="preserve">Anonymous. 1962a. Children's Museum has 57,000 visitors during year; observes 10th anniversary. </w:t>
      </w:r>
      <w:r>
        <w:rPr>
          <w:i/>
          <w:iCs/>
        </w:rPr>
        <w:t>Rocky Mount Evening Telegram</w:t>
      </w:r>
      <w:r>
        <w:rPr/>
        <w:t>, 10 January 1962, page 11.</w:t>
      </w:r>
    </w:p>
    <w:p>
      <w:pPr>
        <w:pStyle w:val="FigureCaption"/>
        <w:rPr/>
      </w:pPr>
      <w:r>
        <w:rPr/>
        <w:t xml:space="preserve">Anonymous. 1962b. Birthday for the museum. </w:t>
      </w:r>
      <w:r>
        <w:rPr>
          <w:i/>
          <w:iCs/>
        </w:rPr>
        <w:t>Rocky Mount Evening Telegram</w:t>
      </w:r>
      <w:r>
        <w:rPr/>
        <w:t>, 20 February 1962, page 4.</w:t>
      </w:r>
    </w:p>
    <w:p>
      <w:pPr>
        <w:pStyle w:val="FigureCaption"/>
        <w:rPr/>
      </w:pPr>
      <w:r>
        <w:rPr/>
        <w:t xml:space="preserve">Anonymous. 1964a. Williamson new head of Children's Museum. </w:t>
      </w:r>
      <w:r>
        <w:rPr>
          <w:i/>
          <w:iCs/>
        </w:rPr>
        <w:t>Rocky Mount Evening Telegram</w:t>
      </w:r>
      <w:r>
        <w:rPr/>
        <w:t>, 8 January 1964, page 11.</w:t>
      </w:r>
    </w:p>
    <w:p>
      <w:pPr>
        <w:pStyle w:val="FigureCaption"/>
        <w:rPr/>
      </w:pPr>
      <w:r>
        <w:rPr/>
        <w:t xml:space="preserve">Anonymous. 1964b. Children's Museum trustees study plans for an addition. </w:t>
      </w:r>
      <w:r>
        <w:rPr>
          <w:i/>
          <w:iCs/>
        </w:rPr>
        <w:t>Rocky Mount Evening Telegram</w:t>
      </w:r>
      <w:r>
        <w:rPr/>
        <w:t>, 9 December 1964, page 13.</w:t>
      </w:r>
    </w:p>
    <w:p>
      <w:pPr>
        <w:pStyle w:val="FigureCaption"/>
        <w:rPr/>
      </w:pPr>
      <w:r>
        <w:rPr/>
        <w:t xml:space="preserve">Anonymous. 1966. Museum lists its committees. </w:t>
      </w:r>
      <w:r>
        <w:rPr>
          <w:i/>
          <w:iCs/>
        </w:rPr>
        <w:t>Rocky Mount Evening Telegram</w:t>
      </w:r>
      <w:r>
        <w:rPr/>
        <w:t>, 23 March 1966, page 9.</w:t>
      </w:r>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0">
        <w:r>
          <w:rPr>
            <w:rStyle w:val="InternetLink"/>
          </w:rPr>
          <w:t>https://newspapers.lib.utah.edu/ark:/87278/s6pk1vwz/21595150</w:t>
        </w:r>
      </w:hyperlink>
    </w:p>
    <w:p>
      <w:pPr>
        <w:pStyle w:val="Reference"/>
        <w:rPr/>
      </w:pPr>
      <w:r>
        <w:rPr/>
        <w:t xml:space="preserve">Anonymous. 1968. What happened to the giant concrete dinosaur project at Sunset Park? </w:t>
      </w:r>
      <w:r>
        <w:rPr>
          <w:i/>
          <w:iCs/>
        </w:rPr>
        <w:t>Rocky Mount Evening Telegram</w:t>
      </w:r>
      <w:r>
        <w:rPr/>
        <w:t>, 3 March 1968, page 6.</w:t>
      </w:r>
    </w:p>
    <w:p>
      <w:pPr>
        <w:pStyle w:val="Reference"/>
        <w:rPr/>
      </w:pPr>
      <w:r>
        <w:rPr/>
        <w:t xml:space="preserve">Anonymous. 1969. Early plans for Utah Field House started by Vernal Lions Club in 1934. </w:t>
      </w:r>
      <w:r>
        <w:rPr>
          <w:i/>
          <w:iCs/>
        </w:rPr>
        <w:t>Vernal Express</w:t>
      </w:r>
      <w:r>
        <w:rPr/>
        <w:t xml:space="preserve">, 24 April 1969, page 1B. </w:t>
      </w:r>
      <w:hyperlink r:id="rId11">
        <w:r>
          <w:rPr>
            <w:rStyle w:val="InternetLink"/>
          </w:rPr>
          <w:t>https://newspapers.lib.utah.edu/ark:/87278/s6515c19/21656624</w:t>
        </w:r>
      </w:hyperlink>
    </w:p>
    <w:p>
      <w:pPr>
        <w:pStyle w:val="Reference"/>
        <w:rPr/>
      </w:pPr>
      <w:hyperlink r:id="rId12">
        <w:r>
          <w:rPr/>
          <w:t xml:space="preserve">Anonymous. 1991. Dippy returns as beast of new mold. </w:t>
        </w:r>
      </w:hyperlink>
      <w:r>
        <w:rPr>
          <w:i/>
          <w:iCs/>
        </w:rPr>
        <w:t>Vernal Express</w:t>
      </w:r>
      <w:r>
        <w:rPr/>
        <w:t xml:space="preserve">, 26 June 1991, page 1. </w:t>
      </w:r>
      <w:hyperlink r:id="rId13">
        <w:r>
          <w:rPr>
            <w:rStyle w:val="VisitedInternetLink"/>
          </w:rPr>
          <w:t>https://newspapers.lib.utah.edu/ark:/87278/s6rv4bxq/22646163</w:t>
        </w:r>
      </w:hyperlink>
    </w:p>
    <w:p>
      <w:pPr>
        <w:pStyle w:val="Reference"/>
        <w:rPr/>
      </w:pPr>
      <w:r>
        <w:rPr/>
        <w:t xml:space="preserve">Anonymous. 1993. “Dippy” the </w:t>
      </w:r>
      <w:r>
        <w:rPr>
          <w:i/>
          <w:iCs/>
        </w:rPr>
        <w:t>Diplodocus</w:t>
      </w:r>
      <w:r>
        <w:rPr/>
        <w:t xml:space="preserve"> is being reassembled. </w:t>
      </w:r>
      <w:r>
        <w:rPr>
          <w:i/>
          <w:iCs/>
        </w:rPr>
        <w:t>Vernal Express</w:t>
      </w:r>
      <w:r>
        <w:rPr/>
        <w:t xml:space="preserve">, 23 June 1993. </w:t>
      </w:r>
      <w:hyperlink r:id="rId14">
        <w:r>
          <w:rPr>
            <w:rStyle w:val="VisitedInternetLink"/>
          </w:rPr>
          <w:t>https://newspapers.lib.utah.edu/ark:/87278/s6b88zdc/22648688</w:t>
        </w:r>
      </w:hyperlink>
    </w:p>
    <w:p>
      <w:pPr>
        <w:pStyle w:val="Reference"/>
        <w:rPr/>
      </w:pPr>
      <w:r>
        <w:rPr/>
        <w:t xml:space="preserve">Anonymous. 2007. James Madsen Obituary. </w:t>
      </w:r>
      <w:hyperlink r:id="rId15">
        <w:r>
          <w:rPr>
            <w:rStyle w:val="InternetLink"/>
          </w:rPr>
          <w:t>https://www.legacy.com/us/obituaries/deseretnews/name/james-madsen-obituary?id=28417430</w:t>
        </w:r>
      </w:hyperlink>
      <w:r>
        <w:rPr/>
        <w:t xml:space="preserve">, archived at </w:t>
      </w:r>
      <w:hyperlink r:id="rId16">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7">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8">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9">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0">
        <w:r>
          <w:rPr>
            <w:rStyle w:val="InternetLink"/>
          </w:rPr>
          <w:t>https://www.tampabay.com/news/business/tourism/mosi-to-close-part-of-its-building-to-save-money-before-move-to-downtown/2324358/</w:t>
        </w:r>
      </w:hyperlink>
      <w:r>
        <w:rPr/>
        <w:t xml:space="preserve">, archived at </w:t>
      </w:r>
      <w:hyperlink r:id="rId21">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ind w:right="0" w:hanging="0"/>
        <w:rPr/>
      </w:pPr>
      <w:r>
        <w:rPr/>
        <w:t xml:space="preserve">Downs, </w:t>
      </w:r>
      <w:r>
        <w:rPr/>
        <w:t>Theodore.</w:t>
      </w:r>
      <w:r>
        <w:rPr/>
        <w:t xml:space="preserve"> 1956. </w:t>
      </w:r>
      <w:r>
        <w:rPr/>
        <w:t>Letter to G. Ernest Untermann. 19 July 1956.</w:t>
      </w:r>
    </w:p>
    <w:p>
      <w:pPr>
        <w:pStyle w:val="Reference"/>
        <w:rPr/>
      </w:pPr>
      <w:r>
        <w:rPr/>
        <w:t xml:space="preserve">Downs, </w:t>
      </w:r>
      <w:r>
        <w:rPr/>
        <w:t>Theodore.</w:t>
      </w:r>
      <w:r>
        <w:rPr/>
        <w:t xml:space="preserve"> 1957. </w:t>
      </w:r>
      <w:r>
        <w:rPr/>
        <w:t>Letter to G. Ernest Untermann. 23 May 1957.</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Herring, Gene. 2022a. Rocky Mount has a skeleton in its closet ... We just don't know where it is.  </w:t>
      </w:r>
      <w:r>
        <w:rPr>
          <w:i/>
          <w:iCs/>
        </w:rPr>
        <w:t>Rocky Mount ...Way Back When</w:t>
      </w:r>
      <w:r>
        <w:rPr/>
        <w:t xml:space="preserve">, 12 October 2022. </w:t>
      </w:r>
      <w:hyperlink r:id="rId22">
        <w:r>
          <w:rPr>
            <w:rStyle w:val="InternetLink"/>
          </w:rPr>
          <w:t>https://www.facebook.com/groups/34407448334/permalink/10159232557673335/</w:t>
        </w:r>
      </w:hyperlink>
    </w:p>
    <w:p>
      <w:pPr>
        <w:pStyle w:val="Reference"/>
        <w:rPr/>
      </w:pPr>
      <w:r>
        <w:rPr/>
        <w:t xml:space="preserve">Herring, Gene. 2022b. It seems that every time I research and post a story about Rocky Mount, more facts are revealed. </w:t>
      </w:r>
      <w:r>
        <w:rPr>
          <w:i/>
          <w:iCs/>
        </w:rPr>
        <w:t>Rocky Mount ...Way Back When</w:t>
      </w:r>
      <w:r>
        <w:rPr/>
        <w:t xml:space="preserve">, 14 October 2022. </w:t>
      </w:r>
      <w:hyperlink r:id="rId23">
        <w:r>
          <w:rPr>
            <w:rStyle w:val="InternetLink"/>
          </w:rPr>
          <w:t>https://www.facebook.com/groups/34407448334/permalink/10159236326718335/</w:t>
        </w:r>
      </w:hyperlink>
      <w:r>
        <w:rPr/>
        <w:t xml:space="preserve"> </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4">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5">
        <w:r>
          <w:rPr>
            <w:rStyle w:val="InternetLink"/>
          </w:rPr>
          <w:t>https://archiveswest.orbiscascade.org/ark:/80444/xv38626</w:t>
        </w:r>
      </w:hyperlink>
      <w:r>
        <w:rPr/>
        <w:t xml:space="preserve">, archived at </w:t>
      </w:r>
      <w:hyperlink r:id="rId26">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7">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8">
        <w:r>
          <w:rPr>
            <w:rStyle w:val="InternetLink"/>
          </w:rPr>
          <w:t>http://hdl.handle.net/2246/6497</w:t>
        </w:r>
      </w:hyperlink>
    </w:p>
    <w:p>
      <w:pPr>
        <w:pStyle w:val="Reference"/>
        <w:rPr/>
      </w:pPr>
      <w:r>
        <w:rPr/>
        <w:t xml:space="preserve">Ogawa, </w:t>
      </w:r>
      <w:r>
        <w:rPr/>
        <w:t>William Y.</w:t>
      </w:r>
      <w:r>
        <w:rPr/>
        <w:t xml:space="preserve"> 1957. </w:t>
      </w:r>
      <w:r>
        <w:rPr/>
        <w:t>Letter to G. Ernest Untermann. 22 May 1957.</w:t>
      </w:r>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9">
        <w:r>
          <w:rPr>
            <w:rStyle w:val="VisitedInternetLink"/>
          </w:rPr>
          <w:t>https://wusfnews.wusf.usf.edu/news/2017-05-18/mosi-to-close-imax-other-exhibits-in-cost-saving-reconfiguration</w:t>
        </w:r>
      </w:hyperlink>
      <w:r>
        <w:rPr/>
        <w:t xml:space="preserve">, archived at </w:t>
      </w:r>
      <w:hyperlink r:id="rId30">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shd w:fill="FFFF00" w:val="clear"/>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shd w:fill="FFFF00" w:val="clear"/>
        </w:rPr>
        <w:t>XXX replace with reference to preprint</w:t>
      </w:r>
      <w:bookmarkStart w:id="23" w:name="__DdeLink__3619_3219802390"/>
      <w:r>
        <w:rPr>
          <w:shd w:fill="FFFF00" w:val="clear"/>
        </w:rPr>
        <w:t xml:space="preserve"> when available</w:t>
      </w:r>
      <w:bookmarkEnd w:id="23"/>
      <w:r>
        <w:rPr>
          <w:shd w:fill="FFFF00" w:val="clear"/>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Thursday, August 7, 195, p1.</w:t>
      </w:r>
    </w:p>
    <w:p>
      <w:pPr>
        <w:pStyle w:val="Reference"/>
        <w:rPr/>
      </w:pPr>
      <w:r>
        <w:rPr/>
        <w:t xml:space="preserve">Untermann, </w:t>
      </w:r>
      <w:r>
        <w:rPr/>
        <w:t>G. Ernest.</w:t>
      </w:r>
      <w:r>
        <w:rPr/>
        <w:t xml:space="preserve"> 1956. </w:t>
      </w:r>
      <w:r>
        <w:rPr/>
        <w:t>Letter to Theodore Downs. 27 July 1956.</w:t>
      </w:r>
    </w:p>
    <w:p>
      <w:pPr>
        <w:pStyle w:val="Reference"/>
        <w:rPr/>
      </w:pPr>
      <w:r>
        <w:rPr/>
        <w:t xml:space="preserve">Untermann, G. Ernest. 1957. Dippy draws “dudes” by thousands, boosts tourist travel to museum. </w:t>
      </w:r>
      <w:r>
        <w:rPr>
          <w:i/>
          <w:iCs/>
        </w:rPr>
        <w:t>Vernal Express</w:t>
      </w:r>
      <w:r>
        <w:rPr/>
        <w:t xml:space="preserve">, 19 December 1957. </w:t>
      </w:r>
      <w:hyperlink r:id="rId31">
        <w:r>
          <w:rPr>
            <w:rStyle w:val="InternetLink"/>
          </w:rPr>
          <w:t>https://newspapers.lib.utah.edu/ark:/87278/s6mw3wpx/21314960</w:t>
        </w:r>
      </w:hyperlink>
    </w:p>
    <w:p>
      <w:pPr>
        <w:pStyle w:val="Reference"/>
        <w:rPr/>
      </w:pPr>
      <w:r>
        <w:rPr/>
        <w:t>Untermann, G. Ernest. 1958. Letter to Theodore Downs, copied to William Y. Ogawa. 7 February 1958.</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shd w:fill="FFFF00" w:val="clear"/>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2">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ind w:left="0" w:hanging="0"/>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memorandum to Mary Dawson (Carnegie Museum)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431"/>
        <w:gridCol w:w="1190"/>
        <w:gridCol w:w="1079"/>
        <w:gridCol w:w="1119"/>
        <w:gridCol w:w="1112"/>
        <w:gridCol w:w="1484"/>
        <w:gridCol w:w="1662"/>
      </w:tblGrid>
      <w:tr>
        <w:trPr>
          <w:tblHeader w:val="true"/>
        </w:trPr>
        <w:tc>
          <w:tcPr>
            <w:tcW w:w="559" w:type="dxa"/>
            <w:tcBorders/>
          </w:tcPr>
          <w:p>
            <w:pPr>
              <w:pStyle w:val="TextBody"/>
              <w:widowControl w:val="false"/>
              <w:spacing w:before="0" w:after="140"/>
              <w:rPr>
                <w:b/>
                <w:b/>
                <w:bCs/>
                <w:sz w:val="22"/>
                <w:szCs w:val="22"/>
              </w:rPr>
            </w:pPr>
            <w:r>
              <w:rPr>
                <w:b/>
                <w:bCs/>
                <w:sz w:val="22"/>
                <w:szCs w:val="22"/>
              </w:rPr>
              <w:t>#</w:t>
            </w:r>
          </w:p>
        </w:tc>
        <w:tc>
          <w:tcPr>
            <w:tcW w:w="1431" w:type="dxa"/>
            <w:tcBorders/>
          </w:tcPr>
          <w:p>
            <w:pPr>
              <w:pStyle w:val="TextBody"/>
              <w:widowControl w:val="false"/>
              <w:spacing w:before="0" w:after="140"/>
              <w:rPr>
                <w:b/>
                <w:b/>
                <w:bCs/>
                <w:sz w:val="22"/>
                <w:szCs w:val="22"/>
              </w:rPr>
            </w:pPr>
            <w:r>
              <w:rPr>
                <w:b/>
                <w:bCs/>
                <w:sz w:val="22"/>
                <w:szCs w:val="22"/>
              </w:rPr>
              <w:t>Date</w:t>
            </w:r>
          </w:p>
        </w:tc>
        <w:tc>
          <w:tcPr>
            <w:tcW w:w="1190" w:type="dxa"/>
            <w:tcBorders/>
          </w:tcPr>
          <w:p>
            <w:pPr>
              <w:pStyle w:val="TextBody"/>
              <w:widowControl w:val="false"/>
              <w:spacing w:before="0" w:after="140"/>
              <w:rPr>
                <w:b/>
                <w:b/>
                <w:bCs/>
                <w:sz w:val="22"/>
                <w:szCs w:val="22"/>
              </w:rPr>
            </w:pPr>
            <w:r>
              <w:rPr>
                <w:b/>
                <w:bCs/>
                <w:sz w:val="22"/>
                <w:szCs w:val="22"/>
              </w:rPr>
              <w:t>Client</w:t>
            </w:r>
          </w:p>
        </w:tc>
        <w:tc>
          <w:tcPr>
            <w:tcW w:w="1079" w:type="dxa"/>
            <w:tcBorders/>
          </w:tcPr>
          <w:p>
            <w:pPr>
              <w:pStyle w:val="TextBody"/>
              <w:widowControl w:val="false"/>
              <w:spacing w:before="0" w:after="140"/>
              <w:rPr>
                <w:b/>
                <w:b/>
                <w:bCs/>
                <w:sz w:val="22"/>
                <w:szCs w:val="22"/>
              </w:rPr>
            </w:pPr>
            <w:r>
              <w:rPr>
                <w:b/>
                <w:bCs/>
                <w:sz w:val="22"/>
                <w:szCs w:val="22"/>
              </w:rPr>
              <w:t>City</w:t>
            </w:r>
          </w:p>
        </w:tc>
        <w:tc>
          <w:tcPr>
            <w:tcW w:w="1119" w:type="dxa"/>
            <w:tcBorders/>
          </w:tcPr>
          <w:p>
            <w:pPr>
              <w:pStyle w:val="TextBody"/>
              <w:widowControl w:val="false"/>
              <w:spacing w:before="0" w:after="140"/>
              <w:rPr>
                <w:b/>
                <w:b/>
                <w:bCs/>
                <w:sz w:val="22"/>
                <w:szCs w:val="22"/>
              </w:rPr>
            </w:pPr>
            <w:r>
              <w:rPr>
                <w:b/>
                <w:bCs/>
                <w:sz w:val="22"/>
                <w:szCs w:val="22"/>
              </w:rPr>
              <w:t>Region</w:t>
            </w:r>
          </w:p>
        </w:tc>
        <w:tc>
          <w:tcPr>
            <w:tcW w:w="1112" w:type="dxa"/>
            <w:tcBorders/>
          </w:tcPr>
          <w:p>
            <w:pPr>
              <w:pStyle w:val="TextBody"/>
              <w:widowControl w:val="false"/>
              <w:spacing w:before="0" w:after="140"/>
              <w:rPr>
                <w:b/>
                <w:b/>
                <w:bCs/>
                <w:sz w:val="22"/>
                <w:szCs w:val="22"/>
              </w:rPr>
            </w:pPr>
            <w:r>
              <w:rPr>
                <w:b/>
                <w:bCs/>
                <w:sz w:val="22"/>
                <w:szCs w:val="22"/>
              </w:rPr>
              <w:t>Country</w:t>
            </w:r>
          </w:p>
        </w:tc>
        <w:tc>
          <w:tcPr>
            <w:tcW w:w="3146" w:type="dxa"/>
            <w:gridSpan w:val="2"/>
            <w:tcBorders/>
          </w:tcPr>
          <w:p>
            <w:pPr>
              <w:pStyle w:val="TextBody"/>
              <w:widowControl w:val="false"/>
              <w:spacing w:before="0" w:after="140"/>
              <w:rPr>
                <w:b/>
                <w:b/>
                <w:bCs/>
                <w:sz w:val="22"/>
                <w:szCs w:val="22"/>
              </w:rPr>
            </w:pPr>
            <w:r>
              <w:rPr>
                <w:b/>
                <w:bCs/>
                <w:sz w:val="22"/>
                <w:szCs w:val="22"/>
              </w:rPr>
              <w:t>Royalties paid</w:t>
            </w:r>
          </w:p>
        </w:tc>
      </w:tr>
      <w:tr>
        <w:trPr/>
        <w:tc>
          <w:tcPr>
            <w:tcW w:w="559" w:type="dxa"/>
            <w:tcBorders/>
          </w:tcPr>
          <w:p>
            <w:pPr>
              <w:pStyle w:val="TextBody"/>
              <w:widowControl w:val="false"/>
              <w:spacing w:before="0" w:after="140"/>
              <w:rPr>
                <w:b/>
                <w:b/>
                <w:bCs/>
                <w:sz w:val="22"/>
                <w:szCs w:val="22"/>
              </w:rPr>
            </w:pPr>
            <w:r>
              <w:rPr>
                <w:b/>
                <w:bCs/>
                <w:sz w:val="22"/>
                <w:szCs w:val="22"/>
              </w:rPr>
            </w:r>
          </w:p>
        </w:tc>
        <w:tc>
          <w:tcPr>
            <w:tcW w:w="1431" w:type="dxa"/>
            <w:tcBorders/>
          </w:tcPr>
          <w:p>
            <w:pPr>
              <w:pStyle w:val="TextBody"/>
              <w:widowControl w:val="false"/>
              <w:spacing w:before="0" w:after="140"/>
              <w:rPr>
                <w:b/>
                <w:b/>
                <w:bCs/>
                <w:sz w:val="22"/>
                <w:szCs w:val="22"/>
              </w:rPr>
            </w:pPr>
            <w:r>
              <w:rPr>
                <w:b/>
                <w:bCs/>
                <w:sz w:val="22"/>
                <w:szCs w:val="22"/>
              </w:rPr>
            </w:r>
          </w:p>
        </w:tc>
        <w:tc>
          <w:tcPr>
            <w:tcW w:w="1190" w:type="dxa"/>
            <w:tcBorders/>
          </w:tcPr>
          <w:p>
            <w:pPr>
              <w:pStyle w:val="TextBody"/>
              <w:widowControl w:val="false"/>
              <w:spacing w:before="0" w:after="140"/>
              <w:rPr>
                <w:b/>
                <w:b/>
                <w:bCs/>
                <w:sz w:val="22"/>
                <w:szCs w:val="22"/>
              </w:rPr>
            </w:pPr>
            <w:r>
              <w:rPr>
                <w:b/>
                <w:bCs/>
                <w:sz w:val="22"/>
                <w:szCs w:val="22"/>
              </w:rPr>
            </w:r>
          </w:p>
        </w:tc>
        <w:tc>
          <w:tcPr>
            <w:tcW w:w="1079" w:type="dxa"/>
            <w:tcBorders/>
          </w:tcPr>
          <w:p>
            <w:pPr>
              <w:pStyle w:val="TextBody"/>
              <w:widowControl w:val="false"/>
              <w:spacing w:before="0" w:after="140"/>
              <w:rPr>
                <w:b/>
                <w:b/>
                <w:bCs/>
                <w:sz w:val="22"/>
                <w:szCs w:val="22"/>
              </w:rPr>
            </w:pPr>
            <w:r>
              <w:rPr>
                <w:b/>
                <w:bCs/>
                <w:sz w:val="22"/>
                <w:szCs w:val="22"/>
              </w:rPr>
            </w:r>
          </w:p>
        </w:tc>
        <w:tc>
          <w:tcPr>
            <w:tcW w:w="1119" w:type="dxa"/>
            <w:tcBorders/>
          </w:tcPr>
          <w:p>
            <w:pPr>
              <w:pStyle w:val="TextBody"/>
              <w:widowControl w:val="false"/>
              <w:spacing w:before="0" w:after="140"/>
              <w:rPr>
                <w:b/>
                <w:b/>
                <w:bCs/>
                <w:sz w:val="22"/>
                <w:szCs w:val="22"/>
              </w:rPr>
            </w:pPr>
            <w:r>
              <w:rPr>
                <w:b/>
                <w:bCs/>
                <w:sz w:val="22"/>
                <w:szCs w:val="22"/>
              </w:rPr>
            </w:r>
          </w:p>
        </w:tc>
        <w:tc>
          <w:tcPr>
            <w:tcW w:w="1112" w:type="dxa"/>
            <w:tcBorders/>
          </w:tcPr>
          <w:p>
            <w:pPr>
              <w:pStyle w:val="TextBody"/>
              <w:widowControl w:val="false"/>
              <w:spacing w:before="0" w:after="140"/>
              <w:rPr>
                <w:b/>
                <w:b/>
                <w:bCs/>
                <w:sz w:val="22"/>
                <w:szCs w:val="22"/>
              </w:rPr>
            </w:pPr>
            <w:r>
              <w:rPr>
                <w:b/>
                <w:bCs/>
                <w:sz w:val="22"/>
                <w:szCs w:val="22"/>
              </w:rPr>
            </w:r>
          </w:p>
        </w:tc>
        <w:tc>
          <w:tcPr>
            <w:tcW w:w="1484" w:type="dxa"/>
            <w:tcBorders/>
          </w:tcPr>
          <w:p>
            <w:pPr>
              <w:pStyle w:val="TextBody"/>
              <w:widowControl w:val="false"/>
              <w:spacing w:before="0" w:after="140"/>
              <w:rPr>
                <w:b/>
                <w:b/>
                <w:bCs/>
                <w:sz w:val="22"/>
                <w:szCs w:val="22"/>
              </w:rPr>
            </w:pPr>
            <w:r>
              <w:rPr>
                <w:b/>
                <w:bCs/>
                <w:sz w:val="22"/>
                <w:szCs w:val="22"/>
              </w:rPr>
              <w:t>Field House</w:t>
            </w:r>
          </w:p>
        </w:tc>
        <w:tc>
          <w:tcPr>
            <w:tcW w:w="1662" w:type="dxa"/>
            <w:tcBorders/>
          </w:tcPr>
          <w:p>
            <w:pPr>
              <w:pStyle w:val="TextBody"/>
              <w:widowControl w:val="false"/>
              <w:spacing w:before="0" w:after="140"/>
              <w:rPr>
                <w:b/>
                <w:b/>
                <w:bCs/>
                <w:sz w:val="22"/>
                <w:szCs w:val="22"/>
              </w:rPr>
            </w:pPr>
            <w:r>
              <w:rPr>
                <w:b/>
                <w:bCs/>
                <w:sz w:val="22"/>
                <w:szCs w:val="22"/>
              </w:rPr>
              <w:t>Carnegie</w:t>
            </w:r>
          </w:p>
        </w:tc>
      </w:tr>
      <w:tr>
        <w:trPr/>
        <w:tc>
          <w:tcPr>
            <w:tcW w:w="559" w:type="dxa"/>
            <w:tcBorders/>
          </w:tcPr>
          <w:p>
            <w:pPr>
              <w:pStyle w:val="TextBody"/>
              <w:widowControl w:val="false"/>
              <w:spacing w:before="0" w:after="140"/>
              <w:rPr>
                <w:sz w:val="22"/>
                <w:szCs w:val="22"/>
              </w:rPr>
            </w:pPr>
            <w:r>
              <w:rPr>
                <w:sz w:val="22"/>
                <w:szCs w:val="22"/>
              </w:rPr>
              <w:t>1</w:t>
            </w:r>
          </w:p>
        </w:tc>
        <w:tc>
          <w:tcPr>
            <w:tcW w:w="1431" w:type="dxa"/>
            <w:tcBorders/>
          </w:tcPr>
          <w:p>
            <w:pPr>
              <w:pStyle w:val="TextBody"/>
              <w:widowControl w:val="false"/>
              <w:spacing w:before="0" w:after="140"/>
              <w:rPr>
                <w:sz w:val="22"/>
                <w:szCs w:val="22"/>
              </w:rPr>
            </w:pPr>
            <w:r>
              <w:rPr>
                <w:sz w:val="22"/>
                <w:szCs w:val="22"/>
              </w:rPr>
              <w:t>January 1990</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Odawara</w:t>
            </w:r>
          </w:p>
        </w:tc>
        <w:tc>
          <w:tcPr>
            <w:tcW w:w="1119" w:type="dxa"/>
            <w:tcBorders/>
          </w:tcPr>
          <w:p>
            <w:pPr>
              <w:pStyle w:val="TextBody"/>
              <w:widowControl w:val="false"/>
              <w:spacing w:before="0" w:after="140"/>
              <w:rPr>
                <w:sz w:val="22"/>
                <w:szCs w:val="22"/>
              </w:rPr>
            </w:pPr>
            <w:r>
              <w:rPr>
                <w:sz w:val="22"/>
                <w:szCs w:val="22"/>
              </w:rPr>
              <w:t>Kanagawa</w:t>
            </w:r>
          </w:p>
        </w:tc>
        <w:tc>
          <w:tcPr>
            <w:tcW w:w="1112"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2"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2</w:t>
            </w:r>
          </w:p>
        </w:tc>
        <w:tc>
          <w:tcPr>
            <w:tcW w:w="1431" w:type="dxa"/>
            <w:tcBorders/>
          </w:tcPr>
          <w:p>
            <w:pPr>
              <w:pStyle w:val="TextBody"/>
              <w:widowControl w:val="false"/>
              <w:spacing w:before="0" w:after="140"/>
              <w:rPr>
                <w:sz w:val="22"/>
                <w:szCs w:val="22"/>
              </w:rPr>
            </w:pPr>
            <w:r>
              <w:rPr>
                <w:sz w:val="22"/>
                <w:szCs w:val="22"/>
              </w:rPr>
              <w:t>October 1992</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Shiramine</w:t>
            </w:r>
          </w:p>
        </w:tc>
        <w:tc>
          <w:tcPr>
            <w:tcW w:w="1119" w:type="dxa"/>
            <w:tcBorders/>
          </w:tcPr>
          <w:p>
            <w:pPr>
              <w:pStyle w:val="TextBody"/>
              <w:widowControl w:val="false"/>
              <w:spacing w:before="0" w:after="140"/>
              <w:rPr>
                <w:sz w:val="22"/>
                <w:szCs w:val="22"/>
              </w:rPr>
            </w:pPr>
            <w:r>
              <w:rPr>
                <w:sz w:val="22"/>
                <w:szCs w:val="22"/>
              </w:rPr>
              <w:t>Ishikawa</w:t>
            </w:r>
          </w:p>
        </w:tc>
        <w:tc>
          <w:tcPr>
            <w:tcW w:w="1112"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2"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3</w:t>
            </w:r>
          </w:p>
        </w:tc>
        <w:tc>
          <w:tcPr>
            <w:tcW w:w="1431" w:type="dxa"/>
            <w:tcBorders/>
          </w:tcPr>
          <w:p>
            <w:pPr>
              <w:pStyle w:val="TextBody"/>
              <w:widowControl w:val="false"/>
              <w:spacing w:before="0" w:after="140"/>
              <w:rPr>
                <w:sz w:val="22"/>
                <w:szCs w:val="22"/>
              </w:rPr>
            </w:pPr>
            <w:r>
              <w:rPr>
                <w:sz w:val="22"/>
                <w:szCs w:val="22"/>
              </w:rPr>
              <w:t>May 1992</w:t>
            </w:r>
          </w:p>
        </w:tc>
        <w:tc>
          <w:tcPr>
            <w:tcW w:w="1190" w:type="dxa"/>
            <w:tcBorders/>
          </w:tcPr>
          <w:p>
            <w:pPr>
              <w:pStyle w:val="TextBody"/>
              <w:widowControl w:val="false"/>
              <w:spacing w:before="0" w:after="140"/>
              <w:rPr>
                <w:sz w:val="22"/>
                <w:szCs w:val="22"/>
              </w:rPr>
            </w:pPr>
            <w:r>
              <w:rPr>
                <w:sz w:val="22"/>
                <w:szCs w:val="22"/>
              </w:rPr>
              <w:t>Mitzukoshi</w:t>
            </w:r>
          </w:p>
        </w:tc>
        <w:tc>
          <w:tcPr>
            <w:tcW w:w="2198" w:type="dxa"/>
            <w:gridSpan w:val="2"/>
            <w:tcBorders/>
          </w:tcPr>
          <w:p>
            <w:pPr>
              <w:pStyle w:val="TextBody"/>
              <w:widowControl w:val="false"/>
              <w:spacing w:before="0" w:after="140"/>
              <w:rPr>
                <w:i/>
                <w:i/>
                <w:iCs/>
                <w:sz w:val="22"/>
                <w:szCs w:val="22"/>
              </w:rPr>
            </w:pPr>
            <w:r>
              <w:rPr>
                <w:i/>
                <w:iCs/>
                <w:sz w:val="22"/>
                <w:szCs w:val="22"/>
              </w:rPr>
              <w:t>(Travelling exhibit)</w:t>
            </w:r>
          </w:p>
        </w:tc>
        <w:tc>
          <w:tcPr>
            <w:tcW w:w="1112"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2" w:type="dxa"/>
            <w:tcBorders/>
          </w:tcPr>
          <w:p>
            <w:pPr>
              <w:pStyle w:val="TextBody"/>
              <w:widowControl w:val="false"/>
              <w:spacing w:before="0" w:after="140"/>
              <w:rPr>
                <w:sz w:val="22"/>
                <w:szCs w:val="22"/>
              </w:rPr>
            </w:pPr>
            <w:r>
              <w:rPr>
                <w:sz w:val="22"/>
                <w:szCs w:val="22"/>
              </w:rPr>
              <w:t>$3,500</w:t>
            </w:r>
          </w:p>
        </w:tc>
      </w:tr>
      <w:tr>
        <w:trPr>
          <w:trHeight w:val="528" w:hRule="atLeast"/>
        </w:trPr>
        <w:tc>
          <w:tcPr>
            <w:tcW w:w="559" w:type="dxa"/>
            <w:tcBorders/>
          </w:tcPr>
          <w:p>
            <w:pPr>
              <w:pStyle w:val="TextBody"/>
              <w:widowControl w:val="false"/>
              <w:spacing w:before="0" w:after="140"/>
              <w:rPr>
                <w:sz w:val="22"/>
                <w:szCs w:val="22"/>
              </w:rPr>
            </w:pPr>
            <w:r>
              <w:rPr>
                <w:sz w:val="22"/>
                <w:szCs w:val="22"/>
              </w:rPr>
              <w:t>4</w:t>
            </w:r>
          </w:p>
        </w:tc>
        <w:tc>
          <w:tcPr>
            <w:tcW w:w="1431" w:type="dxa"/>
            <w:tcBorders/>
          </w:tcPr>
          <w:p>
            <w:pPr>
              <w:pStyle w:val="TextBody"/>
              <w:widowControl w:val="false"/>
              <w:spacing w:before="0" w:after="140"/>
              <w:rPr>
                <w:sz w:val="22"/>
                <w:szCs w:val="22"/>
              </w:rPr>
            </w:pPr>
            <w:r>
              <w:rPr>
                <w:sz w:val="22"/>
                <w:szCs w:val="22"/>
              </w:rPr>
              <w:t>June 1992</w:t>
            </w:r>
          </w:p>
        </w:tc>
        <w:tc>
          <w:tcPr>
            <w:tcW w:w="1190" w:type="dxa"/>
            <w:tcBorders/>
          </w:tcPr>
          <w:p>
            <w:pPr>
              <w:pStyle w:val="TextBody"/>
              <w:widowControl w:val="false"/>
              <w:spacing w:before="0" w:after="140"/>
              <w:rPr>
                <w:sz w:val="22"/>
                <w:szCs w:val="22"/>
              </w:rPr>
            </w:pPr>
            <w:r>
              <w:rPr>
                <w:sz w:val="22"/>
                <w:szCs w:val="22"/>
              </w:rPr>
              <w:t>RCI</w:t>
            </w:r>
          </w:p>
        </w:tc>
        <w:tc>
          <w:tcPr>
            <w:tcW w:w="1079" w:type="dxa"/>
            <w:tcBorders/>
          </w:tcPr>
          <w:p>
            <w:pPr>
              <w:pStyle w:val="TextBody"/>
              <w:widowControl w:val="false"/>
              <w:spacing w:before="0" w:after="140"/>
              <w:rPr>
                <w:sz w:val="22"/>
                <w:szCs w:val="22"/>
              </w:rPr>
            </w:pPr>
            <w:r>
              <w:rPr>
                <w:sz w:val="22"/>
                <w:szCs w:val="22"/>
              </w:rPr>
              <w:t>Shimizu</w:t>
            </w:r>
          </w:p>
        </w:tc>
        <w:tc>
          <w:tcPr>
            <w:tcW w:w="1119" w:type="dxa"/>
            <w:tcBorders/>
          </w:tcPr>
          <w:p>
            <w:pPr>
              <w:pStyle w:val="Normal"/>
              <w:widowControl w:val="false"/>
              <w:rPr>
                <w:sz w:val="22"/>
                <w:szCs w:val="22"/>
              </w:rPr>
            </w:pPr>
            <w:r>
              <w:rPr>
                <w:sz w:val="22"/>
                <w:szCs w:val="22"/>
              </w:rPr>
              <w:t>Tokai</w:t>
            </w:r>
          </w:p>
        </w:tc>
        <w:tc>
          <w:tcPr>
            <w:tcW w:w="1112"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2"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5</w:t>
            </w:r>
          </w:p>
        </w:tc>
        <w:tc>
          <w:tcPr>
            <w:tcW w:w="1431" w:type="dxa"/>
            <w:tcBorders/>
          </w:tcPr>
          <w:p>
            <w:pPr>
              <w:pStyle w:val="TextBody"/>
              <w:widowControl w:val="false"/>
              <w:spacing w:before="0" w:after="140"/>
              <w:rPr>
                <w:sz w:val="22"/>
                <w:szCs w:val="22"/>
              </w:rPr>
            </w:pPr>
            <w:r>
              <w:rPr>
                <w:sz w:val="22"/>
                <w:szCs w:val="22"/>
              </w:rPr>
              <w:t>May 1991</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Vernal</w:t>
            </w:r>
          </w:p>
        </w:tc>
        <w:tc>
          <w:tcPr>
            <w:tcW w:w="1119" w:type="dxa"/>
            <w:tcBorders/>
          </w:tcPr>
          <w:p>
            <w:pPr>
              <w:pStyle w:val="Normal"/>
              <w:widowControl w:val="false"/>
              <w:rPr>
                <w:sz w:val="22"/>
                <w:szCs w:val="22"/>
              </w:rPr>
            </w:pPr>
            <w:r>
              <w:rPr>
                <w:sz w:val="22"/>
                <w:szCs w:val="22"/>
              </w:rPr>
              <w:t>Utah</w:t>
            </w:r>
          </w:p>
        </w:tc>
        <w:tc>
          <w:tcPr>
            <w:tcW w:w="1112"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t>N/A</w:t>
            </w:r>
          </w:p>
        </w:tc>
        <w:tc>
          <w:tcPr>
            <w:tcW w:w="1662"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6</w:t>
            </w:r>
          </w:p>
        </w:tc>
        <w:tc>
          <w:tcPr>
            <w:tcW w:w="1431" w:type="dxa"/>
            <w:tcBorders/>
          </w:tcPr>
          <w:p>
            <w:pPr>
              <w:pStyle w:val="TextBody"/>
              <w:widowControl w:val="false"/>
              <w:spacing w:before="0" w:after="140"/>
              <w:rPr>
                <w:sz w:val="22"/>
                <w:szCs w:val="22"/>
              </w:rPr>
            </w:pPr>
            <w:r>
              <w:rPr>
                <w:sz w:val="22"/>
                <w:szCs w:val="22"/>
              </w:rPr>
              <w:t>February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Tokyo</w:t>
            </w:r>
          </w:p>
        </w:tc>
        <w:tc>
          <w:tcPr>
            <w:tcW w:w="1119" w:type="dxa"/>
            <w:tcBorders/>
          </w:tcPr>
          <w:p>
            <w:pPr>
              <w:pStyle w:val="Normal"/>
              <w:widowControl w:val="false"/>
              <w:rPr>
                <w:sz w:val="22"/>
                <w:szCs w:val="22"/>
              </w:rPr>
            </w:pPr>
            <w:r>
              <w:rPr>
                <w:sz w:val="22"/>
                <w:szCs w:val="22"/>
              </w:rPr>
            </w:r>
          </w:p>
        </w:tc>
        <w:tc>
          <w:tcPr>
            <w:tcW w:w="1112"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r>
          </w:p>
        </w:tc>
        <w:tc>
          <w:tcPr>
            <w:tcW w:w="1662"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7</w:t>
            </w:r>
          </w:p>
        </w:tc>
        <w:tc>
          <w:tcPr>
            <w:tcW w:w="1431" w:type="dxa"/>
            <w:tcBorders/>
          </w:tcPr>
          <w:p>
            <w:pPr>
              <w:pStyle w:val="TextBody"/>
              <w:widowControl w:val="false"/>
              <w:spacing w:before="0" w:after="140"/>
              <w:rPr>
                <w:sz w:val="22"/>
                <w:szCs w:val="22"/>
              </w:rPr>
            </w:pPr>
            <w:r>
              <w:rPr>
                <w:sz w:val="22"/>
                <w:szCs w:val="22"/>
              </w:rPr>
              <w:t>October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Tampa</w:t>
            </w:r>
          </w:p>
        </w:tc>
        <w:tc>
          <w:tcPr>
            <w:tcW w:w="1119" w:type="dxa"/>
            <w:tcBorders/>
          </w:tcPr>
          <w:p>
            <w:pPr>
              <w:pStyle w:val="Normal"/>
              <w:widowControl w:val="false"/>
              <w:rPr>
                <w:sz w:val="22"/>
                <w:szCs w:val="22"/>
              </w:rPr>
            </w:pPr>
            <w:r>
              <w:rPr>
                <w:sz w:val="22"/>
                <w:szCs w:val="22"/>
              </w:rPr>
              <w:t>Florida</w:t>
            </w:r>
          </w:p>
        </w:tc>
        <w:tc>
          <w:tcPr>
            <w:tcW w:w="1112"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2"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9–12</w:t>
            </w:r>
          </w:p>
        </w:tc>
        <w:tc>
          <w:tcPr>
            <w:tcW w:w="9077" w:type="dxa"/>
            <w:gridSpan w:val="7"/>
            <w:tcBorders/>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tcPr>
          <w:p>
            <w:pPr>
              <w:pStyle w:val="TextBody"/>
              <w:widowControl w:val="false"/>
              <w:spacing w:before="0" w:after="140"/>
              <w:rPr>
                <w:sz w:val="22"/>
                <w:szCs w:val="22"/>
              </w:rPr>
            </w:pPr>
            <w:r>
              <w:rPr>
                <w:sz w:val="22"/>
                <w:szCs w:val="22"/>
              </w:rPr>
              <w:t>13</w:t>
            </w:r>
          </w:p>
        </w:tc>
        <w:tc>
          <w:tcPr>
            <w:tcW w:w="1431" w:type="dxa"/>
            <w:tcBorders/>
          </w:tcPr>
          <w:p>
            <w:pPr>
              <w:pStyle w:val="TextBody"/>
              <w:widowControl w:val="false"/>
              <w:spacing w:before="0" w:after="140"/>
              <w:rPr>
                <w:sz w:val="22"/>
                <w:szCs w:val="22"/>
              </w:rPr>
            </w:pPr>
            <w:r>
              <w:rPr>
                <w:sz w:val="22"/>
                <w:szCs w:val="22"/>
              </w:rPr>
              <w:t>2006</w:t>
            </w:r>
          </w:p>
        </w:tc>
        <w:tc>
          <w:tcPr>
            <w:tcW w:w="1190" w:type="dxa"/>
            <w:tcBorders/>
          </w:tcPr>
          <w:p>
            <w:pPr>
              <w:pStyle w:val="TextBody"/>
              <w:widowControl w:val="false"/>
              <w:spacing w:before="0" w:after="140"/>
              <w:rPr>
                <w:sz w:val="22"/>
                <w:szCs w:val="22"/>
              </w:rPr>
            </w:pPr>
            <w:r>
              <w:rPr>
                <w:sz w:val="22"/>
                <w:szCs w:val="22"/>
              </w:rPr>
              <w:t>The Dinosaur Store</w:t>
            </w:r>
          </w:p>
        </w:tc>
        <w:tc>
          <w:tcPr>
            <w:tcW w:w="1079" w:type="dxa"/>
            <w:tcBorders/>
          </w:tcPr>
          <w:p>
            <w:pPr>
              <w:pStyle w:val="TextBody"/>
              <w:widowControl w:val="false"/>
              <w:spacing w:before="0" w:after="140"/>
              <w:rPr>
                <w:sz w:val="22"/>
                <w:szCs w:val="22"/>
              </w:rPr>
            </w:pPr>
            <w:r>
              <w:rPr>
                <w:sz w:val="22"/>
                <w:szCs w:val="22"/>
              </w:rPr>
              <w:t>Cocoa Beach</w:t>
            </w:r>
          </w:p>
        </w:tc>
        <w:tc>
          <w:tcPr>
            <w:tcW w:w="1119" w:type="dxa"/>
            <w:tcBorders/>
          </w:tcPr>
          <w:p>
            <w:pPr>
              <w:pStyle w:val="Normal"/>
              <w:widowControl w:val="false"/>
              <w:rPr>
                <w:sz w:val="22"/>
                <w:szCs w:val="22"/>
              </w:rPr>
            </w:pPr>
            <w:r>
              <w:rPr>
                <w:sz w:val="22"/>
                <w:szCs w:val="22"/>
              </w:rPr>
              <w:t>Florida</w:t>
            </w:r>
          </w:p>
        </w:tc>
        <w:tc>
          <w:tcPr>
            <w:tcW w:w="1112"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2" w:type="dxa"/>
            <w:tcBorders/>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3"/>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xml:space="preserve"> PAGE </w:instrText>
    </w:r>
    <w:r>
      <w:rPr>
        <w:smallCaps/>
        <w:i w:val="false"/>
        <w:iCs w:val="false"/>
      </w:rPr>
      <w:fldChar w:fldCharType="separate"/>
    </w:r>
    <w:r>
      <w:rPr>
        <w:smallCaps/>
        <w:i w:val="false"/>
        <w:iCs w:val="false"/>
      </w:rPr>
      <w:t>27</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xml:space="preserve"> NUMPAGES </w:instrText>
    </w:r>
    <w:r>
      <w:rPr>
        <w:smallCaps/>
        <w:i w:val="false"/>
        <w:iCs w:val="false"/>
      </w:rPr>
      <w:fldChar w:fldCharType="separate"/>
    </w:r>
    <w:r>
      <w:rPr>
        <w:smallCaps/>
        <w:i w:val="false"/>
        <w:iCs w:val="false"/>
      </w:rPr>
      <w:t>27</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0"/>
      </w:numPr>
      <w:spacing w:before="567" w:after="142"/>
      <w:outlineLvl w:val="0"/>
    </w:pPr>
    <w:rPr>
      <w:bCs/>
      <w:sz w:val="32"/>
      <w:szCs w:val="36"/>
    </w:rPr>
  </w:style>
  <w:style w:type="paragraph" w:styleId="Heading2">
    <w:name w:val="Heading 2"/>
    <w:basedOn w:val="Heading"/>
    <w:next w:val="TextBody"/>
    <w:qFormat/>
    <w:pPr>
      <w:numPr>
        <w:ilvl w:val="0"/>
        <w:numId w:val="0"/>
      </w:numPr>
      <w:spacing w:before="198" w:after="119"/>
      <w:outlineLvl w:val="1"/>
    </w:pPr>
    <w:rPr>
      <w:rFonts w:eastAsia="Songti SC"/>
      <w:bCs/>
      <w:sz w:val="24"/>
      <w:szCs w:val="36"/>
    </w:rPr>
  </w:style>
  <w:style w:type="paragraph" w:styleId="Heading3">
    <w:name w:val="Heading 3"/>
    <w:basedOn w:val="Heading"/>
    <w:next w:val="TextBody"/>
    <w:qFormat/>
    <w:pPr>
      <w:numPr>
        <w:ilvl w:val="0"/>
        <w:numId w:val="0"/>
      </w:numPr>
      <w:spacing w:before="142" w:after="142"/>
      <w:outlineLvl w:val="2"/>
    </w:pPr>
    <w:rPr>
      <w:b w:val="false"/>
      <w:bCs/>
      <w:sz w:val="22"/>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Calibri Light" w:hAnsi="Calibri Light" w:eastAsia="Songti SC" w:cs="Mangal"/>
      <w:i/>
      <w:iCs/>
      <w:color w:val="2F5496"/>
      <w:szCs w:val="21"/>
    </w:rPr>
  </w:style>
  <w:style w:type="character" w:styleId="DefaultParagraphFont">
    <w:name w:val="Default Paragraph Font"/>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Baskerville" w:hAnsi="Baskerville" w:cs="Mangal"/>
      <w:szCs w:val="18"/>
    </w:rPr>
  </w:style>
  <w:style w:type="character" w:styleId="CommentSubjectChar">
    <w:name w:val="Comment Subject Char"/>
    <w:basedOn w:val="CommentTextChar"/>
    <w:qFormat/>
    <w:rPr>
      <w:rFonts w:ascii="Baskerville" w:hAnsi="Baskerville" w:cs="Mangal"/>
      <w:b/>
      <w:bCs/>
      <w:szCs w:val="18"/>
    </w:rPr>
  </w:style>
  <w:style w:type="character" w:styleId="Heading4Char">
    <w:name w:val="Heading 4 Char"/>
    <w:basedOn w:val="DefaultParagraphFont"/>
    <w:link w:val="Heading4"/>
    <w:qFormat/>
    <w:rPr>
      <w:rFonts w:ascii="Calibri Light" w:hAnsi="Calibri Light" w:eastAsia="Songti SC" w:cs="Mangal"/>
      <w:i/>
      <w:iCs/>
      <w:color w:val="2F5496"/>
      <w:sz w:val="24"/>
      <w:szCs w:val="21"/>
    </w:rPr>
  </w:style>
  <w:style w:type="character" w:styleId="LineNumbering">
    <w:name w:val="Line Number"/>
    <w:rPr/>
  </w:style>
  <w:style w:type="paragraph" w:styleId="Heading">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238" w:after="119"/>
      <w:ind w:left="0" w:right="0" w:hanging="0"/>
    </w:pPr>
    <w:rPr>
      <w:bCs/>
      <w:sz w:val="40"/>
      <w:szCs w:val="56"/>
    </w:rPr>
  </w:style>
  <w:style w:type="paragraph" w:styleId="Author">
    <w:name w:val="Author"/>
    <w:basedOn w:val="TextBody"/>
    <w:qFormat/>
    <w:pPr>
      <w:spacing w:before="0" w:after="142"/>
      <w:ind w:left="283" w:right="0" w:hanging="283"/>
    </w:pPr>
    <w:rPr>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name w:val="Reference"/>
    <w:basedOn w:val="TextBody"/>
    <w:qFormat/>
    <w:pPr>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Annotationtext">
    <w:name w:val="annotation text"/>
    <w:basedOn w:val="Normal"/>
    <w:link w:val="CommentTextChar"/>
    <w:qFormat/>
    <w:pPr/>
    <w:rPr>
      <w:rFonts w:cs="Mangal"/>
      <w:sz w:val="20"/>
      <w:szCs w:val="18"/>
    </w:rPr>
  </w:style>
  <w:style w:type="paragraph" w:styleId="Annotationsubject">
    <w:name w:val="annotation subject"/>
    <w:basedOn w:val="Annotationtext"/>
    <w:next w:val="Annotationtext"/>
    <w:link w:val="CommentSubjectChar"/>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archive.com/rocky-mount-evening-telegram-jul-08-1960-p-4/" TargetMode="External"/><Relationship Id="rId10" Type="http://schemas.openxmlformats.org/officeDocument/2006/relationships/hyperlink" Target="https://newspapers.lib.utah.edu/ark:/87278/s6pk1vwz/21595150" TargetMode="External"/><Relationship Id="rId11" Type="http://schemas.openxmlformats.org/officeDocument/2006/relationships/hyperlink" Target="https://newspapers.lib.utah.edu/ark:/87278/s6515c19/21656624" TargetMode="External"/><Relationship Id="rId12" Type="http://schemas.openxmlformats.org/officeDocument/2006/relationships/hyperlink" Target="https://newspapers.lib.utah.edu/ark:/87278/s62v6594/22643733" TargetMode="External"/><Relationship Id="rId13" Type="http://schemas.openxmlformats.org/officeDocument/2006/relationships/hyperlink" Target="https://newspapers.lib.utah.edu/ark:/87278/s6rv4bxq/22646163" TargetMode="External"/><Relationship Id="rId14" Type="http://schemas.openxmlformats.org/officeDocument/2006/relationships/hyperlink" Target="https://newspapers.lib.utah.edu/details?id=22648688&amp;page=3&amp;q=Dippy&amp;sort=date_tdt+asc%2Cparent_i+asc%2Cpage_i+asc&amp;facet_paper=&quot;Vernal+Express&quot;" TargetMode="External"/><Relationship Id="rId15" Type="http://schemas.openxmlformats.org/officeDocument/2006/relationships/hyperlink" Target="https://www.legacy.com/us/obituaries/deseretnews/name/james-madsen-obituary?id=28417430" TargetMode="External"/><Relationship Id="rId16" Type="http://schemas.openxmlformats.org/officeDocument/2006/relationships/hyperlink" Target="https://web.archive.org/web/20220424032554/https://www.legacy.com/us/obituaries/deseretnews/name/james-madsen-obituary?id=28417430" TargetMode="External"/><Relationship Id="rId17" Type="http://schemas.openxmlformats.org/officeDocument/2006/relationships/hyperlink" Target="https://newspaperarchive.com/rocky-mount-evening-telegram-may-14-1960-p-2/" TargetMode="External"/><Relationship Id="rId18" Type="http://schemas.openxmlformats.org/officeDocument/2006/relationships/hyperlink" Target="https://newspaperarchive.com/rocky-mount-evening-telegram-jul-08-1960-p-8/" TargetMode="External"/><Relationship Id="rId19" Type="http://schemas.openxmlformats.org/officeDocument/2006/relationships/hyperlink" Target="https://collections.lib.utah.edu/details?id=1086142" TargetMode="External"/><Relationship Id="rId20" Type="http://schemas.openxmlformats.org/officeDocument/2006/relationships/hyperlink" Target="https://www.tampabay.com/news/business/tourism/mosi-to-close-part-of-its-building-to-save-money-before-move-to-downtown/2324358/" TargetMode="External"/><Relationship Id="rId21" Type="http://schemas.openxmlformats.org/officeDocument/2006/relationships/hyperlink" Target="https://web.archive.org/web/20211125120642/https://www.tampabay.com/news/business/tourism/mosi-to-close-part-of-its-building-to-save-money-before-move-to-downtown/2324358/" TargetMode="External"/><Relationship Id="rId22" Type="http://schemas.openxmlformats.org/officeDocument/2006/relationships/hyperlink" Target="https://www.facebook.com/groups/34407448334/permalink/10159232557673335/" TargetMode="External"/><Relationship Id="rId23" Type="http://schemas.openxmlformats.org/officeDocument/2006/relationships/hyperlink" Target="https://www.facebook.com/groups/34407448334/permalink/10159236326718335/" TargetMode="External"/><Relationship Id="rId24" Type="http://schemas.openxmlformats.org/officeDocument/2006/relationships/hyperlink" Target="https://newspapers.lib.utah.edu/ark:/87278/s62v6594/22643733" TargetMode="External"/><Relationship Id="rId25" Type="http://schemas.openxmlformats.org/officeDocument/2006/relationships/hyperlink" Target="https://archiveswest.orbiscascade.org/ark:/80444/xv38626" TargetMode="External"/><Relationship Id="rId26" Type="http://schemas.openxmlformats.org/officeDocument/2006/relationships/hyperlink" Target="https://web.archive.org/web/20220610005257/https://archiveswest.orbiscascade.org/ark:/80444/xv38626" TargetMode="External"/><Relationship Id="rId27" Type="http://schemas.openxmlformats.org/officeDocument/2006/relationships/hyperlink" Target="https://newspapers.lib.utah.edu/ark:/87278/s6r53f0k/22649899" TargetMode="External"/><Relationship Id="rId28" Type="http://schemas.openxmlformats.org/officeDocument/2006/relationships/hyperlink" Target="http://hdl.handle.net/2246/6497" TargetMode="External"/><Relationship Id="rId29" Type="http://schemas.openxmlformats.org/officeDocument/2006/relationships/hyperlink" Target="https://wusfnews.wusf.usf.edu/news/2017-05-18/mosi-to-close-imax-other-exhibits-in-cost-saving-reconfiguration" TargetMode="External"/><Relationship Id="rId30" Type="http://schemas.openxmlformats.org/officeDocument/2006/relationships/hyperlink" Target="https://web.archive.org/web/20210507091810/https://wusfnews.wusf.usf.edu/news/2017-05-18/mosi-to-close-imax-other-exhibits-in-cost-saving-reconfiguration" TargetMode="External"/><Relationship Id="rId31" Type="http://schemas.openxmlformats.org/officeDocument/2006/relationships/hyperlink" Target="https://newspapers.lib.utah.edu/ark:/87278/s6mw3wpx/21314960" TargetMode="External"/><Relationship Id="rId32" Type="http://schemas.openxmlformats.org/officeDocument/2006/relationships/hyperlink" Target="https://newspaperarchive.com/rocky-mount-evening-telegram-apr-24-1960-p-11/" TargetMode="External"/><Relationship Id="rId33" Type="http://schemas.openxmlformats.org/officeDocument/2006/relationships/header" Target="head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32355</TotalTime>
  <Application>LibreOffice/7.4.2.3$MacOSX_X86_64 LibreOffice_project/382eef1f22670f7f4118c8c2dd222ec7ad009daf</Application>
  <AppVersion>15.0000</AppVersion>
  <Pages>27</Pages>
  <Words>13212</Words>
  <Characters>69460</Characters>
  <CharactersWithSpaces>82385</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2022-11-02T09:33:26Z</dcterms:modified>
  <cp:revision>751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