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2161_3455334573">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1946_2786159041">
            <w:r>
              <w:rPr>
                <w:rStyle w:val="IndexLink"/>
              </w:rPr>
              <w:t xml:space="preserve">History of the concrete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3</w:t>
            </w:r>
          </w:hyperlink>
        </w:p>
        <w:p>
          <w:pPr>
            <w:pStyle w:val="Contents2"/>
            <w:tabs>
              <w:tab w:val="clear" w:pos="9355"/>
              <w:tab w:val="right" w:pos="9638" w:leader="dot"/>
            </w:tabs>
            <w:rPr/>
          </w:pPr>
          <w:hyperlink w:anchor="__RefHeading___Toc26119_446257137">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rPr>
              <w:t>The fate of the original molds</w:t>
              <w:tab/>
              <w:t>6</w:t>
            </w:r>
          </w:hyperlink>
        </w:p>
        <w:p>
          <w:pPr>
            <w:pStyle w:val="Contents2"/>
            <w:tabs>
              <w:tab w:val="clear" w:pos="9355"/>
              <w:tab w:val="right" w:pos="9638" w:leader="dot"/>
            </w:tabs>
            <w:rPr/>
          </w:pPr>
          <w:hyperlink w:anchor="__RefHeading___Toc949_1155462304">
            <w:r>
              <w:rPr>
                <w:rStyle w:val="IndexLink"/>
              </w:rPr>
              <w:t>The lightweight cast in Vernal</w:t>
              <w:tab/>
              <w:t>7</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9</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11</w:t>
            </w:r>
          </w:hyperlink>
        </w:p>
        <w:p>
          <w:pPr>
            <w:pStyle w:val="Contents1"/>
            <w:rPr/>
          </w:pPr>
          <w:hyperlink w:anchor="__RefHeading___Toc3401_68767826">
            <w:r>
              <w:rPr>
                <w:rStyle w:val="IndexLink"/>
              </w:rPr>
              <w:t>Discussion</w:t>
              <w:tab/>
              <w:t>11</w:t>
            </w:r>
          </w:hyperlink>
        </w:p>
        <w:p>
          <w:pPr>
            <w:pStyle w:val="Contents1"/>
            <w:rPr/>
          </w:pPr>
          <w:hyperlink w:anchor="__RefHeading___Toc3529_2542618767">
            <w:r>
              <w:rPr>
                <w:rStyle w:val="IndexLink"/>
              </w:rPr>
              <w:t>Acknowledgements</w:t>
              <w:tab/>
              <w:t>11</w:t>
            </w:r>
          </w:hyperlink>
        </w:p>
        <w:p>
          <w:pPr>
            <w:pStyle w:val="Contents1"/>
            <w:rPr/>
          </w:pPr>
          <w:hyperlink w:anchor="__RefHeading___Toc3405_68767826">
            <w:r>
              <w:rPr>
                <w:rStyle w:val="IndexLink"/>
              </w:rPr>
              <w:t>References</w:t>
              <w:tab/>
              <w:t>12</w:t>
            </w:r>
          </w:hyperlink>
        </w:p>
        <w:p>
          <w:pPr>
            <w:pStyle w:val="Contents1"/>
            <w:rPr/>
          </w:pPr>
          <w:hyperlink w:anchor="__RefHeading___Toc3407_68767826">
            <w:r>
              <w:rPr>
                <w:rStyle w:val="IndexLink"/>
              </w:rPr>
              <w:t>Figure Captions</w:t>
              <w:tab/>
              <w:t>15</w:t>
            </w:r>
          </w:hyperlink>
        </w:p>
        <w:p>
          <w:pPr>
            <w:pStyle w:val="Heading1"/>
            <w:numPr>
              <w:ilvl w:val="0"/>
              <w:numId w:val="1"/>
            </w:numPr>
            <w:rPr/>
          </w:pPr>
          <w:bookmarkStart w:id="0" w:name="__RefHeading___Toc2161_3455334573"/>
          <w:bookmarkEnd w:id="0"/>
          <w:r>
            <w:rPr/>
            <w:t>Introduction</w:t>
          </w:r>
          <w:r>
            <w:rPr/>
            <w:fldChar w:fldCharType="end"/>
          </w:r>
        </w:p>
      </w:sdtContent>
    </w:sdt>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2" w:name="__RefHeading___Toc5349_68767826"/>
      <w:bookmarkEnd w:id="2"/>
      <w:r>
        <w:rPr/>
        <w:t>Institutional abbreviations</w:t>
      </w:r>
    </w:p>
    <w:p>
      <w:pPr>
        <w:pStyle w:val="TextBody"/>
        <w:numPr>
          <w:ilvl w:val="0"/>
          <w:numId w:val="4"/>
        </w:numPr>
        <w:rPr/>
      </w:pPr>
      <w:r>
        <w:rPr/>
        <w:t>AMNH — American Museum of Natural History, New York, New York, USA.</w:t>
      </w:r>
    </w:p>
    <w:p>
      <w:pPr>
        <w:pStyle w:val="TextBody"/>
        <w:numPr>
          <w:ilvl w:val="0"/>
          <w:numId w:val="4"/>
        </w:numPr>
        <w:rPr/>
      </w:pPr>
      <w:r>
        <w:rPr/>
        <w:t>CM — Carnegie Museum of Natural History, Pittsburgh, Pennsylvania, USA.</w:t>
      </w:r>
    </w:p>
    <w:p>
      <w:pPr>
        <w:pStyle w:val="TextBody"/>
        <w:numPr>
          <w:ilvl w:val="0"/>
          <w:numId w:val="4"/>
        </w:numPr>
        <w:rPr/>
      </w:pPr>
      <w:r>
        <w:rPr/>
        <w:t>CMNH — Cleveland Museum of Natural History, Cleveland, Ohio, USA.</w:t>
      </w:r>
    </w:p>
    <w:p>
      <w:pPr>
        <w:pStyle w:val="TextBody"/>
        <w:numPr>
          <w:ilvl w:val="0"/>
          <w:numId w:val="4"/>
        </w:numPr>
        <w:rPr/>
      </w:pPr>
      <w:r>
        <w:rPr/>
        <w:t>HMNS — Houston Museum of Nature and Science, Houston, Texas, USA.</w:t>
      </w:r>
    </w:p>
    <w:p>
      <w:pPr>
        <w:pStyle w:val="TextBody"/>
        <w:numPr>
          <w:ilvl w:val="0"/>
          <w:numId w:val="4"/>
        </w:numPr>
        <w:rPr/>
      </w:pPr>
      <w:r>
        <w:rPr/>
        <w:t>MOSI — Museum of Science and Industry, Tampa, Florida, USA.</w:t>
      </w:r>
    </w:p>
    <w:p>
      <w:pPr>
        <w:pStyle w:val="Heading1"/>
        <w:numPr>
          <w:ilvl w:val="0"/>
          <w:numId w:val="2"/>
        </w:numPr>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rPr/>
      </w:pPr>
      <w:r>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t xml:space="preserve"> (Gilmore 1936). The </w:t>
      </w:r>
      <w:r>
        <w:rPr>
          <w:i/>
          <w:iCs/>
        </w:rPr>
        <w:t>Diplodocus</w:t>
      </w:r>
      <w:r>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Carnegie was asked by King Edward VII of England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rPr/>
      </w:pPr>
      <w:r>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relatively impoverished.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highlight w:val="yellow"/>
        </w:rPr>
      </w:pPr>
      <w:r>
        <w:rPr>
          <w:highlight w:val="yellow"/>
        </w:rPr>
        <w:t>XXX For update, see my article Rocky Start to Dinosaur National Monument</w:t>
      </w:r>
    </w:p>
    <w:p>
      <w:pPr>
        <w:pStyle w:val="TextBody"/>
        <w:rPr/>
      </w:pPr>
      <w:r>
        <w:rPr/>
        <w:t>As Harvey (1991) explains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concerns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(1970), the genesis of the Field House lay with Arthur G. Nord, supervisor of the Ashley National Forest, one of those who was concerned that the fossil wealth of the Vernal area was being shipped to museums outside the locality. The creation of a museum in Vernal was first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(see Anonymous 1969). A museum committee was then formed to advocate for a local museum (Anonymous 1943). A senate bill approving the museum was passed in 1945, and the next year Governor Herbert B. Maw made $200,000 available to construct the museum building (Anonymous 1969).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26119_446257137"/>
      <w:bookmarkEnd w:id="7"/>
      <w:r>
        <w:rPr/>
        <w:t>The concrete cast in Vernal</w:t>
      </w:r>
    </w:p>
    <w:p>
      <w:pPr>
        <w:pStyle w:val="TextBody"/>
        <w:rPr/>
      </w:pPr>
      <w:r>
        <w:rPr/>
        <w:t>As noted above, Vernal native J. LeRoy Kay had gained his entry to palaeontology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the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Before this announcement, the downsizing plan was scaled back to removing only the duplicate specimens. Among the materials to be disposed of were the plaster of Paris molds that had been used for the </w:t>
      </w:r>
      <w:r>
        <w:rPr>
          <w:i/>
          <w:iCs/>
        </w:rPr>
        <w:t>D</w:t>
      </w:r>
      <w:r>
        <w:rPr/>
        <w:t xml:space="preserve">. </w:t>
      </w:r>
      <w:r>
        <w:rPr>
          <w:i/>
          <w:iCs/>
        </w:rPr>
        <w:t>carnegii</w:t>
      </w:r>
      <w:r>
        <w:rPr/>
        <w:t xml:space="preserve"> casts. The molds were large, some were damaged and coated with coal dust from the coal fired heating system. Kay was close to retirement and planned to move back to Vernal, and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1970),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1959:367–368). The completed concrete skeleton weighed 8 tons (Anonymous, undated).</w:t>
      </w:r>
    </w:p>
    <w:p>
      <w:pPr>
        <w:pStyle w:val="TextBody"/>
        <w:rPr/>
      </w:pPr>
      <w:r>
        <w:rPr/>
        <w:t>The completed outdoor cast was dedicated either on 6 June, 1957 (Untermann and Untermann 1970) or on 8 June during the Utah State Lions Club convention at Vernal (Anonymous, undated). The work had taken about a year and a half, from early 1956, and cost only $10,000 in total (about $105,449 in 2022 money) — almost all of it in salary. The cast stood for 32 years (Figure F). It was repainted on 22 June 1967 (Figure G) in what was likely an annual event (Anonymous 1967).</w:t>
      </w:r>
    </w:p>
    <w:p>
      <w:pPr>
        <w:pStyle w:val="Heading2"/>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From here, though, the story becomes contradictory. Sassaman (1988) reported that “the molds finally fell apart because of old age soon after it [the concrete </w:t>
      </w:r>
      <w:r>
        <w:rPr>
          <w:i/>
          <w:iCs/>
        </w:rPr>
        <w:t>Diplodocus</w:t>
      </w:r>
      <w:r>
        <w:rPr/>
        <w:t>] was made”. However, Ilja Niewland (pers. comm., 2022) said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as shown by a 1960 report in the </w:t>
      </w:r>
      <w:r>
        <w:rPr>
          <w:i/>
          <w:iCs/>
        </w:rPr>
        <w:t>Vernal Express</w:t>
      </w:r>
      <w:r>
        <w:rPr/>
        <w:t xml:space="preserve"> newspaper (Anonymous 1960; Figure H; see also Carr and Hansen 2005). This says that in the middle of July 1960, the molds were collected by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Hurricane Floyd devastated Rocky Mount in 1999, with flooding from the River Tar destroying the original Children's Museum along with all its exhibits and records (Leigh White, pers. comm., 2022), so no records survive of the molds’ arrival and subsequent use. The museum was located next door to a municipal water treatment facility that also flooded and released unknown chemicals, so museum property that may have otherwise been salvageable in that area was deemed contaminated and required to be destroyed.</w:t>
      </w:r>
    </w:p>
    <w:p>
      <w:pPr>
        <w:pStyle w:val="TextBody"/>
        <w:rPr/>
      </w:pPr>
      <w:r>
        <w:rPr/>
        <w:t xml:space="preserve">The Children’s Museum was re-established at the newly built Imperial Centre, where it still resides, but no trace exists of their outdoor </w:t>
      </w:r>
      <w:r>
        <w:rPr>
          <w:i/>
          <w:iCs/>
        </w:rPr>
        <w:t>Diplodocus</w:t>
      </w:r>
      <w:r>
        <w:rPr/>
        <w:t xml:space="preserve">. In fact it seems possible that it never existed: most staff who worked at the museum in the 1980s do not recall any such cast (Leigh White, pers. comm., 2022). Corroborating this, Rea (2001:210)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t>
      </w:r>
      <w:r>
        <w:rPr>
          <w:highlight w:val="yellow"/>
          <w:u w:val="double"/>
        </w:rPr>
        <w:t>XXX follow up</w:t>
      </w:r>
      <w:r>
        <w:rPr/>
        <w:t>.</w:t>
      </w:r>
    </w:p>
    <w:p>
      <w:pPr>
        <w:pStyle w:val="TextBody"/>
        <w:rPr/>
      </w:pPr>
      <w:r>
        <w:rPr/>
        <w:t xml:space="preserve">Even this may not have been the end for the molds. Rea (2001:210) continues: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w:t>
      </w:r>
    </w:p>
    <w:p>
      <w:pPr>
        <w:pStyle w:val="TextBody"/>
        <w:rPr/>
      </w:pPr>
      <w:r>
        <w:rPr/>
        <w:t>What happened to the molds after that, we do not know. Due to the destruction of the Rocky Mount Children’s Museum records, we cannot tell whether they ever shipped the molds to Houston; and we have not been able to obtain information from the Houston Museum. Brian Curtice (pers. comm., 2022) reports that he was in Houston in 1995 and did not see the molds in the collection, nor hear of their having been there.</w:t>
      </w:r>
    </w:p>
    <w:p>
      <w:pPr>
        <w:pStyle w:val="TextBody"/>
        <w:rPr/>
      </w:pPr>
      <w:r>
        <w:rPr/>
        <w:t>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It is truly a mystery that an estimated 3–6 tons of plaster molds could simply vanish!”. Infuriatingly, the question marks are in the original. Since both Langston and Madsen are now deceased, there is no way discover on which of the mold’s journeys Langston though the molds were destroyed or lost. It may be that they never ever arrived safely at the Rocky Mount Children’s Museum, and Langston had in mind the initial journey there from Vernal.</w:t>
      </w:r>
    </w:p>
    <w:p>
      <w:pPr>
        <w:pStyle w:val="TextBody"/>
        <w:rPr>
          <w:highlight w:val="yellow"/>
        </w:rPr>
      </w:pPr>
      <w:r>
        <w:rPr>
          <w:highlight w:val="yellow"/>
        </w:rPr>
        <w:t>XXX Find out more. Try https://newspaperarchive.com/tags/diplodocus/?pc=24962&amp;psi=68&amp;pci=7&amp;ob=1/</w:t>
      </w:r>
    </w:p>
    <w:p>
      <w:pPr>
        <w:pStyle w:val="Heading2"/>
        <w:rPr/>
      </w:pPr>
      <w:bookmarkStart w:id="9" w:name="__RefHeading___Toc949_1155462304"/>
      <w:bookmarkEnd w:id="9"/>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Superintendant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Feburary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of making new molds” (Bilbey 1989). However, as the Las Vegas Museum went bankrupt and closed in 1990 (</w:t>
      </w:r>
      <w:r>
        <w:rPr/>
        <w:t xml:space="preserve">Michele </w:t>
      </w:r>
      <w:r>
        <w:rPr/>
        <w:t>Jones, pers. comm., 2022),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perhaps due to its crumbling state.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Despite Madsen’s reservations,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formalised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 Interestingly, it seems that Dinolab also had ambitions of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then diplodocid (McIntosh 1981)” (Madsen 1990:3–4). The question mark is unfortunately in the original. Madsen is in error here, as McIntosh (1981) says that the right pes of the Carnegie mount is taken from CM 84, a referred specimen of </w:t>
      </w:r>
      <w:r>
        <w:rPr>
          <w:i/>
          <w:iCs/>
        </w:rPr>
        <w:t>Diplodocus carnegii</w:t>
      </w:r>
      <w:r>
        <w:rPr/>
        <w:t>,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both the first two digits; by contrast, the cast in the Museum für Naturkunde Berlin has revised forefeet with fewer phalanges and unguals only on digit I (Taylor, pers. obs.).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June 30,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The new cast was expected to be assembled that winter (Anonymous 1991), but delays would prevent the public from seeing it for nearly three further years. By 23 June 1993, only the libs and torso had been erected (Anonymous 1993). In June 1994, the mount of the new cast was finally completed, with its head and neck looming over the admission counter. It was unveiled as part of the Dinosaur Days festival on Saturday 18th June (Morrison 1994), having been “pieced together by maintenance employee, Danny Anderson, who worked on him over a two year period only as time allowed.” Thus very nearly five years passed in total between the removal of the outdoor concrete </w:t>
      </w:r>
      <w:r>
        <w:rPr>
          <w:i/>
          <w:iCs/>
        </w:rPr>
        <w:t>Diplodocus</w:t>
      </w:r>
      <w:r>
        <w:rPr/>
        <w:t xml:space="preserve"> and the unveiling of its indoor WEP successor (Figure C).</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May 22, 2004. The WEP cast was taken down and remounted in a more dynamic pose in the entry hall of the new museum, where it remains to this day (Figure I).</w:t>
      </w:r>
    </w:p>
    <w:p>
      <w:pPr>
        <w:pStyle w:val="Heading2"/>
        <w:rPr/>
      </w:pPr>
      <w:bookmarkStart w:id="10" w:name="__RefHeading___Toc418_3962850034"/>
      <w:bookmarkEnd w:id="10"/>
      <w:r>
        <w:rPr/>
        <w:t xml:space="preserve">New casts made from molds of the concrete </w:t>
      </w:r>
      <w:r>
        <w:rPr>
          <w:i/>
          <w:iCs/>
        </w:rPr>
        <w:t>Diplodocus</w:t>
      </w:r>
    </w:p>
    <w:p>
      <w:pPr>
        <w:pStyle w:val="TextBody"/>
        <w:rPr/>
      </w:pPr>
      <w:r>
        <w:rPr>
          <w:highlight w:val="yellow"/>
        </w:rPr>
        <w:t>XXX write up:</w:t>
      </w:r>
      <w:r>
        <w:rPr/>
        <w:t xml:space="preserve"> Some time subsequent to 1989: Jack McIntosh arranges a deal between Dinolab and RCI whereby the Dinolab creates casts of the </w:t>
      </w:r>
      <w:r>
        <w:rPr>
          <w:i/>
          <w:iCs/>
        </w:rPr>
        <w:t>Diplodocus</w:t>
      </w:r>
      <w:r>
        <w:rPr/>
        <w:t xml:space="preserve"> elements needed to make up the missing part of the AMNH </w:t>
      </w:r>
      <w:r>
        <w:rPr>
          <w:i/>
          <w:iCs/>
        </w:rPr>
        <w:t>Barosaurus</w:t>
      </w:r>
      <w:r>
        <w:rPr/>
        <w:t xml:space="preserve"> mount. See Gordy (1991), Norell et al. (1991), Dingus (1996:20–29), Taylor et al (in prep, b).</w:t>
      </w:r>
    </w:p>
    <w:p>
      <w:pPr>
        <w:pStyle w:val="TextBody"/>
        <w:rPr/>
      </w:pPr>
      <w:bookmarkStart w:id="11" w:name="__DdeLink__11815_2767870788"/>
      <w:r>
        <w:rPr/>
        <w:t>In subsequent years: further casts were made from the Dinolab molds: Madsen (1993) reported to the Carnegie Museum and the Field House that at that point four casts had been made and sold to Japan, where three were mounted in Kanagawa, Ishikawa and Tokai, and the fourth was a travelling exhibit.</w:t>
      </w:r>
    </w:p>
    <w:p>
      <w:pPr>
        <w:pStyle w:val="TextBody"/>
        <w:rPr/>
      </w:pPr>
      <w:r>
        <w:rPr/>
        <w:t xml:space="preserve">However, 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 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w:t>
      </w:r>
      <w:r>
        <w:rPr/>
        <w:t xml:space="preserve">Michele </w:t>
      </w:r>
      <w:r>
        <w:rPr/>
        <w:t>Jones, pers. comm., 2022).</w:t>
      </w:r>
      <w:bookmarkEnd w:id="11"/>
    </w:p>
    <w:p>
      <w:pPr>
        <w:pStyle w:val="TextBody"/>
        <w:rPr>
          <w:highlight w:val="yellow"/>
        </w:rPr>
      </w:pPr>
      <w:r>
        <w:rPr>
          <w:highlight w:val="yellow"/>
        </w:rPr>
        <w:t>XXX get Dinolab documentation from Brian Curtice.</w:t>
      </w:r>
    </w:p>
    <w:p>
      <w:pPr>
        <w:pStyle w:val="TextBody"/>
        <w:rPr/>
      </w:pPr>
      <w:r>
        <w:rPr/>
        <w:t>And one in the Houston Natural History Museum (</w:t>
      </w:r>
      <w:r>
        <w:rPr>
          <w:highlight w:val="yellow"/>
        </w:rPr>
        <w:t>XXX probably referring to the CM 662 mount</w:t>
      </w:r>
      <w:r>
        <w:rPr/>
        <w:t>).</w:t>
      </w:r>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in Tampa, Florida (David Letasi, pers. comm., 2022).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skeletons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dynamic, defensive pose of the quadrupedal skeleton; Phil Currie on the dynamics of the whiplash tail; and Kent Stevens on the mechanics of the rearing posture. Sauropod specialist John S. McIntosh reviewed the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w:t>
      </w:r>
      <w:r>
        <w:rPr>
          <w:highlight w:val="yellow"/>
        </w:rPr>
        <w:t>Figure XXX trying to source</w:t>
      </w:r>
      <w:r>
        <w:rPr/>
        <w:t>).</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remaining part of the museum. The quadrupedal mount was sold to a company that in turn sold it to a Canadian exhibition company. </w:t>
      </w:r>
      <w:r>
        <w:rPr>
          <w:shd w:fill="FFFF00" w:val="clear"/>
        </w:rPr>
        <w:t>XXX Anthony Pelaez to supply details</w:t>
      </w:r>
    </w:p>
    <w:p>
      <w:pPr>
        <w:pStyle w:val="Heading2"/>
        <w:rPr/>
      </w:pPr>
      <w:bookmarkStart w:id="12" w:name="__RefHeading___Toc953_1155462304"/>
      <w:bookmarkEnd w:id="12"/>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In March 2000, when Steve Sroka began working at the Field House, the concrete cast was stored in the building crawl space.</w:t>
      </w:r>
    </w:p>
    <w:p>
      <w:pPr>
        <w:pStyle w:val="TextBody"/>
        <w:rPr/>
      </w:pPr>
      <w:r>
        <w:rPr/>
        <w:t>May 22, 2004: As noted above The Field House moves to a new building, and the WEP cast is remounted in the entry hall. The concrete cast was left behind.</w:t>
      </w:r>
    </w:p>
    <w:p>
      <w:pPr>
        <w:pStyle w:val="TextBody"/>
        <w:rPr/>
      </w:pPr>
      <w:r>
        <w:rPr/>
        <w:t>2012: The collections are moved from the old Field House building to the new one, but there is no space for the concrete cast.</w:t>
      </w:r>
    </w:p>
    <w:p>
      <w:pPr>
        <w:pStyle w:val="TextBody"/>
        <w:rPr/>
      </w:pPr>
      <w:r>
        <w:rPr/>
        <w:t xml:space="preserve">2013: The concrete cast is sent to </w:t>
      </w:r>
      <w:bookmarkStart w:id="13" w:name="__DdeLink__19889_446257137"/>
      <w:r>
        <w:rPr/>
        <w:t>Utah State University Eastern Prehistoric Museum</w:t>
      </w:r>
      <w:bookmarkEnd w:id="13"/>
      <w:r>
        <w:rPr/>
        <w:t xml:space="preserve"> on effectively permanent loan, and to be repaired (Carpenter and Hayes 2013; Figure J). The museum got a $5000 grant from the Utah Museums Association for the repair of the casts. Practically every bone was damaged and it took preparator Carrie Herbel nine months to sand blast the old paint off, repair the broken and missing pieces using a concrete patch used to patch airport runways. The patch material, a powder, was supposed to be tinted tan, but when mixed turned a greenish-tan.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3"/>
        </w:numPr>
        <w:rPr/>
      </w:pPr>
      <w:bookmarkStart w:id="14" w:name="__RefHeading___Toc3401_68767826"/>
      <w:bookmarkEnd w:id="14"/>
      <w:r>
        <w:rPr/>
        <w:t>Discussion</w:t>
      </w:r>
    </w:p>
    <w:p>
      <w:pPr>
        <w:pStyle w:val="TextBody"/>
        <w:rPr/>
      </w:pPr>
      <w:r>
        <w:rPr>
          <w:highlight w:val="yellow"/>
        </w:rPr>
        <w:t>XXX To do.</w:t>
      </w:r>
      <w:r>
        <w:rPr/>
        <w:t xml:space="preserve"> 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TextBody"/>
        <w:numPr>
          <w:ilvl w:val="0"/>
          <w:numId w:val="3"/>
        </w:numPr>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the MOSI quadrupedal </w:t>
      </w:r>
      <w:r>
        <w:rPr>
          <w:i/>
          <w:iCs/>
        </w:rPr>
        <w:t>Diplodocus</w:t>
      </w:r>
      <w:r>
        <w:rPr/>
        <w:t xml:space="preserve"> sitting unloved in a building used mostly for storage.I suppose most endings are sad, but the project definitely has a melancholy feel.</w:t>
      </w:r>
    </w:p>
    <w:p>
      <w:pPr>
        <w:pStyle w:val="Heading1"/>
        <w:numPr>
          <w:ilvl w:val="0"/>
          <w:numId w:val="3"/>
        </w:numPr>
        <w:rPr/>
      </w:pPr>
      <w:bookmarkStart w:id="15" w:name="__RefHeading___Toc3529_2542618767"/>
      <w:bookmarkEnd w:id="15"/>
      <w:r>
        <w:rPr/>
        <w:t>Acknowledgements</w:t>
      </w:r>
    </w:p>
    <w:p>
      <w:pPr>
        <w:pStyle w:val="TextBody"/>
        <w:rPr/>
      </w:pPr>
      <w:r>
        <w:rPr>
          <w:highlight w:val="yellow"/>
        </w:rPr>
        <w:t>XXX To do</w:t>
      </w:r>
    </w:p>
    <w:p>
      <w:pPr>
        <w:pStyle w:val="TextBody"/>
        <w:rPr/>
      </w:pPr>
      <w:r>
        <w:rPr/>
        <w:t>John Foster</w:t>
      </w:r>
    </w:p>
    <w:p>
      <w:pPr>
        <w:pStyle w:val="TextBody"/>
        <w:rPr/>
      </w:pPr>
      <w:r>
        <w:rPr/>
        <w:t>Ilja Niewland’s unparalelled knowledge of the Carnegie casts proved invaluable.</w:t>
      </w:r>
    </w:p>
    <w:p>
      <w:pPr>
        <w:pStyle w:val="TextBody"/>
        <w:rPr/>
      </w:pPr>
      <w:r>
        <w:rPr/>
        <w:t>Elaine Carr of the Uintah County Regional History Center provided with high-resolution images from the archives and helped us to trace the history associated with some of them.</w:t>
      </w:r>
    </w:p>
    <w:p>
      <w:pPr>
        <w:pStyle w:val="TextBody"/>
        <w:rPr/>
      </w:pPr>
      <w:r>
        <w:rPr/>
        <w:t>Leigh White, Curator of Education at Rocky Mount Children’s Museum, North Carolina.</w:t>
      </w:r>
    </w:p>
    <w:p>
      <w:pPr>
        <w:pStyle w:val="TextBody"/>
        <w:rPr/>
      </w:pPr>
      <w:r>
        <w:rPr/>
        <w:t xml:space="preserve">David Letasi provided extensive information about the double </w:t>
      </w:r>
      <w:r>
        <w:rPr>
          <w:i/>
          <w:iCs/>
        </w:rPr>
        <w:t>Diplodocus</w:t>
      </w:r>
      <w:r>
        <w:rPr/>
        <w:t xml:space="preserve"> mount at the Museum of Science and Industry, Tampa, Florida.</w:t>
      </w:r>
    </w:p>
    <w:p>
      <w:pPr>
        <w:pStyle w:val="TextBody"/>
        <w:rPr/>
      </w:pPr>
      <w:r>
        <w:rPr/>
        <w:t>Tom Rea</w:t>
      </w:r>
    </w:p>
    <w:p>
      <w:pPr>
        <w:pStyle w:val="TextBody"/>
        <w:rPr/>
      </w:pPr>
      <w:r>
        <w:rPr/>
        <w:t>Michele Jones (Natural History Collections Manager, Las Vegas Natural History Museum)</w:t>
      </w:r>
    </w:p>
    <w:p>
      <w:pPr>
        <w:pStyle w:val="TextBody"/>
        <w:rPr/>
      </w:pPr>
      <w:r>
        <w:rPr/>
        <w:t>Anthony Pelaez (Senior Director of Exhibits, Museum of Science &amp; Industry, Tampa, FL)</w:t>
      </w:r>
    </w:p>
    <w:p>
      <w:pPr>
        <w:pStyle w:val="FigureCaption"/>
        <w:rPr/>
      </w:pPr>
      <w:r>
        <w:rPr/>
        <w:t>Chet Gottfried kindly provided photographs of the Field House’s WEP cast in its original location.</w:t>
      </w:r>
    </w:p>
    <w:p>
      <w:pPr>
        <w:pStyle w:val="TextBody"/>
        <w:rPr/>
      </w:pPr>
      <w:r>
        <w:rPr/>
        <w:t>All other pers. Comms.</w:t>
      </w:r>
    </w:p>
    <w:p>
      <w:pPr>
        <w:pStyle w:val="TextBody"/>
        <w:rPr/>
      </w:pPr>
      <w:r>
        <w:rPr/>
        <w:t>XXX More to follow.</w:t>
      </w:r>
    </w:p>
    <w:p>
      <w:pPr>
        <w:pStyle w:val="Heading1"/>
        <w:numPr>
          <w:ilvl w:val="0"/>
          <w:numId w:val="3"/>
        </w:numPr>
        <w:rPr/>
      </w:pPr>
      <w:bookmarkStart w:id="16" w:name="__RefHeading___Toc3405_68767826"/>
      <w:bookmarkEnd w:id="16"/>
      <w:r>
        <w:rPr/>
        <w:t>References</w:t>
      </w:r>
    </w:p>
    <w:p>
      <w:pPr>
        <w:pStyle w:val="Reference"/>
        <w:rPr/>
      </w:pPr>
      <w:r>
        <w:rPr/>
        <w:t xml:space="preserve">Anonymous. Undated.  “Dippy” the Traffic Stopper. (Journal, volume and pagination not known.) </w:t>
      </w:r>
      <w:r>
        <w:rPr>
          <w:highlight w:val="yellow"/>
        </w:rPr>
        <w:t>XXX find this reference.</w:t>
      </w:r>
    </w:p>
    <w:p>
      <w:pPr>
        <w:pStyle w:val="Reference"/>
        <w:rPr/>
      </w:pPr>
      <w:r>
        <w:rPr/>
        <w:t xml:space="preserve">Anonymous. 1934. Construction of Museum at Vernal urged. </w:t>
      </w:r>
      <w:r>
        <w:rPr>
          <w:i/>
          <w:iCs/>
        </w:rPr>
        <w:t>Vernal Express</w:t>
      </w:r>
      <w:r>
        <w:rPr/>
        <w:t xml:space="preserve">, 27 September 1934, page 1. </w:t>
      </w:r>
      <w:hyperlink r:id="rId4">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5">
        <w:r>
          <w:rPr>
            <w:rStyle w:val="InternetLink"/>
          </w:rPr>
          <w:t>https://newspapers.lib.utah.edu/details?id=21493559</w:t>
        </w:r>
      </w:hyperlink>
    </w:p>
    <w:p>
      <w:pPr>
        <w:pStyle w:val="Reference"/>
        <w:rPr/>
      </w:pPr>
      <w:r>
        <w:rPr/>
        <w:t xml:space="preserve">Anonymous. 1960. Dinosaur molds take long ride to No. Carolina children’s home. </w:t>
      </w:r>
      <w:r>
        <w:rPr>
          <w:i/>
          <w:iCs/>
        </w:rPr>
        <w:t>Vernal Express</w:t>
      </w:r>
      <w:r>
        <w:rPr/>
        <w:t xml:space="preserve">, 14 July 1960, page 15. </w:t>
      </w:r>
      <w:hyperlink r:id="rId6">
        <w:r>
          <w:rPr>
            <w:rStyle w:val="InternetLink"/>
          </w:rPr>
          <w:t>https://newspapers.lib.utah.edu/ark:/87278/s6zk6w6s/21338221</w:t>
        </w:r>
      </w:hyperlink>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7">
        <w:r>
          <w:rPr>
            <w:rStyle w:val="InternetLink"/>
          </w:rPr>
          <w:t>https://newspapers.lib.utah.edu/ark:/87278/s6pk1vwz/21595150</w:t>
        </w:r>
      </w:hyperlink>
    </w:p>
    <w:p>
      <w:pPr>
        <w:pStyle w:val="Reference"/>
        <w:rPr/>
      </w:pPr>
      <w:r>
        <w:rPr/>
        <w:t xml:space="preserve">Anonymous. 1969. Early plans for Utah Field House started by Vernal Lions Club in 1934. </w:t>
      </w:r>
      <w:r>
        <w:rPr>
          <w:i/>
          <w:iCs/>
        </w:rPr>
        <w:t>Vernal Express</w:t>
      </w:r>
      <w:r>
        <w:rPr/>
        <w:t xml:space="preserve">, 24 April 1969, page 1B. </w:t>
      </w:r>
      <w:hyperlink r:id="rId8">
        <w:r>
          <w:rPr>
            <w:rStyle w:val="InternetLink"/>
          </w:rPr>
          <w:t>https://newspapers.lib.utah.edu/ark:/87278/s6515c19/21656624</w:t>
        </w:r>
      </w:hyperlink>
    </w:p>
    <w:p>
      <w:pPr>
        <w:pStyle w:val="Reference"/>
        <w:rPr/>
      </w:pPr>
      <w:hyperlink r:id="rId9">
        <w:r>
          <w:rPr/>
          <w:t xml:space="preserve">Anonymous. 1991. Dippy returns as beast of new mold. </w:t>
        </w:r>
      </w:hyperlink>
      <w:r>
        <w:rPr>
          <w:i/>
          <w:iCs/>
        </w:rPr>
        <w:t>Vernal Express</w:t>
      </w:r>
      <w:r>
        <w:rPr/>
        <w:t xml:space="preserve">, 26 June 1991, page 1. </w:t>
      </w:r>
      <w:hyperlink r:id="rId10">
        <w:r>
          <w:rPr>
            <w:rStyle w:val="VisitedInternetLink"/>
          </w:rPr>
          <w:t>https://newspapers.lib.utah.edu/ark:/87278/s6rv4bxq/22646163</w:t>
        </w:r>
      </w:hyperlink>
    </w:p>
    <w:p>
      <w:pPr>
        <w:pStyle w:val="Reference"/>
        <w:rPr>
          <w:rStyle w:val="InternetLink"/>
        </w:rPr>
      </w:pPr>
      <w:r>
        <w:rPr/>
        <w:t xml:space="preserve">Anonymous. 1993. “Dippy” the </w:t>
      </w:r>
      <w:r>
        <w:rPr>
          <w:i/>
          <w:iCs/>
        </w:rPr>
        <w:t>Diplodocus</w:t>
      </w:r>
      <w:r>
        <w:rPr/>
        <w:t xml:space="preserve"> is being reassembled. </w:t>
      </w:r>
      <w:r>
        <w:rPr>
          <w:i/>
          <w:iCs/>
        </w:rPr>
        <w:t>Vernal Express</w:t>
      </w:r>
      <w:r>
        <w:rPr/>
        <w:t xml:space="preserve">, 23 June 1993. </w:t>
      </w:r>
      <w:hyperlink r:id="rId11">
        <w:r>
          <w:rPr>
            <w:rStyle w:val="VisitedInternetLink"/>
          </w:rPr>
          <w:t>https://newspapers.lib.utah.edu/ark:/87278/s6b88zdc/22648688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Carpenter, Kenneth, and Fred Hayes. 2013. Memorandum of understanding between the State of Utah Division of Parks and Recreation and Prehistoric Museum – Utah State University Eastern for loan of concrete Diplodocus model. Private agreement.</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2">
        <w:r>
          <w:rPr>
            <w:rStyle w:val="InternetLink"/>
          </w:rPr>
          <w:t>https://collections.lib.utah.edu/details?id=1086142</w:t>
        </w:r>
      </w:hyperlink>
    </w:p>
    <w:p>
      <w:pPr>
        <w:pStyle w:val="Reference"/>
        <w:rPr/>
      </w:pPr>
      <w:bookmarkStart w:id="17" w:name="__DdeLink__11501_941453575"/>
      <w:r>
        <w:rPr/>
        <w:t>Contorno</w:t>
      </w:r>
      <w:bookmarkEnd w:id="17"/>
      <w:r>
        <w:rPr/>
        <w:t xml:space="preserve">, Steve. 2017. MOSI to close most of its building, IMAX to save money before move to downtown Tampa. </w:t>
      </w:r>
      <w:r>
        <w:rPr>
          <w:i/>
          <w:iCs/>
        </w:rPr>
        <w:t>Tampa Bay Times</w:t>
      </w:r>
      <w:r>
        <w:rPr/>
        <w:t xml:space="preserve">, 18 May 2017. </w:t>
      </w:r>
      <w:hyperlink r:id="rId13">
        <w:r>
          <w:rPr>
            <w:rStyle w:val="InternetLink"/>
          </w:rPr>
          <w:t>https://www.tampabay.com/news/business/tourism/mosi-to-close-part-of-its-building-to-save-money-before-move-to-downtown/2324358/</w:t>
        </w:r>
      </w:hyperlink>
      <w:r>
        <w:rPr/>
        <w:t xml:space="preserve">, archived at </w:t>
      </w:r>
      <w:hyperlink r:id="rId14">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1999:12–18.</w:t>
      </w:r>
    </w:p>
    <w:p>
      <w:pPr>
        <w:pStyle w:val="Reference"/>
        <w:rPr/>
      </w:pPr>
      <w:r>
        <w:rPr/>
        <w:t>### Gangewere 2011 on Carnegie funds</w:t>
      </w:r>
    </w:p>
    <w:p>
      <w:pPr>
        <w:pStyle w:val="Reference"/>
        <w:rPr/>
      </w:pPr>
      <w:r>
        <w:rPr/>
        <w:t>### Gilmore 1936 Apatosaurus louisae</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Hamblin, Alden H. </w:t>
      </w:r>
      <w:r>
        <w:rPr/>
        <w:t xml:space="preserve">1990. </w:t>
      </w:r>
      <w:r>
        <w:rPr/>
        <w:t>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Holland 1905 on BMNH cast</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Untitled memorandum from the Chief, Division of Interpretation, National Parks Service to Howard W. Baker, Regional Director, Region Two. 16 June 1955.</w:t>
      </w:r>
    </w:p>
    <w:p>
      <w:pPr>
        <w:pStyle w:val="Reference"/>
        <w:rPr/>
      </w:pPr>
      <w:r>
        <w:rPr/>
        <w:t>Lee, Ronald F. 1955b. Draft letter from the Chief, Division of Interpretation, National Parks Service to M. Graham Netting, Director the Carnegie Museum. Draft date 16 June 1955.</w:t>
      </w:r>
    </w:p>
    <w:p>
      <w:pPr>
        <w:pStyle w:val="Reference"/>
        <w:rPr/>
      </w:pPr>
      <w:r>
        <w:rPr/>
        <w:t xml:space="preserve">Lewis, Marlene. 1977. G. Ernest Untermann papers, 1893–1975. Archives West for University of Utah Libraries, Special Collections. </w:t>
      </w:r>
      <w:hyperlink r:id="rId15">
        <w:r>
          <w:rPr>
            <w:rStyle w:val="InternetLink"/>
          </w:rPr>
          <w:t>https://archiveswest.orbiscascade.org/ark:/80444/xv38626</w:t>
        </w:r>
      </w:hyperlink>
      <w:r>
        <w:rPr/>
        <w:t xml:space="preserve">, archived at </w:t>
      </w:r>
      <w:hyperlink r:id="rId16">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Madsen 1990 draft paper</w:t>
      </w:r>
    </w:p>
    <w:p>
      <w:pPr>
        <w:pStyle w:val="Reference"/>
        <w:rPr/>
      </w:pPr>
      <w:r>
        <w:rPr/>
        <w:t>Madsen, James H. 1993. Memorandum to Mary Dawson (Carnegie Museum of Natural History) and Alden H. Hamblin (Utah Field House). 29 January 1993.</w:t>
      </w:r>
    </w:p>
    <w:p>
      <w:pPr>
        <w:pStyle w:val="Reference"/>
        <w:rPr/>
      </w:pPr>
      <w:r>
        <w:rPr/>
        <w:t xml:space="preserve">Madsen, James H., James E. King, Jerry A. Miller, Alden H. Hamblin and Richard L. Barker. 1989. Agreement between Dinolab, inc., and the Utah Field House of Natural History State Park. </w:t>
      </w:r>
      <w:bookmarkStart w:id="18" w:name="__DdeLink__20580_446257137"/>
      <w:r>
        <w:rPr/>
        <w:t>Private agreement.</w:t>
      </w:r>
      <w:bookmarkEnd w:id="18"/>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17">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19" w:name="__DdeLink__16582_68767826"/>
      <w:r>
        <w:rPr/>
        <w:t>Nieuwland</w:t>
      </w:r>
      <w:bookmarkEnd w:id="19"/>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8">
        <w:r>
          <w:rPr>
            <w:rStyle w:val="InternetLink"/>
          </w:rPr>
          <w:t>http://hdl.handle.net/2246/6497</w:t>
        </w:r>
      </w:hyperlink>
    </w:p>
    <w:p>
      <w:pPr>
        <w:pStyle w:val="Reference"/>
        <w:rPr/>
      </w:pPr>
      <w:r>
        <w:rPr/>
        <w:t>### Rea 2001</w:t>
      </w:r>
    </w:p>
    <w:p>
      <w:pPr>
        <w:pStyle w:val="Reference"/>
        <w:rPr/>
      </w:pPr>
      <w:r>
        <w:rPr/>
        <w:t>Rodeck, Hugo G. 1952. Untitled letter from the Director of the University of Colorado Museum to David Canfied, Superintendant of Rocky Mountain National Park. 2 July 1952.</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19">
        <w:r>
          <w:rPr>
            <w:rStyle w:val="VisitedInternetLink"/>
          </w:rPr>
          <w:t>https://wusfnews.wusf.usf.edu/news/2017-05-18/mosi-to-close-imax-other-exhibits-in-cost-saving-reconfiguration</w:t>
        </w:r>
      </w:hyperlink>
      <w:r>
        <w:rPr/>
        <w:t xml:space="preserve">, archived at </w:t>
      </w:r>
      <w:hyperlink r:id="rId20">
        <w:r>
          <w:rPr>
            <w:rStyle w:val="InternetLink"/>
          </w:rPr>
          <w:t>https://web.archive.org/web/20210507091810/https://wusfnews.wusf.usf.edu/news/2017-05-18/mosi-to-close-imax-other-exhibits-in-cost-saving-reconfiguration</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Tschopp et al. 2015</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1970. Natural History State Museum. (Journal, volume and pagination not known: perhaps </w:t>
      </w:r>
      <w:r>
        <w:rPr>
          <w:i/>
          <w:iCs/>
        </w:rPr>
        <w:t>Utah Parks and Recreation newsletter</w:t>
      </w:r>
      <w:r>
        <w:rPr/>
        <w:t xml:space="preserve">). </w:t>
      </w:r>
      <w:r>
        <w:rPr>
          <w:highlight w:val="yellow"/>
        </w:rPr>
        <w:t>XXX find this reference.</w:t>
      </w:r>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Heading1"/>
        <w:numPr>
          <w:ilvl w:val="0"/>
          <w:numId w:val="3"/>
        </w:numPr>
        <w:rPr/>
      </w:pPr>
      <w:bookmarkStart w:id="20" w:name="__RefHeading___Toc3407_68767826"/>
      <w:bookmarkEnd w:id="20"/>
      <w:r>
        <w:rPr/>
        <w:t>Figure Captions</w:t>
      </w:r>
    </w:p>
    <w:p>
      <w:pPr>
        <w:pStyle w:val="FigureCaption"/>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C.</w:t>
      </w:r>
      <w:r>
        <w:rPr/>
        <w:t xml:space="preserve"> The second-generation lightweight </w:t>
      </w:r>
      <w:r>
        <w:rPr>
          <w:i/>
          <w:iCs/>
        </w:rPr>
        <w:t>Diplodocus</w:t>
      </w:r>
      <w:r>
        <w:rPr/>
        <w:t xml:space="preserve"> cast as originally displayed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F.</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I.</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J.</w:t>
      </w:r>
      <w:r>
        <w:rPr/>
        <w:t xml:space="preserve"> XXX include image from </w:t>
      </w:r>
      <w:r>
        <w:rPr>
          <w:b w:val="false"/>
          <w:bCs w:val="false"/>
        </w:rPr>
        <w:t>figures/sources/sroka. XXX get authorship and credit.</w:t>
      </w:r>
    </w:p>
    <w:p>
      <w:pPr>
        <w:pStyle w:val="FigureCaption"/>
        <w:spacing w:before="0" w:after="142"/>
        <w:ind w:left="283" w:hanging="283"/>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uiPriority w:val="9"/>
    <w:qFormat/>
    <w:pPr>
      <w:spacing w:before="567" w:after="142"/>
      <w:outlineLvl w:val="0"/>
    </w:pPr>
    <w:rPr>
      <w:bCs/>
      <w:sz w:val="32"/>
      <w:szCs w:val="36"/>
    </w:rPr>
  </w:style>
  <w:style w:type="paragraph" w:styleId="Heading2">
    <w:name w:val="Heading 2"/>
    <w:basedOn w:val="Heading"/>
    <w:next w:val="TextBody"/>
    <w:uiPriority w:val="9"/>
    <w:unhideWhenUsed/>
    <w:qFormat/>
    <w:pPr>
      <w:spacing w:before="198" w:after="119"/>
      <w:outlineLvl w:val="1"/>
    </w:pPr>
    <w:rPr>
      <w:rFonts w:eastAsia="Songti SC"/>
      <w:bCs/>
      <w:sz w:val="24"/>
      <w:szCs w:val="36"/>
    </w:rPr>
  </w:style>
  <w:style w:type="paragraph" w:styleId="Heading3">
    <w:name w:val="Heading 3"/>
    <w:basedOn w:val="Heading"/>
    <w:next w:val="TextBody"/>
    <w:uiPriority w:val="9"/>
    <w:semiHidden/>
    <w:unhideWhenUsed/>
    <w:qFormat/>
    <w:pPr>
      <w:spacing w:before="142" w:after="142"/>
      <w:outlineLvl w:val="2"/>
    </w:pPr>
    <w:rPr>
      <w:b w:val="false"/>
      <w:bCs/>
      <w:sz w:val="22"/>
    </w:rPr>
  </w:style>
  <w:style w:type="paragraph" w:styleId="Heading4">
    <w:name w:val="Heading 4"/>
    <w:basedOn w:val="Normal"/>
    <w:next w:val="Normal"/>
    <w:link w:val="Heading4Char"/>
    <w:uiPriority w:val="9"/>
    <w:unhideWhenUsed/>
    <w:qFormat/>
    <w:rsid w:val="0008525a"/>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unhideWhenUsed/>
    <w:qFormat/>
    <w:rPr/>
  </w:style>
  <w:style w:type="character" w:styleId="InternetLink">
    <w:name w:val="Hyperlink"/>
    <w:rPr>
      <w:color w:val="000080"/>
      <w:u w:val="single"/>
    </w:rPr>
  </w:style>
  <w:style w:type="character" w:styleId="VisitedInternet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Annotationreference">
    <w:name w:val="annotation reference"/>
    <w:basedOn w:val="DefaultParagraphFont"/>
    <w:uiPriority w:val="99"/>
    <w:semiHidden/>
    <w:unhideWhenUsed/>
    <w:qFormat/>
    <w:rsid w:val="00f13f43"/>
    <w:rPr>
      <w:sz w:val="16"/>
      <w:szCs w:val="16"/>
    </w:rPr>
  </w:style>
  <w:style w:type="character" w:styleId="CommentTextChar" w:customStyle="1">
    <w:name w:val="Comment Text Char"/>
    <w:basedOn w:val="DefaultParagraphFont"/>
    <w:uiPriority w:val="99"/>
    <w:semiHidden/>
    <w:qFormat/>
    <w:rsid w:val="00f13f43"/>
    <w:rPr>
      <w:rFonts w:ascii="Baskerville" w:hAnsi="Baskerville" w:cs="Mangal"/>
      <w:szCs w:val="18"/>
    </w:rPr>
  </w:style>
  <w:style w:type="character" w:styleId="CommentSubjectChar" w:customStyle="1">
    <w:name w:val="Comment Subject Char"/>
    <w:basedOn w:val="CommentTextChar"/>
    <w:uiPriority w:val="99"/>
    <w:semiHidden/>
    <w:qFormat/>
    <w:rsid w:val="00f13f43"/>
    <w:rPr>
      <w:rFonts w:ascii="Baskerville" w:hAnsi="Baskerville" w:cs="Mangal"/>
      <w:b/>
      <w:bCs/>
      <w:szCs w:val="18"/>
    </w:rPr>
  </w:style>
  <w:style w:type="character" w:styleId="Heading4Char" w:customStyle="1">
    <w:name w:val="Heading 4 Char"/>
    <w:basedOn w:val="DefaultParagraphFont"/>
    <w:link w:val="Heading4"/>
    <w:uiPriority w:val="9"/>
    <w:qFormat/>
    <w:rsid w:val="0008525a"/>
    <w:rPr>
      <w:rFonts w:ascii="Calibri Light" w:hAnsi="Calibri Light" w:eastAsia="" w:cs="Mangal" w:asciiTheme="majorHAnsi" w:eastAsiaTheme="majorEastAsia" w:hAnsiTheme="majorHAnsi"/>
      <w:i/>
      <w:iCs/>
      <w:color w:val="2F5496" w:themeColor="accent1" w:themeShade="bf"/>
      <w:sz w:val="24"/>
      <w:szCs w:val="21"/>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spacing w:before="238" w:after="119"/>
    </w:pPr>
    <w:rPr>
      <w:bCs/>
      <w:sz w:val="38"/>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142"/>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Annotationtext">
    <w:name w:val="annotation text"/>
    <w:basedOn w:val="Normal"/>
    <w:link w:val="CommentTextChar"/>
    <w:uiPriority w:val="99"/>
    <w:semiHidden/>
    <w:unhideWhenUsed/>
    <w:qFormat/>
    <w:rsid w:val="00f13f43"/>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f13f43"/>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newspapers.lib.utah.edu/details?id=21512583" TargetMode="External"/><Relationship Id="rId5" Type="http://schemas.openxmlformats.org/officeDocument/2006/relationships/hyperlink" Target="https://newspapers.lib.utah.edu/details?id=21493559" TargetMode="External"/><Relationship Id="rId6" Type="http://schemas.openxmlformats.org/officeDocument/2006/relationships/hyperlink" Target="https://newspapers.lib.utah.edu/ark:/87278/s6zk6w6s/21338221" TargetMode="External"/><Relationship Id="rId7" Type="http://schemas.openxmlformats.org/officeDocument/2006/relationships/hyperlink" Target="https://newspapers.lib.utah.edu/ark:/87278/s6pk1vwz/21595150" TargetMode="External"/><Relationship Id="rId8" Type="http://schemas.openxmlformats.org/officeDocument/2006/relationships/hyperlink" Target="https://newspapers.lib.utah.edu/ark:/87278/s6515c19/21656624" TargetMode="External"/><Relationship Id="rId9" Type="http://schemas.openxmlformats.org/officeDocument/2006/relationships/hyperlink" Target="https://newspapers.lib.utah.edu/ark:/87278/s62v6594/22643733" TargetMode="External"/><Relationship Id="rId10" Type="http://schemas.openxmlformats.org/officeDocument/2006/relationships/hyperlink" Target="https://newspapers.lib.utah.edu/ark:/87278/s6rv4bxq/22646163" TargetMode="External"/><Relationship Id="rId11" Type="http://schemas.openxmlformats.org/officeDocument/2006/relationships/hyperlink" Target="https://newspapers.lib.utah.edu/details?id=22648688&amp;page=3&amp;q=Dippy&amp;sort=date_tdt+asc%2Cparent_i+asc%2Cpage_i+asc&amp;facet_paper=&quot;Vernal+Express&quot;" TargetMode="External"/><Relationship Id="rId12" Type="http://schemas.openxmlformats.org/officeDocument/2006/relationships/hyperlink" Target="https://collections.lib.utah.edu/details?id=1086142" TargetMode="External"/><Relationship Id="rId13" Type="http://schemas.openxmlformats.org/officeDocument/2006/relationships/hyperlink" Target="https://www.tampabay.com/news/business/tourism/mosi-to-close-part-of-its-building-to-save-money-before-move-to-downtown/2324358/" TargetMode="External"/><Relationship Id="rId14" Type="http://schemas.openxmlformats.org/officeDocument/2006/relationships/hyperlink" Target="https://web.archive.org/web/20211125120642/https://www.tampabay.com/news/business/tourism/mosi-to-close-part-of-its-building-to-save-money-before-move-to-downtown/2324358/" TargetMode="External"/><Relationship Id="rId15" Type="http://schemas.openxmlformats.org/officeDocument/2006/relationships/hyperlink" Target="https://archiveswest.orbiscascade.org/ark:/80444/xv38626" TargetMode="External"/><Relationship Id="rId16" Type="http://schemas.openxmlformats.org/officeDocument/2006/relationships/hyperlink" Target="https://web.archive.org/web/20220610005257/https://archiveswest.orbiscascade.org/ark:/80444/xv38626" TargetMode="External"/><Relationship Id="rId17" Type="http://schemas.openxmlformats.org/officeDocument/2006/relationships/hyperlink" Target="https://newspapers.lib.utah.edu/ark:/87278/s6r53f0k/22649899" TargetMode="External"/><Relationship Id="rId18" Type="http://schemas.openxmlformats.org/officeDocument/2006/relationships/hyperlink" Target="http://hdl.handle.net/2246/6497" TargetMode="External"/><Relationship Id="rId19" Type="http://schemas.openxmlformats.org/officeDocument/2006/relationships/hyperlink" Target="https://wusfnews.wusf.usf.edu/news/2017-05-18/mosi-to-close-imax-other-exhibits-in-cost-saving-reconfiguration" TargetMode="External"/><Relationship Id="rId20" Type="http://schemas.openxmlformats.org/officeDocument/2006/relationships/hyperlink" Target="https://web.archive.org/web/20210507091810/https://wusfnews.wusf.usf.edu/news/2017-05-18/mosi-to-close-imax-other-exhibits-in-cost-saving-reconfiguration"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30501</TotalTime>
  <Application>LibreOffice/7.3.5.2$Linux_X86_64 LibreOffice_project/30$Build-2</Application>
  <AppVersion>15.0000</AppVersion>
  <DocSecurity>0</DocSecurity>
  <Pages>16</Pages>
  <Words>8631</Words>
  <Characters>45156</Characters>
  <CharactersWithSpaces>53599</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
  <dcterms:modified xsi:type="dcterms:W3CDTF">2022-08-17T12:04:19Z</dcterms:modified>
  <cp:revision>562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