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8_149631038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2"/>
        <w:tabs>
          <w:tab w:val="clear" w:pos="9355"/>
          <w:tab w:val="right" w:pos="9638" w:leader="dot"/>
        </w:tabs>
        <w:rPr/>
      </w:pPr>
      <w:hyperlink w:anchor="__RefHeading___Toc945_1155462304">
        <w:r>
          <w:rPr>
            <w:rStyle w:val="IndexLink"/>
          </w:rPr>
          <w:t xml:space="preserve">The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947_1155462304">
        <w:r>
          <w:rPr>
            <w:rStyle w:val="IndexLink"/>
          </w:rPr>
          <w:t>The Field Museum in Vernal</w:t>
          <w:tab/>
          <w:t>4</w:t>
        </w:r>
      </w:hyperlink>
    </w:p>
    <w:p>
      <w:pPr>
        <w:pStyle w:val="Contents2"/>
        <w:tabs>
          <w:tab w:val="clear" w:pos="9355"/>
          <w:tab w:val="right" w:pos="9638" w:leader="dot"/>
        </w:tabs>
        <w:rPr/>
      </w:pPr>
      <w:hyperlink w:anchor="__RefHeading___Toc949_1155462304">
        <w:r>
          <w:rPr>
            <w:rStyle w:val="IndexLink"/>
          </w:rPr>
          <w:t>The lightweight cast in Vernal</w:t>
          <w:tab/>
          <w:t>4</w:t>
        </w:r>
      </w:hyperlink>
    </w:p>
    <w:p>
      <w:pPr>
        <w:pStyle w:val="Contents2"/>
        <w:tabs>
          <w:tab w:val="clear" w:pos="9355"/>
          <w:tab w:val="right" w:pos="9638" w:leader="dot"/>
        </w:tabs>
        <w:rPr/>
      </w:pPr>
      <w:hyperlink w:anchor="__RefHeading___Toc951_1155462304">
        <w:r>
          <w:rPr>
            <w:rStyle w:val="IndexLink"/>
            <w:i w:val="false"/>
            <w:iCs w:val="false"/>
          </w:rPr>
          <w:t>Further uses of the molds</w:t>
        </w:r>
        <w:r>
          <w:rPr>
            <w:rStyle w:val="IndexLink"/>
          </w:rPr>
          <w:tab/>
          <w:t>5</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7</w:t>
        </w:r>
      </w:hyperlink>
    </w:p>
    <w:p>
      <w:pPr>
        <w:pStyle w:val="TextBody"/>
        <w:rPr>
          <w:i/>
          <w:i/>
          <w:iCs/>
        </w:rPr>
      </w:pPr>
      <w:r>
        <w:rPr>
          <w:i/>
          <w:iCs/>
        </w:rPr>
      </w:r>
      <w:r>
        <w:rPr>
          <w:i/>
          <w:iCs/>
        </w:rPr>
        <w:fldChar w:fldCharType="end"/>
      </w:r>
    </w:p>
    <w:p>
      <w:pPr>
        <w:pStyle w:val="TextBody"/>
        <w:rPr>
          <w:i/>
          <w:i/>
          <w:iCs/>
        </w:rPr>
      </w:pPr>
      <w:r>
        <w:rPr>
          <w:i/>
          <w:iCs/>
        </w:rPr>
      </w:r>
    </w:p>
    <w:p>
      <w:pPr>
        <w:pStyle w:val="Heading1"/>
        <w:numPr>
          <w:ilvl w:val="0"/>
          <w:numId w:val="2"/>
        </w:numPr>
        <w:ind w:left="0" w:right="0" w:hanging="0"/>
        <w:rPr/>
      </w:pPr>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Among the many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summarise the history of the original Carnegie </w:t>
      </w:r>
      <w:r>
        <w:rPr>
          <w:i/>
          <w:iCs/>
        </w:rPr>
        <w:t>Diplodocus</w:t>
      </w:r>
      <w:r>
        <w:rPr/>
        <w:t>, discuss how the concrete cast came to be, and consider its legacy.</w:t>
      </w:r>
    </w:p>
    <w:p>
      <w:pPr>
        <w:pStyle w:val="Heading2"/>
        <w:rPr/>
      </w:pPr>
      <w:bookmarkStart w:id="0" w:name="__RefHeading___Toc943_1155462304"/>
      <w:bookmarkEnd w:id="0"/>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1" w:name="__RefHeading___Toc5349_68767826"/>
      <w:bookmarkEnd w:id="1"/>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r>
        <w:rPr/>
        <w:t xml:space="preserve">History of the concrete </w:t>
      </w:r>
      <w:r>
        <w:rPr>
          <w:i/>
          <w:iCs/>
        </w:rPr>
        <w:t>Diplodocus</w:t>
      </w:r>
    </w:p>
    <w:p>
      <w:pPr>
        <w:pStyle w:val="Heading2"/>
        <w:rPr/>
      </w:pPr>
      <w:bookmarkStart w:id="2" w:name="__RefHeading___Toc947_1155462304"/>
      <w:bookmarkEnd w:id="2"/>
      <w:r>
        <w:rPr/>
        <w:t>The Field Museum in Vernal</w:t>
      </w:r>
    </w:p>
    <w:p>
      <w:pPr>
        <w:pStyle w:val="TextBody"/>
        <w:rPr/>
      </w:pPr>
      <w:r>
        <w:rPr/>
        <w:t>1948, October 29: The Utah Field House museum opens in Vernal.</w:t>
      </w:r>
    </w:p>
    <w:p>
      <w:pPr>
        <w:pStyle w:val="TextBody"/>
        <w:rPr/>
      </w:pPr>
      <w:r>
        <w:rPr/>
        <w:t>1952: Vernal native J. LeRoy Kay, Carnegie's curator of vertebrate paleontology, gifts the original molds to the Field House. They arrive on or shortly before 7 August (Untermann 1952). By this time, they were "deteriorating" (Gangewere 1999:17), "almost unusable" (Nieuwland 2019:251) and "in pretty bad shape" (Ken Carpenter, pers. comm. 2022).</w:t>
      </w:r>
    </w:p>
    <w:p>
      <w:pPr>
        <w:pStyle w:val="TextBody"/>
        <w:rPr/>
      </w:pPr>
      <w:r>
        <w:rPr/>
        <w:t xml:space="preserve">1957: The Utah Field House's concrete cast is created, and mounted outdoors (Gangewere 1999:17). </w:t>
      </w:r>
      <w:r>
        <w:rPr/>
        <w:t xml:space="preserve">It is dedicated on 6 June, 1957 (Untermann and Untermann 1970). </w:t>
      </w:r>
      <w:r>
        <w:rPr/>
        <w:t>This is the last time the original molds are used. “The molds finally fell apart because of old age soon after it was made” (Sussaman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TextBody"/>
        <w:rPr/>
      </w:pPr>
      <w:r>
        <w:rPr/>
        <w:t xml:space="preserve">1979: The British Museum’s cast of the Carnegie </w:t>
      </w:r>
      <w:r>
        <w:rPr>
          <w:i/>
          <w:iCs/>
        </w:rPr>
        <w:t>Diplodocus</w:t>
      </w:r>
      <w:r>
        <w:rPr/>
        <w:t xml:space="preserve"> is moved from the Hall of Reptiles (now the insect exhibit) to the main atrium, where it remained until removed in 2018 to make space for corporate events.</w:t>
      </w:r>
    </w:p>
    <w:p>
      <w:pPr>
        <w:pStyle w:val="Heading2"/>
        <w:rPr/>
      </w:pPr>
      <w:bookmarkStart w:id="3" w:name="__RefHeading___Toc949_1155462304"/>
      <w:bookmarkEnd w:id="3"/>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4" w:name="__RefHeading___Toc951_1155462304"/>
      <w:bookmarkEnd w:id="4"/>
      <w:r>
        <w:rPr>
          <w:i w:val="false"/>
          <w:iCs w:val="false"/>
        </w:rPr>
        <w:t>Further uses of the molds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5" w:name="__RefHeading___Toc953_1155462304"/>
      <w:bookmarkEnd w:id="5"/>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6" w:name="__RefHeading___Toc3401_68767826"/>
      <w:bookmarkEnd w:id="6"/>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3"/>
        </w:numPr>
        <w:ind w:left="0" w:right="0" w:hanging="0"/>
        <w:rPr/>
      </w:pPr>
      <w:bookmarkStart w:id="7" w:name="__RefHeading___Toc3403_68767826"/>
      <w:bookmarkEnd w:id="7"/>
      <w:r>
        <w:rPr/>
        <w:t>Acknowledgements</w:t>
      </w:r>
    </w:p>
    <w:p>
      <w:pPr>
        <w:pStyle w:val="TextBody"/>
        <w:rPr/>
      </w:pPr>
      <w:r>
        <w:rPr/>
        <w:t>XXX to follow.</w:t>
      </w:r>
    </w:p>
    <w:p>
      <w:pPr>
        <w:pStyle w:val="Heading1"/>
        <w:numPr>
          <w:ilvl w:val="0"/>
          <w:numId w:val="3"/>
        </w:numPr>
        <w:ind w:left="0" w:right="0" w:hanging="0"/>
        <w:rPr/>
      </w:pPr>
      <w:bookmarkStart w:id="8" w:name="__RefHeading___Toc3405_68767826"/>
      <w:bookmarkEnd w:id="8"/>
      <w:r>
        <w:rPr/>
        <w:t>References</w:t>
      </w:r>
    </w:p>
    <w:p>
      <w:pPr>
        <w:pStyle w:val="Reference"/>
        <w:rPr/>
      </w:pPr>
      <w:r>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9" w:name="__DdeLink__16582_68767826"/>
      <w:r>
        <w:rPr/>
        <w:t>Nieuwland</w:t>
      </w:r>
      <w:bookmarkEnd w:id="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3"/>
        </w:numPr>
        <w:ind w:left="0" w:right="0" w:hanging="0"/>
        <w:rPr/>
      </w:pPr>
      <w:bookmarkStart w:id="10" w:name="__RefHeading___Toc3407_68767826"/>
      <w:bookmarkEnd w:id="10"/>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20822</TotalTime>
  <Application>LibreOffice/6.1.3.2$MacOSX_X86_64 LibreOffice_project/86daf60bf00efa86ad547e59e09d6bb77c699acb</Application>
  <Pages>5</Pages>
  <Words>1687</Words>
  <Characters>9195</Characters>
  <CharactersWithSpaces>10786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2022-05-20T23:15:30Z</dcterms:modified>
  <cp:revision>365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