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rPr>
          <w:t>Further uses of the molds</w:t>
          <w:tab/>
          <w:t>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Normal"/>
        <w:rPr/>
      </w:pPr>
      <w:r>
        <w:rPr/>
      </w:r>
      <w:r>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Diplodocus</w:t>
      </w:r>
      <w:r>
        <w:rPr/>
        <w:t xml:space="preserve"> is a diplodocid sauropod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along, having been cast in concrete.</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945_1155462304"/>
      <w:bookmarkEnd w:id="4"/>
      <w:r>
        <w:rPr/>
        <w:t xml:space="preserve">The Carnegie </w:t>
      </w:r>
      <w:r>
        <w:rPr>
          <w:i/>
          <w:iCs/>
        </w:rPr>
        <w:t>Diplodocus</w:t>
      </w:r>
    </w:p>
    <w:p>
      <w:pPr>
        <w:pStyle w:val="TextBody"/>
        <w:rPr/>
      </w:pPr>
      <w:r>
        <w:rPr/>
        <w:t xml:space="preserve">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w:t>
      </w:r>
    </w:p>
    <w:p>
      <w:pPr>
        <w:pStyle w:val="TextBody"/>
        <w:rPr/>
      </w:pPr>
      <w:r>
        <w:rPr/>
        <w:t>1899 (July 4): Dr. Jacob L. Wortman found the first bones of a largely complete sauropod specimen at Sheep Creek in Albany County, Wyoming. He and his team collected it for the Carnegie Museum (Hatcher 1901:3–4). This specimen was designated CM 82.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1900: Mr. Olof A. Peterson collected another, slightly smaller, specimen of the same species of sauropod from the same quarry (Hatcher 1901:3). This specimen was designated CM 84.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1901: John Bell Hatcher described both specimens, illustrating CM 84 in some detail, in a classic monograph (Hatcher 1901). The illustrations included a skeletal reconstruction of </w:t>
      </w:r>
      <w:r>
        <w:rPr>
          <w:i/>
          <w:iCs/>
        </w:rPr>
        <w:t>Diplodocus</w:t>
      </w:r>
      <w:r>
        <w:rPr/>
        <w:t xml:space="preserve"> (Hatcher 1901:plate XIII).</w:t>
      </w:r>
    </w:p>
    <w:p>
      <w:pPr>
        <w:pStyle w:val="TextBody"/>
        <w:rPr/>
      </w:pPr>
      <w:r>
        <w:rPr/>
        <w:t xml:space="preserve">1902, October: King Edward VII paid a surprise visit to Carnegie at Skibo Castle in Scotland. Seeing a skeletal reconstruction of </w:t>
      </w:r>
      <w:r>
        <w:rPr>
          <w:i/>
          <w:iCs/>
        </w:rPr>
        <w:t>Diplodocus</w:t>
      </w:r>
      <w:r>
        <w:rPr/>
        <w:t xml:space="preserve">, probably that of Hatcher (1901:plate XIII), he requested a specimen for the British Museum </w:t>
      </w:r>
      <w:r>
        <w:rPr/>
        <w:t>in London, England</w:t>
      </w:r>
      <w:r>
        <w:rPr/>
        <w:t xml:space="preserve"> (Steenhard, 2017 XXX or find it in Nieuwland). Carnegie, keen to gain favour with men of influence, happily promised to provide one as a gift.</w:t>
      </w:r>
    </w:p>
    <w:p>
      <w:pPr>
        <w:pStyle w:val="TextBody"/>
        <w:rPr/>
      </w:pPr>
      <w:r>
        <w:rPr/>
        <w:t>1902–1904 (more precision would be good): Carnegie Museum makes molds of Diplodocus. “A team of Italians skilled in making statues created Dippy’s molds over a two-year period, and the replicas were then cast by Serafino Augustini at a cost of thirty thousand dollars each.” (Sassaman 1988, XXX find in Nieuwland.)</w:t>
      </w:r>
    </w:p>
    <w:p>
      <w:pPr>
        <w:pStyle w:val="TextBody"/>
        <w:rPr/>
      </w:pPr>
      <w:r>
        <w:rPr/>
        <w:t>1904: Five casts are made from these molds</w:t>
      </w:r>
    </w:p>
    <w:p>
      <w:pPr>
        <w:pStyle w:val="TextBody"/>
        <w:rPr/>
      </w:pPr>
      <w:r>
        <w:rPr/>
        <w:t xml:space="preserve">1905, May 12: The first cast from these molds is erected as the mount at the BMNH, the second mounted sauropod in the world after the American Museum of Natural History’s composite </w:t>
      </w:r>
      <w:r>
        <w:rPr>
          <w:i/>
          <w:iCs/>
        </w:rPr>
        <w:t>Brontosaurus</w:t>
      </w:r>
      <w:r>
        <w:rPr/>
        <w:t xml:space="preserve">, AMNH 460. </w:t>
      </w:r>
      <w:r>
        <w:rPr/>
        <w:t>XXX Nieuwland 2019:5 says April.</w:t>
      </w:r>
    </w:p>
    <w:p>
      <w:pPr>
        <w:pStyle w:val="TextBody"/>
        <w:rPr/>
      </w:pPr>
      <w:r>
        <w:rPr/>
        <w:t>1907, April: The actual fossils (and some sculpted elements) are mounted at the Carnegie Museum.</w:t>
      </w:r>
    </w:p>
    <w:p>
      <w:pPr>
        <w:pStyle w:val="TextBody"/>
        <w:rPr/>
      </w:pPr>
      <w:r>
        <w:rPr/>
        <w:t xml:space="preserve">1908: further casts are erected in Berlin, </w:t>
      </w:r>
      <w:r>
        <w:rPr/>
        <w:t>Germany;</w:t>
      </w:r>
      <w:r>
        <w:rPr/>
        <w:t xml:space="preserve"> and Paris, </w:t>
      </w:r>
      <w:r>
        <w:rPr/>
        <w:t>France</w:t>
      </w:r>
      <w:r>
        <w:rPr/>
        <w:t>. The Berlin cast sparks a debate about posture (Hay 1908, Tornier 1909, Hay 1910, Holland 1910).</w:t>
      </w:r>
    </w:p>
    <w:p>
      <w:pPr>
        <w:pStyle w:val="TextBody"/>
        <w:rPr/>
      </w:pPr>
      <w:r>
        <w:rPr/>
        <w:t xml:space="preserve">1909: the last two casts of the original batch are mounted in Vienna, </w:t>
      </w:r>
      <w:r>
        <w:rPr/>
        <w:t>Austria;</w:t>
      </w:r>
      <w:r>
        <w:rPr/>
        <w:t xml:space="preserve"> and Bologna, </w:t>
      </w:r>
      <w:r>
        <w:rPr/>
        <w:t>Italy</w:t>
      </w:r>
      <w:r>
        <w:rPr/>
        <w:t>.</w:t>
      </w:r>
    </w:p>
    <w:p>
      <w:pPr>
        <w:pStyle w:val="TextBody"/>
        <w:rPr/>
      </w:pPr>
      <w:r>
        <w:rPr/>
        <w:t>1909-1910: five further casts are made from the molds</w:t>
      </w:r>
    </w:p>
    <w:p>
      <w:pPr>
        <w:pStyle w:val="TextBody"/>
        <w:rPr/>
      </w:pPr>
      <w:r>
        <w:rPr/>
        <w:t xml:space="preserve">1910: a cast is mounted in St. Petersburgh (now Leningrad), </w:t>
      </w:r>
      <w:r>
        <w:rPr/>
        <w:t>Russia</w:t>
      </w:r>
      <w:r>
        <w:rPr/>
        <w:t>. Discuss posture.</w:t>
      </w:r>
    </w:p>
    <w:p>
      <w:pPr>
        <w:pStyle w:val="TextBody"/>
        <w:rPr/>
      </w:pPr>
      <w:r>
        <w:rPr/>
        <w:t xml:space="preserve">1912: another cast is mounted in La Plata, </w:t>
      </w:r>
      <w:r>
        <w:rPr/>
        <w:t>on the outskirts of Buenos Aires, Argentina.</w:t>
      </w:r>
    </w:p>
    <w:p>
      <w:pPr>
        <w:pStyle w:val="TextBody"/>
        <w:rPr/>
      </w:pPr>
      <w:r>
        <w:rPr/>
        <w:t xml:space="preserve">1913: another cast is mounted in Madrid, </w:t>
      </w:r>
      <w:r>
        <w:rPr/>
        <w:t>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2"/>
        <w:rPr/>
      </w:pPr>
      <w:bookmarkStart w:id="5" w:name="__RefHeading___Toc947_1155462304"/>
      <w:bookmarkEnd w:id="5"/>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w:t>
      </w:r>
      <w:r>
        <w:rPr/>
        <w:t xml:space="preserve">(now the insect exhibit) </w:t>
      </w:r>
      <w:r>
        <w:rPr/>
        <w:t>to the main atrium, where it remain</w:t>
      </w:r>
      <w:r>
        <w:rPr/>
        <w:t>ed</w:t>
      </w:r>
      <w:r>
        <w:rPr/>
        <w:t xml:space="preserve"> until removed in 2018 to make space for corporate events.</w:t>
      </w:r>
    </w:p>
    <w:p>
      <w:pPr>
        <w:pStyle w:val="Heading2"/>
        <w:rPr/>
      </w:pPr>
      <w:bookmarkStart w:id="6" w:name="__RefHeading___Toc949_1155462304"/>
      <w:bookmarkEnd w:id="6"/>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7" w:name="__RefHeading___Toc951_1155462304"/>
      <w:bookmarkEnd w:id="7"/>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8" w:name="__RefHeading___Toc953_1155462304"/>
      <w:bookmarkEnd w:id="8"/>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 xml:space="preserve">XXX </w:t>
      </w:r>
      <w:r>
        <w:rPr/>
        <w:t xml:space="preserve">“After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w:t>
      </w:r>
      <w:r>
        <w:rPr/>
        <w:t>(Nieuwland 2019:4).</w:t>
      </w:r>
    </w:p>
    <w:p>
      <w:pPr>
        <w:pStyle w:val="Heading1"/>
        <w:numPr>
          <w:ilvl w:val="0"/>
          <w:numId w:val="4"/>
        </w:numPr>
        <w:ind w:left="0" w:right="0" w:hanging="0"/>
        <w:rPr/>
      </w:pPr>
      <w:bookmarkStart w:id="9" w:name="__RefHeading___Toc3401_68767826"/>
      <w:bookmarkEnd w:id="9"/>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4"/>
        </w:numPr>
        <w:ind w:left="0" w:right="0" w:hanging="0"/>
        <w:rPr/>
      </w:pPr>
      <w:bookmarkStart w:id="10" w:name="__RefHeading___Toc3403_68767826"/>
      <w:bookmarkEnd w:id="10"/>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b/>
          <w:bCs/>
        </w:rPr>
        <w:t>UNUSED</w:t>
      </w:r>
      <w:r>
        <w:rPr/>
        <w:t xml:space="preserve"> 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XXX</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18703</TotalTime>
  <Application>LibreOffice/6.1.3.2$MacOSX_X86_64 LibreOffice_project/86daf60bf00efa86ad547e59e09d6bb77c699acb</Application>
  <Pages>6</Pages>
  <Words>2292</Words>
  <Characters>12403</Characters>
  <CharactersWithSpaces>14574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2022-04-23T23:00:11Z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