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7</w:t>
        </w:r>
      </w:hyperlink>
    </w:p>
    <w:p>
      <w:pPr>
        <w:pStyle w:val="Heading1"/>
        <w:numPr>
          <w:ilvl w:val="0"/>
          <w:numId w:val="2"/>
        </w:numPr>
        <w:ind w:left="0" w:right="0" w:hanging="0"/>
        <w:rPr/>
      </w:pPr>
      <w:bookmarkStart w:id="0" w:name="__RefHeading___Toc1018_149631038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945_1155462304"/>
      <w:bookmarkEnd w:id="4"/>
      <w:r>
        <w:rPr/>
        <w:t xml:space="preserve">The Carnegie </w:t>
      </w:r>
      <w:r>
        <w:rPr>
          <w:i/>
          <w:iCs/>
        </w:rPr>
        <w:t>Diplodocus</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82.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84.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w:t>
      </w:r>
      <w:r>
        <w:rPr/>
        <w:t xml:space="preserve">the </w:t>
      </w:r>
      <w:r>
        <w:rPr/>
        <w:t xml:space="preserve">classic description of both these specimens of </w:t>
      </w:r>
      <w:r>
        <w:rPr>
          <w:i/>
          <w:iCs/>
        </w:rPr>
        <w:t>Diplodocus</w:t>
      </w:r>
      <w:r>
        <w:rPr/>
        <w:t xml:space="preserve"> was published (Hatcher 1901), </w:t>
      </w:r>
      <w:r>
        <w:rPr/>
        <w:t xml:space="preserve">written by John Bell Hatcher, the Carnegie Museum’s head of palaeontology. This monograph </w:t>
      </w:r>
      <w:r>
        <w:rPr/>
        <w:t>illustrat</w:t>
      </w:r>
      <w:r>
        <w:rPr/>
        <w:t xml:space="preserve">ed </w:t>
      </w:r>
      <w:r>
        <w:rPr/>
        <w:t>CM 84 in some detail and nam</w:t>
      </w:r>
      <w:r>
        <w:rPr/>
        <w:t>ed</w:t>
      </w:r>
      <w:r>
        <w:rPr/>
        <w:t xml:space="preserve">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w:t>
      </w:r>
      <w:r>
        <w:rPr/>
        <w:t>Figure A</w:t>
      </w:r>
      <w:r>
        <w:rPr/>
        <w:t>).</w:t>
      </w:r>
    </w:p>
    <w:p>
      <w:pPr>
        <w:pStyle w:val="TextBody"/>
        <w:rPr/>
      </w:pPr>
      <w:r>
        <w:rPr/>
        <w:t>At the start of</w:t>
      </w:r>
      <w:r>
        <w:rPr/>
        <w:t xml:space="preserve"> October 1902, King Edward VII </w:t>
      </w:r>
      <w:r>
        <w:rPr/>
        <w:t xml:space="preserve">of England </w:t>
      </w:r>
      <w:r>
        <w:rPr/>
        <w:t xml:space="preserve">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w:t>
      </w:r>
      <w:r>
        <w:rPr/>
        <w:t xml:space="preserve">and on 2nd October wrote to William J. Holland, director of the Carnegie Museum,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w:t>
      </w:r>
      <w:r>
        <w:rPr/>
        <w:t>190</w:t>
      </w:r>
      <w:r>
        <w:rPr/>
        <w:t>3 and running through into 1904, the</w:t>
      </w:r>
      <w:r>
        <w:rPr/>
        <w:t xml:space="preserve"> Carnegie Museum ma</w:t>
      </w:r>
      <w:r>
        <w:rPr/>
        <w:t xml:space="preserve">de </w:t>
      </w:r>
      <w:r>
        <w:rPr/>
        <w:t xml:space="preserve">molds of </w:t>
      </w:r>
      <w:r>
        <w:rPr/>
        <w:t xml:space="preserve">the </w:t>
      </w:r>
      <w:r>
        <w:rPr>
          <w:i/>
          <w:iCs/>
        </w:rPr>
        <w:t>Diplodocus</w:t>
      </w:r>
      <w:r>
        <w:rPr/>
        <w:t xml:space="preserve"> </w:t>
      </w:r>
      <w:r>
        <w:rPr/>
        <w:t>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w:t>
      </w:r>
      <w:r>
        <w:rPr/>
        <w:t xml:space="preserve"> </w:t>
      </w:r>
      <w:r>
        <w:rPr/>
        <w:t>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would be unveiled on 16th February 1905.</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 xml:space="preserve">Just before 1pm on 12th May </w:t>
      </w:r>
      <w:r>
        <w:rPr/>
        <w:t xml:space="preserve">1905, </w:t>
      </w:r>
      <w:r>
        <w:rPr/>
        <w:t>t</w:t>
      </w:r>
      <w:r>
        <w:rPr/>
        <w:t xml:space="preserve">he first </w:t>
      </w:r>
      <w:r>
        <w:rPr/>
        <w:t xml:space="preserve">mount that had been </w:t>
      </w:r>
      <w:r>
        <w:rPr/>
        <w:t xml:space="preserve">cast from the </w:t>
      </w:r>
      <w:r>
        <w:rPr/>
        <w:t>Carnegie</w:t>
      </w:r>
      <w:r>
        <w:rPr/>
        <w:t xml:space="preserve"> molds </w:t>
      </w:r>
      <w:r>
        <w:rPr/>
        <w:t>wa</w:t>
      </w:r>
      <w:r>
        <w:rPr/>
        <w:t xml:space="preserve">s </w:t>
      </w:r>
      <w:r>
        <w:rPr/>
        <w:t xml:space="preserve">unveiled </w:t>
      </w:r>
      <w:r>
        <w:rPr/>
        <w:t xml:space="preserve">at the BMNH — </w:t>
      </w:r>
      <w:r>
        <w:rPr/>
        <w:t>see photograph in Nieuwland 2019:figure 3.3</w:t>
      </w:r>
      <w:r>
        <w:rPr/>
        <w:t xml:space="preserve">. </w:t>
      </w:r>
      <w:r>
        <w:rPr/>
        <w:t>In fact the material for the mount had been completed as early as October the previous year, but the mounting and public unveiling was delayed until spring of 1905 in the hope that more of London’s dignitaries could be present. The king himself, disappointingly to Lankester and Carnegie, did not attend. However, the events attracted a great deal of press coverage, not only in London and Pittsburgh but across Britain and America, and even in Canada and Australia. The next day, the exhibit was opened to the general public.</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2"/>
        <w:rPr/>
      </w:pPr>
      <w:bookmarkStart w:id="6" w:name="__RefHeading___Toc947_1155462304"/>
      <w:bookmarkEnd w:id="6"/>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7" w:name="__RefHeading___Toc949_1155462304"/>
      <w:bookmarkEnd w:id="7"/>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i w:val="false"/>
          <w:i w:val="false"/>
          <w:iCs w:val="false"/>
        </w:rPr>
      </w:pPr>
      <w:bookmarkStart w:id="8" w:name="__RefHeading___Toc951_1155462304"/>
      <w:bookmarkEnd w:id="8"/>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9" w:name="__RefHeading___Toc953_1155462304"/>
      <w:bookmarkEnd w:id="9"/>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0" w:name="__RefHeading___Toc3401_68767826"/>
      <w:bookmarkEnd w:id="10"/>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4"/>
        </w:numPr>
        <w:ind w:left="0" w:right="0" w:hanging="0"/>
        <w:rPr/>
      </w:pPr>
      <w:bookmarkStart w:id="11" w:name="__RefHeading___Toc3403_68767826"/>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Heading1"/>
        <w:numPr>
          <w:ilvl w:val="0"/>
          <w:numId w:val="4"/>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b/>
          <w:bCs/>
        </w:rPr>
        <w:t>UNUSED</w:t>
      </w:r>
      <w:r>
        <w:rPr/>
        <w:t xml:space="preserve"> 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rPr>
        <w:t xml:space="preserve"> </w:t>
      </w:r>
      <w:r>
        <w:rPr>
          <w:b w:val="false"/>
          <w:bCs w:val="false"/>
        </w:rPr>
        <w:t xml:space="preserve">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t>
      </w:r>
      <w:r>
        <w:rPr>
          <w:b w:val="false"/>
          <w:bCs w:val="false"/>
        </w:rPr>
        <w:t>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19127</TotalTime>
  <Application>LibreOffice/6.1.3.2$MacOSX_X86_64 LibreOffice_project/86daf60bf00efa86ad547e59e09d6bb77c699acb</Application>
  <Pages>8</Pages>
  <Words>2955</Words>
  <Characters>15659</Characters>
  <CharactersWithSpaces>18496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2022-04-29T01:41:15Z</dcterms:modified>
  <cp:revision>354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