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t>Diplodocus</w:t>
      </w:r>
      <w:r>
        <w:rPr>
          <w:i w:val="false"/>
          <w:iCs w:val="false"/>
        </w:rPr>
        <w:t xml:space="preserve"> casts that are mounted in Japan and elsewhere, and have also furnished missing parts of the iconic rearing </w:t>
      </w:r>
      <w:r>
        <w:rPr/>
        <w:t>Barosaurus</w:t>
      </w:r>
      <w:r>
        <w:rPr>
          <w:i w:val="false"/>
          <w:iCs w:val="false"/>
        </w:rPr>
        <w:t xml:space="preserve"> skeleton in the atrium of the American Museum of Natural History. Thus the concrete </w:t>
      </w:r>
      <w:r>
        <w:rPr/>
        <w:t>Diplodocus</w:t>
      </w:r>
      <w:r>
        <w:rPr>
          <w:i w:val="false"/>
          <w:iCs w:val="false"/>
        </w:rPr>
        <w:t xml:space="preserve"> of Vernal has become one of the most influential of all </w:t>
      </w:r>
      <w:r>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id w:val="801865710"/>
      </w:sdtPr>
      <w:sdtContent>
        <w:p>
          <w:pPr>
            <w:pStyle w:val="Contents1"/>
            <w:rPr/>
          </w:pP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16</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rPr/>
          </w:pPr>
          <w:hyperlink w:anchor="__RefHeading___Toc3401_68767826">
            <w:r>
              <w:rPr>
                <w:rStyle w:val="IndexLink"/>
              </w:rPr>
              <w:t>Discussion</w:t>
              <w:tab/>
              <w:t>17</w:t>
            </w:r>
          </w:hyperlink>
        </w:p>
        <w:p>
          <w:pPr>
            <w:pStyle w:val="Contents1"/>
            <w:rPr/>
          </w:pPr>
          <w:hyperlink w:anchor="__RefHeading___Toc3529_2542618767">
            <w:r>
              <w:rPr>
                <w:rStyle w:val="IndexLink"/>
              </w:rPr>
              <w:t>Acknowledgements</w:t>
              <w:tab/>
              <w:t>18</w:t>
            </w:r>
          </w:hyperlink>
        </w:p>
        <w:p>
          <w:pPr>
            <w:pStyle w:val="Contents1"/>
            <w:rPr/>
          </w:pPr>
          <w:hyperlink w:anchor="__RefHeading___Toc3405_68767826">
            <w:r>
              <w:rPr>
                <w:rStyle w:val="IndexLink"/>
              </w:rPr>
              <w:t>References</w:t>
              <w:tab/>
              <w:t>20</w:t>
            </w:r>
          </w:hyperlink>
        </w:p>
        <w:p>
          <w:pPr>
            <w:pStyle w:val="Contents1"/>
            <w:rPr/>
          </w:pPr>
          <w:hyperlink w:anchor="__RefHeading___Toc3407_68767826">
            <w:r>
              <w:rPr>
                <w:rStyle w:val="IndexLink"/>
              </w:rPr>
              <w:t>Figure Captions</w:t>
              <w:tab/>
              <w:t>26</w:t>
            </w:r>
          </w:hyperlink>
        </w:p>
        <w:p>
          <w:pPr>
            <w:pStyle w:val="Contents1"/>
            <w:rPr/>
          </w:pPr>
          <w:hyperlink w:anchor="__RefHeading___Toc4426_1817233446">
            <w:r>
              <w:rPr>
                <w:rStyle w:val="IndexLink"/>
              </w:rPr>
              <w:t>Tables</w:t>
              <w:tab/>
              <w:t>28</w:t>
            </w:r>
          </w:hyperlink>
        </w:p>
      </w:sdtContent>
    </w:sdt>
    <w:p>
      <w:pPr>
        <w:pStyle w:val="Heading1"/>
        <w:rPr/>
      </w:pPr>
      <w:bookmarkStart w:id="0" w:name="__RefHeading___Toc1120_4253449514"/>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John Bell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 xml:space="preserve">Well before the mounting of the real bones of CM 84, King Edward VII of England asked Carnegie for a </w:t>
      </w:r>
      <w:r>
        <w:rPr>
          <w:i/>
          <w:iCs/>
        </w:rPr>
        <w:t>Diplodocus</w:t>
      </w:r>
      <w:r>
        <w:rPr/>
        <w:t xml:space="preserve"> skeleton to be displayed in the British Museum (Natural History). Carnegie naively hoped to put an end to war by encouraging arbitration instead (Nieuwland 2019:55), and to this end was always keen to gain influence with heads of state. He therefore enthusiastically agreed to the King’s request and instructed museum director William. J. Holland to find another specimen. Considering it unlikely that another </w:t>
      </w:r>
      <w:r>
        <w:rPr>
          <w:i/>
          <w:iCs/>
        </w:rPr>
        <w:t>Diplodocus</w:t>
      </w:r>
      <w:r>
        <w:rPr/>
        <w:t xml:space="preserve"> of the same quality would quickly become available without great expense, Holland proposed instead to create a replica. Carnegie swiftly agreed.</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Coggeshall travelled to each recipient country to supervise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(in the money of the time) was provided — and relatively little of this would have gone to the Natural History Museum. While Holland had considered closing the Carnegie Quarry as early as 1917 (Carpenter 2018:13), the reduction in funding must have played some part in the eventual decision to abandon it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were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 xml:space="preserve">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w:t>
      </w:r>
      <w:r>
        <w:rPr/>
        <w:t xml:space="preserve">Douglas </w:t>
      </w:r>
      <w:r>
        <w:rPr/>
        <w:t>Stewart on 20 September 1922 as follows:</w:t>
      </w:r>
    </w:p>
    <w:p>
      <w:pPr>
        <w:pStyle w:val="Quotations"/>
        <w:rPr/>
      </w:pPr>
      <w:r>
        <w:rPr/>
        <w:t>I understand that you are contemplating giving Mr. J. LeRoy Kay the opportunity to gain a wider experience by allowing him the opportunity of going to Pittsburg [sic]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 xml:space="preserve">Working at the Carnegie Museum for the next 30 years, Kay rose to become the head of the museum’s </w:t>
      </w:r>
      <w:r>
        <w:rPr/>
        <w:t xml:space="preserve">Section </w:t>
      </w:r>
      <w:r>
        <w:rPr/>
        <w:t xml:space="preserve">of </w:t>
      </w:r>
      <w:r>
        <w:rPr/>
        <w:t>Fossil V</w:t>
      </w:r>
      <w:r>
        <w:rPr/>
        <w:t>ertebrate</w:t>
      </w:r>
      <w:r>
        <w:rPr/>
        <w:t>s</w:t>
      </w:r>
      <w:r>
        <w:rPr/>
        <w:t>.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 xml:space="preserve">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w:t>
      </w:r>
      <w:r>
        <w:rPr/>
        <w:t>when set with a catalyst</w:t>
      </w:r>
      <w:r>
        <w:rPr/>
        <w:t xml:space="preserve">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w:t>
      </w:r>
      <w:bookmarkStart w:id="9" w:name="_GoBack"/>
      <w:r>
        <w:rPr/>
        <w:t>Ogawa</w:t>
      </w:r>
      <w:bookmarkEnd w:id="9"/>
      <w:r>
        <w:rPr/>
        <w:t xml:space="preserve">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labor and material, and perhaps lack of interest also” (Ogawa 1957). More specifically, the Los Angeles museum had recently acquired the California Institute of Technology collection of 55,000 vertebrate fossils,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Untermann remained anxious to get rid of the molds, which were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impending arrival, and the later articles say that by 7 July museum board president Harold Minges had left for Utah to collect the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At first, there was some excitement in Rocky Mount. Mae Woods Bell, who had been the museum director ever since its creation in 1951 (Anonymous 1962b) made presentations about the dinosaur project to the Rotary (Anonymous 1960c) and the Lions Club (Anonymous 1960d). On 26 August 1960, Bell reported that 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w:t>
      </w:r>
      <w:r>
        <w:rPr>
          <w:i/>
          <w:iCs/>
        </w:rPr>
        <w:t>Rocky Mountain Evening Telegra</w:t>
      </w:r>
      <w:r>
        <w:rPr>
          <w:i/>
          <w:iCs/>
        </w:rPr>
        <w:t>m</w:t>
      </w:r>
      <w:r>
        <w:rPr/>
        <w:t xml:space="preserve">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the old building was demolished.</w:t>
      </w:r>
    </w:p>
    <w:p>
      <w:pPr>
        <w:pStyle w:val="TextBody"/>
        <w:rPr/>
      </w:pPr>
      <w:r>
        <w:rPr/>
        <w:t>At any rate, by 1985 the molds seem to have been lost. The then curator of the Utah Field House wrote to the Rocky Mount Children’s Museum to ask whether a cast had ever been made and mounted, and what had happened to the molds (Laraba 1985). In his response, the Rocky Mount director wrote that “we do not have the molds nor do I know where they went” (McKinnon 1985). It seems then, that while some casts were probably made from the molds, the project petered out and the casts as well as the molds were lost or destroyed.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1960a).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the molds cannot be located at the Houston Museum (Robert Bakker, pers. comm., 2022). Brian Curtice (pers. comm., 2022) also reports that he was in Houston in 1995 and did not see the molds in the collection, nor hear of their ever having been there. In the absence of evidence that the molds ever made it to Houston, it seems more likely that the missing bones in HMNS 175 were cast and supplied by Dinolab, using the second-generation molds described below,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unlikely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 xml:space="preserve">Putting it all together, there is no way that all the reports cited here can be accurate. Among the more likely scenarios is that the molds were successfully shipped to Rocky Mount in July 1960 (Anonymous 1960a, Anonymous 1960b), but some way into the casting project </w:t>
      </w:r>
      <w:r>
        <w:rPr/>
        <w:t xml:space="preserve">they were found </w:t>
      </w:r>
      <w:r>
        <w:rPr/>
        <w:t>not to be up to the job (Rea 2001:210, Moore 2014:234-235) and left in storage. At some later point it may be that they were shipped to a school in a southern state (Kirby 1998:4) but did not arrive (</w:t>
      </w:r>
      <w:bookmarkStart w:id="10" w:name="__DdeLink__7953_1817233446"/>
      <w:r>
        <w:rPr/>
        <w:t>Langston</w:t>
      </w:r>
      <w:bookmarkEnd w:id="10"/>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t>
      </w:r>
      <w:r>
        <w:rPr/>
        <w:t xml:space="preserve">if they survive at all, </w:t>
      </w:r>
      <w:r>
        <w:rPr/>
        <w:t>we can only speculate. As Madsen (1990:4) concluded, “It is truly a mystery that an estimated 3–6 tons of plaster molds could simply vanish!”</w:t>
      </w:r>
    </w:p>
    <w:p>
      <w:pPr>
        <w:pStyle w:val="Heading2"/>
        <w:rPr/>
      </w:pPr>
      <w:bookmarkStart w:id="11" w:name="__RefHeading___Toc949_1155462304"/>
      <w:bookmarkEnd w:id="11"/>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of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 xml:space="preserve">On 26 January 1988, Alden H. Hamblin, then Park Superintendent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w:t>
      </w:r>
      <w:r>
        <w:rPr/>
        <w:t>House</w:t>
      </w:r>
      <w:r>
        <w:rPr/>
        <w:t xml:space="preserve">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Madsen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 (King 1988). </w:t>
      </w:r>
      <w:r>
        <w:rPr/>
        <w:t>(It does not seem that the Carnegie Museum had any actual authority to veto the creation of new casts, but all parties would have been reluctant to alienate an important ally.)</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than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to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purpose-built facility on 22 May 2004. The WEP cast was taken down and remounted in a more dynamic pose in the entry hall of the new museum, where it remains to this day (Figure 9).</w:t>
      </w:r>
    </w:p>
    <w:p>
      <w:pPr>
        <w:pStyle w:val="Heading2"/>
        <w:rPr/>
      </w:pPr>
      <w:bookmarkStart w:id="12" w:name="__RefHeading___Toc418_3962850034"/>
      <w:bookmarkEnd w:id="12"/>
      <w:r>
        <w:rPr/>
        <w:t xml:space="preserve">New casts made from molds of the concrete </w:t>
      </w:r>
      <w:r>
        <w:rPr>
          <w:i/>
          <w:iCs/>
        </w:rPr>
        <w:t>Diplodocus</w:t>
      </w:r>
    </w:p>
    <w:p>
      <w:pPr>
        <w:pStyle w:val="TextBody"/>
        <w:rPr/>
      </w:pPr>
      <w:bookmarkStart w:id="13"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t xml:space="preserve"> the Vernal delivery)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w:t>
      </w:r>
      <w:r>
        <w:rPr/>
        <w:t xml:space="preserve">it </w:t>
      </w:r>
      <w:r>
        <w:rPr/>
        <w:t xml:space="preserve">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3"/>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w:t>
      </w:r>
      <w:r>
        <w:rPr/>
        <w:t>its</w:t>
      </w:r>
      <w:r>
        <w:rPr/>
        <w:t xml:space="preserv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a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the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w:t>
      </w:r>
      <w:r>
        <w:rPr/>
        <w:t xml:space="preserve">This was necessary as the material of other known </w:t>
      </w:r>
      <w:r>
        <w:rPr>
          <w:i/>
          <w:iCs/>
        </w:rPr>
        <w:t>Barosaurus</w:t>
      </w:r>
      <w:r>
        <w:rPr/>
        <w:t xml:space="preserve"> specimens would not have filled the gaps, and </w:t>
      </w:r>
      <w:r>
        <w:rPr>
          <w:i/>
          <w:iCs/>
        </w:rPr>
        <w:t>Diplodocus</w:t>
      </w:r>
      <w:r>
        <w:rPr/>
        <w:t xml:space="preserve"> was at that time the most closely related known sauropod to </w:t>
      </w:r>
      <w:r>
        <w:rPr>
          <w:i/>
          <w:iCs/>
        </w:rPr>
        <w:t>Barosaurus</w:t>
      </w:r>
      <w:r>
        <w:rPr/>
        <w:t>. See Gordy (1991), Norell et al. (1991), Dingus (1996:20–29), Taylor et al (in prep, b).</w:t>
      </w:r>
    </w:p>
    <w:p>
      <w:pPr>
        <w:pStyle w:val="Heading2"/>
        <w:rPr/>
      </w:pPr>
      <w:bookmarkStart w:id="14" w:name="__RefHeading___Toc953_1155462304"/>
      <w:bookmarkEnd w:id="14"/>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children’s sandbox “dino dig” 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was state property, </w:t>
      </w:r>
      <w:r>
        <w:rPr/>
        <w:t>it</w:t>
      </w:r>
      <w:r>
        <w:rPr/>
        <w:t xml:space="preserve"> had to go to a state repository. Steve Sroka, the museum paleontologist, </w:t>
      </w:r>
      <w:r>
        <w:rPr/>
        <w:t xml:space="preserve">therefore </w:t>
      </w:r>
      <w:r>
        <w:rPr/>
        <w:t xml:space="preserve">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5" w:name="__DdeLink__991_3219802390"/>
      <w:r>
        <w:rPr/>
        <w:t xml:space="preserve">8 April </w:t>
      </w:r>
      <w:bookmarkEnd w:id="15"/>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6" w:name="__DdeLink__701_1817233446"/>
      <w:r>
        <w:rPr/>
        <w:t>Utah State University Eastern campus</w:t>
      </w:r>
      <w:bookmarkEnd w:id="16"/>
      <w:r>
        <w:rPr/>
        <w:t xml:space="preserve"> (Figure 13), waiting for a new museum to be built where it can be displayed outdoors.</w:t>
      </w:r>
    </w:p>
    <w:p>
      <w:pPr>
        <w:pStyle w:val="Heading2"/>
        <w:rPr/>
      </w:pPr>
      <w:bookmarkStart w:id="17" w:name="__RefHeading___Toc3005_1175089729"/>
      <w:bookmarkEnd w:id="17"/>
      <w:r>
        <w:rPr/>
        <w:t>The fate of the new molds</w:t>
      </w:r>
    </w:p>
    <w:p>
      <w:pPr>
        <w:pStyle w:val="TextBody"/>
        <w:rPr/>
      </w:pPr>
      <w:r>
        <w:rPr/>
        <w:t xml:space="preserve">Dinolab began to wind down after its 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International (RCI) in Trenton, Ontario, Canada. Here, they were kept in storage for Dinolab: some of them still in good condition, some in rough shape. At the time of wri</w:t>
      </w:r>
      <w:r>
        <w:rPr/>
        <w:t>ti</w:t>
      </w:r>
      <w:r>
        <w:rPr/>
        <w:t xml:space="preserve">ng, these are probably the only Carnegie </w:t>
      </w:r>
      <w:r>
        <w:rPr>
          <w:i/>
          <w:iCs/>
        </w:rPr>
        <w:t>Diplodocus</w:t>
      </w:r>
      <w:r>
        <w:rPr/>
        <w:t xml:space="preserve"> molds in the world.</w:t>
      </w:r>
    </w:p>
    <w:p>
      <w:pPr>
        <w:pStyle w:val="Heading1"/>
        <w:numPr>
          <w:ilvl w:val="0"/>
          <w:numId w:val="2"/>
        </w:numPr>
        <w:rPr/>
      </w:pPr>
      <w:bookmarkStart w:id="18" w:name="__RefHeading___Toc3401_68767826"/>
      <w:bookmarkEnd w:id="18"/>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9" w:name="__RefHeading___Toc3529_2542618767"/>
      <w:bookmarkEnd w:id="19"/>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Robert Bakker (Houston Museum of Natural History),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Many of the letters and newspaper articles referenced herein can be found in the archive at </w:t>
      </w:r>
      <w:hyperlink r:id="rId6">
        <w:r>
          <w:rPr>
            <w:rStyle w:val="InternetLink"/>
          </w:rPr>
          <w:t>https://github.com/MikeTaylor/palaeo-concrete</w:t>
        </w:r>
      </w:hyperlink>
    </w:p>
    <w:p>
      <w:pPr>
        <w:pStyle w:val="TextBody"/>
        <w:rPr/>
      </w:pPr>
      <w:r>
        <w:rPr/>
        <w:t>We are grateful to Doug Sprinkel (Azteca Geosolutions) for his efficient editorial handing of this paper, and to Brian D. Curtice (Fossil Crates) and Paul D. Brinkman (North Carolina Museum of Natural Sciences) for detailed, careful and constructive reviews.</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20" w:name="__RefHeading___Toc3405_68767826"/>
      <w:bookmarkEnd w:id="20"/>
      <w:r>
        <w:rPr/>
        <w:t>References</w:t>
      </w:r>
    </w:p>
    <w:p>
      <w:pPr>
        <w:pStyle w:val="Reference"/>
        <w:rPr/>
      </w:pPr>
      <w:r>
        <w:rPr/>
        <w:t>Anonymous. Undated. “Dippy” the Traffic Stopper. (Journal, volume and pagination not known.)</w:t>
      </w:r>
    </w:p>
    <w:p>
      <w:pPr>
        <w:pStyle w:val="Reference"/>
        <w:rPr/>
      </w:pPr>
      <w:r>
        <w:rPr/>
        <w:t xml:space="preserve">Anonymous. 1934. Construction of Museum at Vernal urged. </w:t>
      </w:r>
      <w:r>
        <w:rPr>
          <w:i/>
          <w:iCs/>
        </w:rPr>
        <w:t>Vernal Express</w:t>
      </w:r>
      <w:r>
        <w:rPr/>
        <w:t xml:space="preserve">, 27 September 1934, page 1. </w:t>
      </w:r>
      <w:hyperlink r:id="rId7">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8">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9">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1" w:name="__DdeLink__11501_941453575"/>
      <w:r>
        <w:rPr/>
        <w:t>Contorno</w:t>
      </w:r>
      <w:bookmarkEnd w:id="21"/>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left="283" w:hanging="0"/>
        <w:rPr/>
      </w:pPr>
      <w:r>
        <w:rPr/>
        <w:t xml:space="preserve">Dinolab, inc. 2001. </w:t>
      </w:r>
      <w:r>
        <w:rPr>
          <w:i/>
          <w:iCs/>
        </w:rPr>
        <w:t>UT Field House of Natural History accounting sheet</w:t>
      </w:r>
      <w:r>
        <w:rPr/>
        <w:t>. August 2001.</w:t>
      </w:r>
    </w:p>
    <w:p>
      <w:pPr>
        <w:pStyle w:val="Reference"/>
        <w:ind w:left="283"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TextBody"/>
        <w:rPr/>
      </w:pPr>
      <w:r>
        <w:rPr/>
        <w:t>Laraba, Peter H. Laraba. 1985. Letter to Karl L. McKinnon. 31 August 1985.</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2" w:name="__DdeLink__20580_446257137"/>
      <w:bookmarkEnd w:id="22"/>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TextBody"/>
        <w:rPr/>
      </w:pPr>
      <w:r>
        <w:rPr/>
        <w:t>McKinnon, Karl L. 1985. Letter to Peter H. Laraba. 21 November 1985.</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32">
        <w:r>
          <w:rPr>
            <w:rStyle w:val="InternetLink"/>
          </w:rPr>
          <w:t>https://www.spectator.co.uk/article/dippygate-natural-history-museum-s-diplodocus-sacrificed-on-the-commercial-altar</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w:t>
      </w:r>
    </w:p>
    <w:p>
      <w:pPr>
        <w:pStyle w:val="Reference"/>
        <w:rPr>
          <w:shd w:fill="FFFF00" w:val="clear"/>
        </w:rPr>
      </w:pPr>
      <w:r>
        <w:rPr/>
        <w:t xml:space="preserve">Taylor, Michael P., Peter May, Lowell Dingus and Eugene S. Gaffney. In prep, b. The skeletal reconstruction of </w:t>
      </w:r>
      <w:r>
        <w:rPr>
          <w:i/>
          <w:iCs/>
        </w:rPr>
        <w:t>Barosaurus lentus</w:t>
      </w:r>
      <w:r>
        <w:rPr/>
        <w:t xml:space="preserve"> in the American Museum of Natural History.</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3">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4">
        <w:r>
          <w:rPr>
            <w:rStyle w:val="InternetLink"/>
          </w:rPr>
          <w:t>https://newspaperarchive.com/rocky-mount-evening-telegram-apr-24-1960-p-11/</w:t>
        </w:r>
      </w:hyperlink>
    </w:p>
    <w:p>
      <w:pPr>
        <w:pStyle w:val="Reference"/>
        <w:rPr/>
      </w:pPr>
      <w:r>
        <w:rPr/>
        <w:t xml:space="preserve">Wright, Helda E. 1956. </w:t>
      </w:r>
      <w:r>
        <w:rPr>
          <w:i/>
          <w:iCs/>
        </w:rPr>
        <w:t>Society of Vertebrate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w:t>
      </w:r>
      <w:r>
        <w:rPr/>
        <w:t xml:space="preserve">House </w:t>
      </w:r>
      <w:r>
        <w:rPr/>
        <w:t xml:space="preserve">in 1957. </w:t>
      </w:r>
      <w:r>
        <w:rPr>
          <w:b/>
          <w:bCs/>
        </w:rPr>
        <w:t>A.</w:t>
      </w:r>
      <w:r>
        <w:rPr/>
        <w:t xml:space="preserve"> In right posterolateral view. The sacrum and fused ilia having been mounted on the main support to begin the process, the hindlimbs, last four dorsal vertebrae and first caudal vertebra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colorphotograph.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t xml:space="preserve"> Double </w:t>
      </w:r>
      <w:r>
        <w:rPr>
          <w:i/>
          <w:iCs/>
        </w:rPr>
        <w:t>Diplodocus</w:t>
      </w:r>
      <w:r>
        <w:rPr/>
        <w:t xml:space="preserve"> mount at the Museum of Science and Industry (MOSI), Tampa, Florida. Both individuals are identical, having been cast from the molds made by Dinolab from the concrete </w:t>
      </w:r>
      <w:r>
        <w:rPr>
          <w:i/>
          <w:iCs/>
        </w:rPr>
        <w:t>Diplodocus</w:t>
      </w:r>
      <w:r>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prepared for transportation to the Utah State University Eastern campus in Price, Utah, about 100 miles southwest of Vernal. Photograph by Steven D. Sroka. </w:t>
      </w:r>
      <w:r>
        <w:rPr>
          <w:b/>
          <w:bCs/>
        </w:rPr>
        <w:t>B.</w:t>
      </w:r>
      <w:r>
        <w:rPr/>
        <w:t xml:space="preserve"> The same bones having been unpacked into Ken Carpenter’s garage in Price. Photograph by Ken Carpenter.</w:t>
      </w:r>
    </w:p>
    <w:p>
      <w:pPr>
        <w:pStyle w:val="FigureCaption"/>
        <w:rPr/>
      </w:pPr>
      <w:r>
        <w:rPr>
          <w:b/>
          <w:bCs/>
        </w:rPr>
        <w:t>Figure 12.</w:t>
      </w:r>
      <w:r>
        <w:rPr/>
        <w:t xml:space="preserve"> Carrie Herbel, a preparator at the Prehistoric Museum in Price, sandblasting old paint off the concrete </w:t>
      </w:r>
      <w:r>
        <w:rPr>
          <w:i/>
          <w:iCs/>
        </w:rPr>
        <w:t>Diplodocus</w:t>
      </w:r>
      <w:r>
        <w:rPr/>
        <w:t xml:space="preserve"> casts recently obtained from Vernal, on 1 November 2014. By comparison with Hatcher (1901:plate V), which shows anterior-view photographs of the cervical vertebrae of </w:t>
      </w:r>
      <w:r>
        <w:rPr>
          <w:i/>
          <w:iCs/>
        </w:rPr>
        <w:t>Diplodocus carnegii</w:t>
      </w:r>
      <w:r>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p>
    <w:p>
      <w:pPr>
        <w:pStyle w:val="FigureCaption"/>
        <w:rPr/>
      </w:pPr>
      <w:r>
        <w:rPr>
          <w:b/>
          <w:bCs/>
        </w:rPr>
        <w:t>Figure 13.</w:t>
      </w:r>
      <w:r>
        <w:rPr/>
        <w:t xml:space="preserve"> The elements of the concrete cast as they are now, having been cleaned and stored in in the basement storage area on the </w:t>
      </w:r>
      <w:bookmarkStart w:id="25" w:name="__DdeLink__701_18172334461"/>
      <w:r>
        <w:rPr/>
        <w:t>Utah State University Eastern campus</w:t>
      </w:r>
      <w:bookmarkEnd w:id="25"/>
      <w:r>
        <w:rPr/>
        <w:t xml:space="preserve"> in Price, Utah.</w:t>
      </w:r>
    </w:p>
    <w:p>
      <w:pPr>
        <w:pStyle w:val="FigureCaption"/>
        <w:rPr/>
      </w:pPr>
      <w:r>
        <w:rPr/>
      </w:r>
      <w:r>
        <w:br w:type="page"/>
      </w:r>
    </w:p>
    <w:p>
      <w:pPr>
        <w:pStyle w:val="Heading1"/>
        <w:rPr/>
      </w:pPr>
      <w:bookmarkStart w:id="26" w:name="__RefHeading___Toc4426_1817233446"/>
      <w:bookmarkEnd w:id="26"/>
      <w:r>
        <w:rPr/>
        <w:t>Tables</w:t>
      </w:r>
    </w:p>
    <w:p>
      <w:pPr>
        <w:pStyle w:val="TextBody"/>
        <w:rPr/>
      </w:pPr>
      <w:r>
        <w:rPr>
          <w:b/>
          <w:bCs/>
        </w:rPr>
        <w:t>Table 1.</w:t>
      </w:r>
      <w:r>
        <w:rPr/>
        <w:t xml:space="preserve"> Casts made from the molds taken from the concrete </w:t>
      </w:r>
      <w:r>
        <w:rPr>
          <w:i/>
        </w:rPr>
        <w:t>Diplodocus</w:t>
      </w:r>
      <w:r>
        <w:rPr/>
        <w:t xml:space="preserve"> of Vernal. This table represents a synthesis of three sources of information: a list maintained by Dinolab and forwarded by Brian D. Curtice; James H. Madsen’s (1993) memorandum to Mary Dawson (Carnegie Museum) and Alden H. Hamlin (Utah Field House); and an accounting made by Dinolab to Steve Sroka shortly after he started work at the Field House (Dinolab 2001). The first of these lists specific cities that the casts were sent to, includes dates, and extends to #13; the second lists only the first four casts, lists clients, gives regions rather than cites, and notes what royalties were paid; the third notes where payments were made “in kind” as contribution towards the cost of a </w:t>
      </w:r>
      <w:r>
        <w:rPr>
          <w:i/>
          <w:iCs/>
        </w:rPr>
        <w:t>Stegosaurus</w:t>
      </w:r>
      <w:r>
        <w:rPr/>
        <w:t xml:space="preserve"> cast.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Look w:val="0000" w:noVBand="0" w:noHBand="0" w:lastColumn="0" w:firstColumn="0" w:lastRow="0" w:firstRow="0"/>
      </w:tblPr>
      <w:tblGrid>
        <w:gridCol w:w="559"/>
        <w:gridCol w:w="1366"/>
        <w:gridCol w:w="1482"/>
        <w:gridCol w:w="1071"/>
        <w:gridCol w:w="1078"/>
        <w:gridCol w:w="966"/>
        <w:gridCol w:w="1926"/>
        <w:gridCol w:w="1188"/>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6" w:type="dxa"/>
            <w:tcBorders/>
          </w:tcPr>
          <w:p>
            <w:pPr>
              <w:pStyle w:val="TextBody"/>
              <w:widowControl w:val="false"/>
              <w:spacing w:before="0" w:after="140"/>
              <w:rPr>
                <w:b/>
                <w:b/>
                <w:bCs/>
                <w:sz w:val="22"/>
                <w:szCs w:val="22"/>
              </w:rPr>
            </w:pPr>
            <w:r>
              <w:rPr>
                <w:b/>
                <w:bCs/>
                <w:sz w:val="22"/>
                <w:szCs w:val="22"/>
              </w:rPr>
              <w:t>Date</w:t>
            </w:r>
          </w:p>
        </w:tc>
        <w:tc>
          <w:tcPr>
            <w:tcW w:w="1482" w:type="dxa"/>
            <w:tcBorders/>
          </w:tcPr>
          <w:p>
            <w:pPr>
              <w:pStyle w:val="TextBody"/>
              <w:widowControl w:val="false"/>
              <w:spacing w:before="0" w:after="140"/>
              <w:rPr>
                <w:b/>
                <w:b/>
                <w:bCs/>
                <w:sz w:val="22"/>
                <w:szCs w:val="22"/>
              </w:rPr>
            </w:pPr>
            <w:r>
              <w:rPr>
                <w:b/>
                <w:bCs/>
                <w:sz w:val="22"/>
                <w:szCs w:val="22"/>
              </w:rPr>
              <w:t>Client</w:t>
            </w:r>
          </w:p>
        </w:tc>
        <w:tc>
          <w:tcPr>
            <w:tcW w:w="1071" w:type="dxa"/>
            <w:tcBorders/>
          </w:tcPr>
          <w:p>
            <w:pPr>
              <w:pStyle w:val="TextBody"/>
              <w:widowControl w:val="false"/>
              <w:spacing w:before="0" w:after="140"/>
              <w:rPr>
                <w:b/>
                <w:b/>
                <w:bCs/>
                <w:sz w:val="22"/>
                <w:szCs w:val="22"/>
              </w:rPr>
            </w:pPr>
            <w:r>
              <w:rPr>
                <w:b/>
                <w:bCs/>
                <w:sz w:val="22"/>
                <w:szCs w:val="22"/>
              </w:rPr>
              <w:t>City</w:t>
            </w:r>
          </w:p>
        </w:tc>
        <w:tc>
          <w:tcPr>
            <w:tcW w:w="1078" w:type="dxa"/>
            <w:tcBorders/>
          </w:tcPr>
          <w:p>
            <w:pPr>
              <w:pStyle w:val="TextBody"/>
              <w:widowControl w:val="false"/>
              <w:spacing w:before="0" w:after="140"/>
              <w:rPr>
                <w:b/>
                <w:b/>
                <w:bCs/>
                <w:sz w:val="22"/>
                <w:szCs w:val="22"/>
              </w:rPr>
            </w:pPr>
            <w:r>
              <w:rPr>
                <w:b/>
                <w:bCs/>
                <w:sz w:val="22"/>
                <w:szCs w:val="22"/>
              </w:rPr>
              <w:t>Region</w:t>
            </w:r>
          </w:p>
        </w:tc>
        <w:tc>
          <w:tcPr>
            <w:tcW w:w="966" w:type="dxa"/>
            <w:tcBorders/>
          </w:tcPr>
          <w:p>
            <w:pPr>
              <w:pStyle w:val="TextBody"/>
              <w:widowControl w:val="false"/>
              <w:spacing w:before="0" w:after="140"/>
              <w:rPr>
                <w:b/>
                <w:b/>
                <w:bCs/>
                <w:sz w:val="22"/>
                <w:szCs w:val="22"/>
              </w:rPr>
            </w:pPr>
            <w:r>
              <w:rPr>
                <w:b/>
                <w:bCs/>
                <w:sz w:val="22"/>
                <w:szCs w:val="22"/>
              </w:rPr>
              <w:t>Country</w:t>
            </w:r>
          </w:p>
        </w:tc>
        <w:tc>
          <w:tcPr>
            <w:tcW w:w="3114"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6" w:type="dxa"/>
            <w:tcBorders/>
          </w:tcPr>
          <w:p>
            <w:pPr>
              <w:pStyle w:val="TextBody"/>
              <w:widowControl w:val="false"/>
              <w:spacing w:before="0" w:after="140"/>
              <w:rPr>
                <w:b/>
                <w:b/>
                <w:bCs/>
                <w:sz w:val="22"/>
                <w:szCs w:val="22"/>
              </w:rPr>
            </w:pPr>
            <w:r>
              <w:rPr>
                <w:b/>
                <w:bCs/>
                <w:sz w:val="22"/>
                <w:szCs w:val="22"/>
              </w:rPr>
            </w:r>
          </w:p>
        </w:tc>
        <w:tc>
          <w:tcPr>
            <w:tcW w:w="1482" w:type="dxa"/>
            <w:tcBorders/>
          </w:tcPr>
          <w:p>
            <w:pPr>
              <w:pStyle w:val="TextBody"/>
              <w:widowControl w:val="false"/>
              <w:spacing w:before="0" w:after="140"/>
              <w:rPr>
                <w:b/>
                <w:b/>
                <w:bCs/>
                <w:sz w:val="22"/>
                <w:szCs w:val="22"/>
              </w:rPr>
            </w:pPr>
            <w:r>
              <w:rPr>
                <w:b/>
                <w:bCs/>
                <w:sz w:val="22"/>
                <w:szCs w:val="22"/>
              </w:rPr>
            </w:r>
          </w:p>
        </w:tc>
        <w:tc>
          <w:tcPr>
            <w:tcW w:w="1071" w:type="dxa"/>
            <w:tcBorders/>
          </w:tcPr>
          <w:p>
            <w:pPr>
              <w:pStyle w:val="TextBody"/>
              <w:widowControl w:val="false"/>
              <w:spacing w:before="0" w:after="140"/>
              <w:rPr>
                <w:b/>
                <w:b/>
                <w:bCs/>
                <w:sz w:val="22"/>
                <w:szCs w:val="22"/>
              </w:rPr>
            </w:pPr>
            <w:r>
              <w:rPr>
                <w:b/>
                <w:bCs/>
                <w:sz w:val="22"/>
                <w:szCs w:val="22"/>
              </w:rPr>
            </w:r>
          </w:p>
        </w:tc>
        <w:tc>
          <w:tcPr>
            <w:tcW w:w="1078" w:type="dxa"/>
            <w:tcBorders/>
          </w:tcPr>
          <w:p>
            <w:pPr>
              <w:pStyle w:val="TextBody"/>
              <w:widowControl w:val="false"/>
              <w:spacing w:before="0" w:after="140"/>
              <w:rPr>
                <w:b/>
                <w:b/>
                <w:bCs/>
                <w:sz w:val="22"/>
                <w:szCs w:val="22"/>
              </w:rPr>
            </w:pPr>
            <w:r>
              <w:rPr>
                <w:b/>
                <w:bCs/>
                <w:sz w:val="22"/>
                <w:szCs w:val="22"/>
              </w:rPr>
            </w:r>
          </w:p>
        </w:tc>
        <w:tc>
          <w:tcPr>
            <w:tcW w:w="966" w:type="dxa"/>
            <w:tcBorders/>
          </w:tcPr>
          <w:p>
            <w:pPr>
              <w:pStyle w:val="TextBody"/>
              <w:widowControl w:val="false"/>
              <w:spacing w:before="0" w:after="140"/>
              <w:rPr>
                <w:b/>
                <w:b/>
                <w:bCs/>
                <w:sz w:val="22"/>
                <w:szCs w:val="22"/>
              </w:rPr>
            </w:pPr>
            <w:r>
              <w:rPr>
                <w:b/>
                <w:bCs/>
                <w:sz w:val="22"/>
                <w:szCs w:val="22"/>
              </w:rPr>
            </w:r>
          </w:p>
        </w:tc>
        <w:tc>
          <w:tcPr>
            <w:tcW w:w="1926" w:type="dxa"/>
            <w:tcBorders/>
          </w:tcPr>
          <w:p>
            <w:pPr>
              <w:pStyle w:val="TextBody"/>
              <w:widowControl w:val="false"/>
              <w:spacing w:before="0" w:after="140"/>
              <w:rPr>
                <w:b/>
                <w:b/>
                <w:bCs/>
                <w:sz w:val="22"/>
                <w:szCs w:val="22"/>
              </w:rPr>
            </w:pPr>
            <w:r>
              <w:rPr>
                <w:b/>
                <w:bCs/>
                <w:sz w:val="22"/>
                <w:szCs w:val="22"/>
              </w:rPr>
              <w:t>Field House</w:t>
            </w:r>
          </w:p>
        </w:tc>
        <w:tc>
          <w:tcPr>
            <w:tcW w:w="1188"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6" w:type="dxa"/>
            <w:tcBorders/>
          </w:tcPr>
          <w:p>
            <w:pPr>
              <w:pStyle w:val="TextBody"/>
              <w:widowControl w:val="false"/>
              <w:spacing w:before="0" w:after="140"/>
              <w:rPr>
                <w:sz w:val="22"/>
                <w:szCs w:val="22"/>
              </w:rPr>
            </w:pPr>
            <w:r>
              <w:rPr>
                <w:sz w:val="22"/>
                <w:szCs w:val="22"/>
              </w:rPr>
              <w:t>January 1990</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Odawara</w:t>
            </w:r>
          </w:p>
        </w:tc>
        <w:tc>
          <w:tcPr>
            <w:tcW w:w="1078" w:type="dxa"/>
            <w:tcBorders/>
          </w:tcPr>
          <w:p>
            <w:pPr>
              <w:pStyle w:val="TextBody"/>
              <w:widowControl w:val="false"/>
              <w:spacing w:before="0" w:after="140"/>
              <w:rPr>
                <w:sz w:val="22"/>
                <w:szCs w:val="22"/>
              </w:rPr>
            </w:pPr>
            <w:r>
              <w:rPr>
                <w:sz w:val="22"/>
                <w:szCs w:val="22"/>
              </w:rPr>
              <w:t>Kanagawa</w:t>
            </w:r>
          </w:p>
        </w:tc>
        <w:tc>
          <w:tcPr>
            <w:tcW w:w="966" w:type="dxa"/>
            <w:tcBorders/>
          </w:tcPr>
          <w:p>
            <w:pPr>
              <w:pStyle w:val="TextBody"/>
              <w:widowControl w:val="false"/>
              <w:spacing w:before="0" w:after="140"/>
              <w:rPr>
                <w:sz w:val="22"/>
                <w:szCs w:val="22"/>
              </w:rPr>
            </w:pPr>
            <w:r>
              <w:rPr>
                <w:sz w:val="22"/>
                <w:szCs w:val="22"/>
              </w:rPr>
              <w:t>Japan</w:t>
            </w:r>
          </w:p>
        </w:tc>
        <w:tc>
          <w:tcPr>
            <w:tcW w:w="1926" w:type="dxa"/>
            <w:tcBorders/>
          </w:tcPr>
          <w:p>
            <w:pPr>
              <w:pStyle w:val="TextBody"/>
              <w:widowControl w:val="false"/>
              <w:spacing w:before="0" w:after="140"/>
              <w:rPr>
                <w:sz w:val="22"/>
                <w:szCs w:val="22"/>
              </w:rPr>
            </w:pPr>
            <w:r>
              <w:rPr>
                <w:sz w:val="22"/>
                <w:szCs w:val="22"/>
              </w:rPr>
              <w:t>$5,000</w:t>
            </w:r>
          </w:p>
        </w:tc>
        <w:tc>
          <w:tcPr>
            <w:tcW w:w="1188"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6" w:type="dxa"/>
            <w:tcBorders/>
          </w:tcPr>
          <w:p>
            <w:pPr>
              <w:pStyle w:val="TextBody"/>
              <w:widowControl w:val="false"/>
              <w:spacing w:before="0" w:after="140"/>
              <w:rPr>
                <w:sz w:val="22"/>
                <w:szCs w:val="22"/>
              </w:rPr>
            </w:pPr>
            <w:r>
              <w:rPr>
                <w:sz w:val="22"/>
                <w:szCs w:val="22"/>
              </w:rPr>
              <w:t>October 1992</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Shiramine</w:t>
            </w:r>
          </w:p>
        </w:tc>
        <w:tc>
          <w:tcPr>
            <w:tcW w:w="1078" w:type="dxa"/>
            <w:tcBorders/>
          </w:tcPr>
          <w:p>
            <w:pPr>
              <w:pStyle w:val="TextBody"/>
              <w:widowControl w:val="false"/>
              <w:spacing w:before="0" w:after="140"/>
              <w:rPr>
                <w:sz w:val="22"/>
                <w:szCs w:val="22"/>
              </w:rPr>
            </w:pPr>
            <w:r>
              <w:rPr>
                <w:sz w:val="22"/>
                <w:szCs w:val="22"/>
              </w:rPr>
              <w:t>Ishikawa</w:t>
            </w:r>
          </w:p>
        </w:tc>
        <w:tc>
          <w:tcPr>
            <w:tcW w:w="966" w:type="dxa"/>
            <w:tcBorders/>
          </w:tcPr>
          <w:p>
            <w:pPr>
              <w:pStyle w:val="TextBody"/>
              <w:widowControl w:val="false"/>
              <w:spacing w:before="0" w:after="140"/>
              <w:rPr>
                <w:sz w:val="22"/>
                <w:szCs w:val="22"/>
              </w:rPr>
            </w:pPr>
            <w:r>
              <w:rPr>
                <w:sz w:val="22"/>
                <w:szCs w:val="22"/>
              </w:rPr>
              <w:t>Japan</w:t>
            </w:r>
          </w:p>
        </w:tc>
        <w:tc>
          <w:tcPr>
            <w:tcW w:w="1926" w:type="dxa"/>
            <w:tcBorders/>
          </w:tcPr>
          <w:p>
            <w:pPr>
              <w:pStyle w:val="TextBody"/>
              <w:widowControl w:val="false"/>
              <w:spacing w:before="0" w:after="140"/>
              <w:rPr>
                <w:sz w:val="22"/>
                <w:szCs w:val="22"/>
              </w:rPr>
            </w:pPr>
            <w:r>
              <w:rPr>
                <w:sz w:val="22"/>
                <w:szCs w:val="22"/>
              </w:rPr>
              <w:t>$5,000</w:t>
            </w:r>
          </w:p>
        </w:tc>
        <w:tc>
          <w:tcPr>
            <w:tcW w:w="1188"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6" w:type="dxa"/>
            <w:tcBorders/>
          </w:tcPr>
          <w:p>
            <w:pPr>
              <w:pStyle w:val="TextBody"/>
              <w:widowControl w:val="false"/>
              <w:spacing w:before="0" w:after="140"/>
              <w:rPr>
                <w:sz w:val="22"/>
                <w:szCs w:val="22"/>
              </w:rPr>
            </w:pPr>
            <w:r>
              <w:rPr>
                <w:sz w:val="22"/>
                <w:szCs w:val="22"/>
              </w:rPr>
              <w:t>May 1992</w:t>
            </w:r>
          </w:p>
        </w:tc>
        <w:tc>
          <w:tcPr>
            <w:tcW w:w="1482" w:type="dxa"/>
            <w:tcBorders/>
          </w:tcPr>
          <w:p>
            <w:pPr>
              <w:pStyle w:val="TextBody"/>
              <w:widowControl w:val="false"/>
              <w:spacing w:before="0" w:after="140"/>
              <w:rPr>
                <w:sz w:val="22"/>
                <w:szCs w:val="22"/>
              </w:rPr>
            </w:pPr>
            <w:r>
              <w:rPr>
                <w:sz w:val="22"/>
                <w:szCs w:val="22"/>
              </w:rPr>
              <w:t>Mitzukoshi</w:t>
            </w:r>
          </w:p>
        </w:tc>
        <w:tc>
          <w:tcPr>
            <w:tcW w:w="2149" w:type="dxa"/>
            <w:gridSpan w:val="2"/>
            <w:tcBorders/>
          </w:tcPr>
          <w:p>
            <w:pPr>
              <w:pStyle w:val="TextBody"/>
              <w:widowControl w:val="false"/>
              <w:spacing w:before="0" w:after="140"/>
              <w:rPr>
                <w:i/>
                <w:i/>
                <w:iCs/>
                <w:sz w:val="22"/>
                <w:szCs w:val="22"/>
              </w:rPr>
            </w:pPr>
            <w:r>
              <w:rPr>
                <w:i/>
                <w:iCs/>
                <w:sz w:val="22"/>
                <w:szCs w:val="22"/>
              </w:rPr>
              <w:t>(Travelling exhibit)</w:t>
            </w:r>
          </w:p>
        </w:tc>
        <w:tc>
          <w:tcPr>
            <w:tcW w:w="966" w:type="dxa"/>
            <w:tcBorders/>
          </w:tcPr>
          <w:p>
            <w:pPr>
              <w:pStyle w:val="TextBody"/>
              <w:widowControl w:val="false"/>
              <w:spacing w:before="0" w:after="140"/>
              <w:rPr>
                <w:sz w:val="22"/>
                <w:szCs w:val="22"/>
              </w:rPr>
            </w:pPr>
            <w:r>
              <w:rPr>
                <w:sz w:val="22"/>
                <w:szCs w:val="22"/>
              </w:rPr>
              <w:t>Japan</w:t>
            </w:r>
          </w:p>
        </w:tc>
        <w:tc>
          <w:tcPr>
            <w:tcW w:w="1926" w:type="dxa"/>
            <w:tcBorders/>
          </w:tcPr>
          <w:p>
            <w:pPr>
              <w:pStyle w:val="TextBody"/>
              <w:widowControl w:val="false"/>
              <w:spacing w:before="0" w:after="140"/>
              <w:rPr>
                <w:sz w:val="22"/>
                <w:szCs w:val="22"/>
              </w:rPr>
            </w:pPr>
            <w:r>
              <w:rPr>
                <w:sz w:val="22"/>
                <w:szCs w:val="22"/>
              </w:rPr>
              <w:t>$5,000</w:t>
            </w:r>
          </w:p>
        </w:tc>
        <w:tc>
          <w:tcPr>
            <w:tcW w:w="1188"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6" w:type="dxa"/>
            <w:tcBorders/>
          </w:tcPr>
          <w:p>
            <w:pPr>
              <w:pStyle w:val="TextBody"/>
              <w:widowControl w:val="false"/>
              <w:spacing w:before="0" w:after="140"/>
              <w:rPr>
                <w:sz w:val="22"/>
                <w:szCs w:val="22"/>
              </w:rPr>
            </w:pPr>
            <w:r>
              <w:rPr>
                <w:sz w:val="22"/>
                <w:szCs w:val="22"/>
              </w:rPr>
              <w:t>June 1992</w:t>
            </w:r>
          </w:p>
        </w:tc>
        <w:tc>
          <w:tcPr>
            <w:tcW w:w="1482" w:type="dxa"/>
            <w:tcBorders/>
          </w:tcPr>
          <w:p>
            <w:pPr>
              <w:pStyle w:val="TextBody"/>
              <w:widowControl w:val="false"/>
              <w:spacing w:before="0" w:after="140"/>
              <w:rPr>
                <w:sz w:val="22"/>
                <w:szCs w:val="22"/>
              </w:rPr>
            </w:pPr>
            <w:r>
              <w:rPr>
                <w:sz w:val="22"/>
                <w:szCs w:val="22"/>
              </w:rPr>
              <w:t>RCI</w:t>
            </w:r>
          </w:p>
        </w:tc>
        <w:tc>
          <w:tcPr>
            <w:tcW w:w="1071" w:type="dxa"/>
            <w:tcBorders/>
          </w:tcPr>
          <w:p>
            <w:pPr>
              <w:pStyle w:val="TextBody"/>
              <w:widowControl w:val="false"/>
              <w:spacing w:before="0" w:after="140"/>
              <w:rPr>
                <w:sz w:val="22"/>
                <w:szCs w:val="22"/>
              </w:rPr>
            </w:pPr>
            <w:r>
              <w:rPr>
                <w:sz w:val="22"/>
                <w:szCs w:val="22"/>
              </w:rPr>
              <w:t>Shimizu</w:t>
            </w:r>
          </w:p>
        </w:tc>
        <w:tc>
          <w:tcPr>
            <w:tcW w:w="1078" w:type="dxa"/>
            <w:tcBorders/>
          </w:tcPr>
          <w:p>
            <w:pPr>
              <w:pStyle w:val="Normal"/>
              <w:widowControl w:val="false"/>
              <w:rPr>
                <w:sz w:val="22"/>
                <w:szCs w:val="22"/>
              </w:rPr>
            </w:pPr>
            <w:r>
              <w:rPr>
                <w:sz w:val="22"/>
                <w:szCs w:val="22"/>
              </w:rPr>
              <w:t>Tokai</w:t>
            </w:r>
          </w:p>
        </w:tc>
        <w:tc>
          <w:tcPr>
            <w:tcW w:w="966" w:type="dxa"/>
            <w:tcBorders/>
          </w:tcPr>
          <w:p>
            <w:pPr>
              <w:pStyle w:val="TextBody"/>
              <w:widowControl w:val="false"/>
              <w:spacing w:before="0" w:after="140"/>
              <w:rPr>
                <w:sz w:val="22"/>
                <w:szCs w:val="22"/>
              </w:rPr>
            </w:pPr>
            <w:r>
              <w:rPr>
                <w:sz w:val="22"/>
                <w:szCs w:val="22"/>
              </w:rPr>
              <w:t>Japan</w:t>
            </w:r>
          </w:p>
        </w:tc>
        <w:tc>
          <w:tcPr>
            <w:tcW w:w="1926" w:type="dxa"/>
            <w:tcBorders/>
          </w:tcPr>
          <w:p>
            <w:pPr>
              <w:pStyle w:val="TextBody"/>
              <w:widowControl w:val="false"/>
              <w:spacing w:before="0" w:after="140"/>
              <w:rPr>
                <w:sz w:val="22"/>
                <w:szCs w:val="22"/>
              </w:rPr>
            </w:pPr>
            <w:r>
              <w:rPr>
                <w:sz w:val="22"/>
                <w:szCs w:val="22"/>
              </w:rPr>
              <w:t>$5,000</w:t>
            </w:r>
          </w:p>
        </w:tc>
        <w:tc>
          <w:tcPr>
            <w:tcW w:w="1188"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6" w:type="dxa"/>
            <w:tcBorders/>
          </w:tcPr>
          <w:p>
            <w:pPr>
              <w:pStyle w:val="TextBody"/>
              <w:widowControl w:val="false"/>
              <w:spacing w:before="0" w:after="140"/>
              <w:rPr>
                <w:sz w:val="22"/>
                <w:szCs w:val="22"/>
              </w:rPr>
            </w:pPr>
            <w:r>
              <w:rPr>
                <w:sz w:val="22"/>
                <w:szCs w:val="22"/>
              </w:rPr>
              <w:t>May 1991</w:t>
            </w:r>
          </w:p>
        </w:tc>
        <w:tc>
          <w:tcPr>
            <w:tcW w:w="1482" w:type="dxa"/>
            <w:tcBorders/>
          </w:tcPr>
          <w:p>
            <w:pPr>
              <w:pStyle w:val="TextBody"/>
              <w:widowControl w:val="false"/>
              <w:spacing w:before="0" w:after="140"/>
              <w:rPr>
                <w:sz w:val="22"/>
                <w:szCs w:val="22"/>
              </w:rPr>
            </w:pPr>
            <w:r>
              <w:rPr>
                <w:sz w:val="22"/>
                <w:szCs w:val="22"/>
              </w:rPr>
              <w:t>Alden Hamblin</w:t>
            </w:r>
          </w:p>
        </w:tc>
        <w:tc>
          <w:tcPr>
            <w:tcW w:w="1071" w:type="dxa"/>
            <w:tcBorders/>
          </w:tcPr>
          <w:p>
            <w:pPr>
              <w:pStyle w:val="TextBody"/>
              <w:widowControl w:val="false"/>
              <w:spacing w:before="0" w:after="140"/>
              <w:rPr>
                <w:sz w:val="22"/>
                <w:szCs w:val="22"/>
              </w:rPr>
            </w:pPr>
            <w:r>
              <w:rPr>
                <w:sz w:val="22"/>
                <w:szCs w:val="22"/>
              </w:rPr>
              <w:t>Vernal</w:t>
            </w:r>
          </w:p>
        </w:tc>
        <w:tc>
          <w:tcPr>
            <w:tcW w:w="1078" w:type="dxa"/>
            <w:tcBorders/>
          </w:tcPr>
          <w:p>
            <w:pPr>
              <w:pStyle w:val="Normal"/>
              <w:widowControl w:val="false"/>
              <w:rPr>
                <w:sz w:val="22"/>
                <w:szCs w:val="22"/>
              </w:rPr>
            </w:pPr>
            <w:r>
              <w:rPr>
                <w:sz w:val="22"/>
                <w:szCs w:val="22"/>
              </w:rPr>
              <w:t>Utah</w:t>
            </w:r>
          </w:p>
        </w:tc>
        <w:tc>
          <w:tcPr>
            <w:tcW w:w="966" w:type="dxa"/>
            <w:tcBorders/>
          </w:tcPr>
          <w:p>
            <w:pPr>
              <w:pStyle w:val="TextBody"/>
              <w:widowControl w:val="false"/>
              <w:spacing w:before="0" w:after="140"/>
              <w:rPr>
                <w:sz w:val="22"/>
                <w:szCs w:val="22"/>
              </w:rPr>
            </w:pPr>
            <w:r>
              <w:rPr>
                <w:sz w:val="22"/>
                <w:szCs w:val="22"/>
              </w:rPr>
              <w:t>USA</w:t>
            </w:r>
          </w:p>
        </w:tc>
        <w:tc>
          <w:tcPr>
            <w:tcW w:w="1926"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8"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6" w:type="dxa"/>
            <w:tcBorders/>
          </w:tcPr>
          <w:p>
            <w:pPr>
              <w:pStyle w:val="TextBody"/>
              <w:widowControl w:val="false"/>
              <w:spacing w:before="0" w:after="140"/>
              <w:rPr>
                <w:sz w:val="22"/>
                <w:szCs w:val="22"/>
              </w:rPr>
            </w:pPr>
            <w:r>
              <w:rPr>
                <w:sz w:val="22"/>
                <w:szCs w:val="22"/>
              </w:rPr>
              <w:t>February 1998</w:t>
            </w:r>
          </w:p>
        </w:tc>
        <w:tc>
          <w:tcPr>
            <w:tcW w:w="1482" w:type="dxa"/>
            <w:tcBorders/>
          </w:tcPr>
          <w:p>
            <w:pPr>
              <w:pStyle w:val="TextBody"/>
              <w:widowControl w:val="false"/>
              <w:spacing w:before="0" w:after="140"/>
              <w:rPr>
                <w:sz w:val="22"/>
                <w:szCs w:val="22"/>
              </w:rPr>
            </w:pPr>
            <w:r>
              <w:rPr>
                <w:sz w:val="22"/>
                <w:szCs w:val="22"/>
              </w:rPr>
              <w:t>Aurora Oval</w:t>
            </w:r>
          </w:p>
        </w:tc>
        <w:tc>
          <w:tcPr>
            <w:tcW w:w="1071" w:type="dxa"/>
            <w:tcBorders/>
          </w:tcPr>
          <w:p>
            <w:pPr>
              <w:pStyle w:val="TextBody"/>
              <w:widowControl w:val="false"/>
              <w:spacing w:before="0" w:after="140"/>
              <w:rPr>
                <w:sz w:val="22"/>
                <w:szCs w:val="22"/>
              </w:rPr>
            </w:pPr>
            <w:r>
              <w:rPr>
                <w:sz w:val="22"/>
                <w:szCs w:val="22"/>
              </w:rPr>
              <w:t>Tokyo</w:t>
            </w:r>
          </w:p>
        </w:tc>
        <w:tc>
          <w:tcPr>
            <w:tcW w:w="1078" w:type="dxa"/>
            <w:tcBorders/>
          </w:tcPr>
          <w:p>
            <w:pPr>
              <w:pStyle w:val="Normal"/>
              <w:widowControl w:val="false"/>
              <w:rPr>
                <w:sz w:val="22"/>
                <w:szCs w:val="22"/>
              </w:rPr>
            </w:pPr>
            <w:r>
              <w:rPr>
                <w:sz w:val="22"/>
                <w:szCs w:val="22"/>
              </w:rPr>
            </w:r>
          </w:p>
        </w:tc>
        <w:tc>
          <w:tcPr>
            <w:tcW w:w="966" w:type="dxa"/>
            <w:tcBorders/>
          </w:tcPr>
          <w:p>
            <w:pPr>
              <w:pStyle w:val="TextBody"/>
              <w:widowControl w:val="false"/>
              <w:spacing w:before="0" w:after="140"/>
              <w:rPr>
                <w:sz w:val="22"/>
                <w:szCs w:val="22"/>
              </w:rPr>
            </w:pPr>
            <w:r>
              <w:rPr>
                <w:sz w:val="22"/>
                <w:szCs w:val="22"/>
              </w:rPr>
              <w:t>Japan</w:t>
            </w:r>
          </w:p>
        </w:tc>
        <w:tc>
          <w:tcPr>
            <w:tcW w:w="1926"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8"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78" w:type="dxa"/>
            <w:tcBorders/>
          </w:tcPr>
          <w:p>
            <w:pPr>
              <w:pStyle w:val="Normal"/>
              <w:widowControl w:val="false"/>
              <w:rPr>
                <w:sz w:val="22"/>
                <w:szCs w:val="22"/>
              </w:rPr>
            </w:pPr>
            <w:r>
              <w:rPr>
                <w:sz w:val="22"/>
                <w:szCs w:val="22"/>
              </w:rPr>
              <w:t>Florida</w:t>
            </w:r>
          </w:p>
        </w:tc>
        <w:tc>
          <w:tcPr>
            <w:tcW w:w="966" w:type="dxa"/>
            <w:tcBorders/>
          </w:tcPr>
          <w:p>
            <w:pPr>
              <w:pStyle w:val="TextBody"/>
              <w:widowControl w:val="false"/>
              <w:spacing w:before="0" w:after="140"/>
              <w:rPr>
                <w:sz w:val="22"/>
                <w:szCs w:val="22"/>
              </w:rPr>
            </w:pPr>
            <w:r>
              <w:rPr>
                <w:sz w:val="22"/>
                <w:szCs w:val="22"/>
              </w:rPr>
              <w:t>USA</w:t>
            </w:r>
          </w:p>
        </w:tc>
        <w:tc>
          <w:tcPr>
            <w:tcW w:w="1926"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8"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78" w:type="dxa"/>
            <w:tcBorders/>
          </w:tcPr>
          <w:p>
            <w:pPr>
              <w:pStyle w:val="Normal"/>
              <w:widowControl w:val="false"/>
              <w:rPr>
                <w:sz w:val="22"/>
                <w:szCs w:val="22"/>
              </w:rPr>
            </w:pPr>
            <w:r>
              <w:rPr>
                <w:sz w:val="22"/>
                <w:szCs w:val="22"/>
              </w:rPr>
              <w:t>Florida</w:t>
            </w:r>
          </w:p>
        </w:tc>
        <w:tc>
          <w:tcPr>
            <w:tcW w:w="966" w:type="dxa"/>
            <w:tcBorders/>
          </w:tcPr>
          <w:p>
            <w:pPr>
              <w:pStyle w:val="TextBody"/>
              <w:widowControl w:val="false"/>
              <w:spacing w:before="0" w:after="140"/>
              <w:rPr>
                <w:sz w:val="22"/>
                <w:szCs w:val="22"/>
              </w:rPr>
            </w:pPr>
            <w:r>
              <w:rPr>
                <w:sz w:val="22"/>
                <w:szCs w:val="22"/>
              </w:rPr>
              <w:t>USA</w:t>
            </w:r>
          </w:p>
        </w:tc>
        <w:tc>
          <w:tcPr>
            <w:tcW w:w="1926"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8"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6" w:type="dxa"/>
            <w:tcBorders/>
          </w:tcPr>
          <w:p>
            <w:pPr>
              <w:pStyle w:val="TextBody"/>
              <w:widowControl w:val="false"/>
              <w:spacing w:before="0" w:after="140"/>
              <w:rPr>
                <w:sz w:val="22"/>
                <w:szCs w:val="22"/>
              </w:rPr>
            </w:pPr>
            <w:r>
              <w:rPr>
                <w:sz w:val="22"/>
                <w:szCs w:val="22"/>
              </w:rPr>
              <w:t>2006</w:t>
            </w:r>
          </w:p>
        </w:tc>
        <w:tc>
          <w:tcPr>
            <w:tcW w:w="1482" w:type="dxa"/>
            <w:tcBorders/>
          </w:tcPr>
          <w:p>
            <w:pPr>
              <w:pStyle w:val="TextBody"/>
              <w:widowControl w:val="false"/>
              <w:spacing w:before="0" w:after="140"/>
              <w:rPr>
                <w:sz w:val="22"/>
                <w:szCs w:val="22"/>
              </w:rPr>
            </w:pPr>
            <w:r>
              <w:rPr>
                <w:sz w:val="22"/>
                <w:szCs w:val="22"/>
              </w:rPr>
              <w:t>The Dinosaur Store</w:t>
            </w:r>
          </w:p>
        </w:tc>
        <w:tc>
          <w:tcPr>
            <w:tcW w:w="1071" w:type="dxa"/>
            <w:tcBorders/>
          </w:tcPr>
          <w:p>
            <w:pPr>
              <w:pStyle w:val="TextBody"/>
              <w:widowControl w:val="false"/>
              <w:spacing w:before="0" w:after="140"/>
              <w:rPr>
                <w:sz w:val="22"/>
                <w:szCs w:val="22"/>
              </w:rPr>
            </w:pPr>
            <w:r>
              <w:rPr>
                <w:sz w:val="22"/>
                <w:szCs w:val="22"/>
              </w:rPr>
              <w:t>Cocoa Beach</w:t>
            </w:r>
          </w:p>
        </w:tc>
        <w:tc>
          <w:tcPr>
            <w:tcW w:w="1078" w:type="dxa"/>
            <w:tcBorders/>
          </w:tcPr>
          <w:p>
            <w:pPr>
              <w:pStyle w:val="Normal"/>
              <w:widowControl w:val="false"/>
              <w:rPr>
                <w:sz w:val="22"/>
                <w:szCs w:val="22"/>
              </w:rPr>
            </w:pPr>
            <w:r>
              <w:rPr>
                <w:sz w:val="22"/>
                <w:szCs w:val="22"/>
              </w:rPr>
              <w:t>Florida</w:t>
            </w:r>
          </w:p>
        </w:tc>
        <w:tc>
          <w:tcPr>
            <w:tcW w:w="966" w:type="dxa"/>
            <w:tcBorders/>
          </w:tcPr>
          <w:p>
            <w:pPr>
              <w:pStyle w:val="TextBody"/>
              <w:widowControl w:val="false"/>
              <w:spacing w:before="0" w:after="140"/>
              <w:rPr>
                <w:sz w:val="22"/>
                <w:szCs w:val="22"/>
              </w:rPr>
            </w:pPr>
            <w:r>
              <w:rPr>
                <w:sz w:val="22"/>
                <w:szCs w:val="22"/>
              </w:rPr>
              <w:t>USA</w:t>
            </w:r>
          </w:p>
        </w:tc>
        <w:tc>
          <w:tcPr>
            <w:tcW w:w="1926" w:type="dxa"/>
            <w:tcBorders/>
          </w:tcPr>
          <w:p>
            <w:pPr>
              <w:pStyle w:val="TextBody"/>
              <w:widowControl w:val="false"/>
              <w:spacing w:before="0" w:after="140"/>
              <w:rPr>
                <w:sz w:val="22"/>
                <w:szCs w:val="22"/>
              </w:rPr>
            </w:pPr>
            <w:r>
              <w:rPr>
                <w:sz w:val="22"/>
                <w:szCs w:val="22"/>
              </w:rPr>
            </w:r>
          </w:p>
        </w:tc>
        <w:tc>
          <w:tcPr>
            <w:tcW w:w="1188" w:type="dxa"/>
            <w:tcBorders/>
          </w:tcPr>
          <w:p>
            <w:pPr>
              <w:pStyle w:val="TextBody"/>
              <w:widowControl w:val="false"/>
              <w:spacing w:before="0" w:after="140"/>
              <w:rPr>
                <w:sz w:val="22"/>
                <w:szCs w:val="22"/>
              </w:rPr>
            </w:pPr>
            <w:r>
              <w:rPr>
                <w:sz w:val="22"/>
                <w:szCs w:val="22"/>
              </w:rPr>
            </w:r>
          </w:p>
        </w:tc>
      </w:tr>
    </w:tbl>
    <w:p>
      <w:pPr>
        <w:pStyle w:val="TextBody"/>
        <w:spacing w:lineRule="auto" w:line="276" w:before="0" w:after="140"/>
        <w:rPr/>
      </w:pPr>
      <w:r>
        <w:rPr/>
      </w:r>
    </w:p>
    <w:sectPr>
      <w:headerReference w:type="default" r:id="rId35"/>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ahoma">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smallCaps/>
      </w:rPr>
      <w:t>p28/28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outlineLvl w:val="0"/>
    </w:pPr>
    <w:rPr>
      <w:bCs/>
      <w:sz w:val="32"/>
      <w:szCs w:val="36"/>
    </w:rPr>
  </w:style>
  <w:style w:type="paragraph" w:styleId="Heading2">
    <w:name w:val="Heading 2"/>
    <w:basedOn w:val="Heading"/>
    <w:next w:val="TextBody"/>
    <w:qFormat/>
    <w:pPr>
      <w:spacing w:before="198" w:after="119"/>
      <w:outlineLvl w:val="1"/>
    </w:pPr>
    <w:rPr>
      <w:rFonts w:eastAsia="Songti SC"/>
      <w:bCs/>
      <w:sz w:val="24"/>
      <w:szCs w:val="36"/>
    </w:rPr>
  </w:style>
  <w:style w:type="paragraph" w:styleId="Heading3">
    <w:name w:val="Heading 3"/>
    <w:basedOn w:val="Heading"/>
    <w:next w:val="TextBody"/>
    <w:qFormat/>
    <w:pPr>
      <w:spacing w:before="142" w:after="142"/>
      <w:outlineLvl w:val="2"/>
    </w:pPr>
    <w:rPr>
      <w:b w:val="false"/>
      <w:bCs/>
      <w:sz w:val="22"/>
    </w:rPr>
  </w:style>
  <w:style w:type="paragraph" w:styleId="Heading4">
    <w:name w:val="Heading 4"/>
    <w:basedOn w:val="Normal"/>
    <w:next w:val="Normal"/>
    <w:link w:val="Heading4Char"/>
    <w:qFormat/>
    <w:pPr>
      <w:keepNext w:val="true"/>
      <w:keepLines/>
      <w:spacing w:before="40" w:after="0"/>
      <w:outlineLvl w:val="3"/>
    </w:pPr>
    <w:rPr>
      <w:rFonts w:ascii="Calibri Light" w:hAnsi="Calibri Light" w:cs="Mangal"/>
      <w:i/>
      <w:iCs/>
      <w:color w:val="2F5496"/>
      <w:szCs w:val="21"/>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rFonts w:ascii="Baskerville" w:hAnsi="Baskerville" w:cs="Mangal"/>
      <w:szCs w:val="18"/>
    </w:rPr>
  </w:style>
  <w:style w:type="character" w:styleId="CommentSubjectChar" w:customStyle="1">
    <w:name w:val="Comment Subject Char"/>
    <w:basedOn w:val="CommentTextChar"/>
    <w:link w:val="Annotationsubject"/>
    <w:qFormat/>
    <w:rPr>
      <w:rFonts w:ascii="Baskerville" w:hAnsi="Baskerville" w:cs="Mangal"/>
      <w:b/>
      <w:bCs/>
      <w:szCs w:val="18"/>
    </w:rPr>
  </w:style>
  <w:style w:type="character" w:styleId="Heading4Char" w:customStyle="1">
    <w:name w:val="Heading 4 Char"/>
    <w:basedOn w:val="DefaultParagraphFont"/>
    <w:link w:val="Heading4"/>
    <w:qFormat/>
    <w:rPr>
      <w:rFonts w:ascii="Calibri Light" w:hAnsi="Calibri Light" w:eastAsia="Songti SC" w:cs="Mangal"/>
      <w:i/>
      <w:iCs/>
      <w:color w:val="2F5496"/>
      <w:sz w:val="24"/>
      <w:szCs w:val="21"/>
    </w:rPr>
  </w:style>
  <w:style w:type="character" w:styleId="Linenumber">
    <w:name w:val="line number"/>
    <w:qFormat/>
    <w:rPr/>
  </w:style>
  <w:style w:type="character" w:styleId="BalloonTextChar" w:customStyle="1">
    <w:name w:val="Balloon Text Char"/>
    <w:basedOn w:val="DefaultParagraphFont"/>
    <w:link w:val="BalloonText"/>
    <w:uiPriority w:val="99"/>
    <w:semiHidden/>
    <w:qFormat/>
    <w:rsid w:val="00ca1f40"/>
    <w:rPr>
      <w:rFonts w:ascii="Tahoma" w:hAnsi="Tahoma" w:cs="Mangal"/>
      <w:sz w:val="16"/>
      <w:szCs w:val="14"/>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paragraph" w:styleId="BalloonText">
    <w:name w:val="Balloon Text"/>
    <w:basedOn w:val="Normal"/>
    <w:link w:val="BalloonTextChar"/>
    <w:uiPriority w:val="99"/>
    <w:semiHidden/>
    <w:unhideWhenUsed/>
    <w:qFormat/>
    <w:rsid w:val="00ca1f4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about:blank" TargetMode="External"/><Relationship Id="rId25" Type="http://schemas.openxmlformats.org/officeDocument/2006/relationships/hyperlink" Target="about:blank" TargetMode="External"/><Relationship Id="rId26" Type="http://schemas.openxmlformats.org/officeDocument/2006/relationships/hyperlink" Target="about:blank" TargetMode="External"/><Relationship Id="rId27" Type="http://schemas.openxmlformats.org/officeDocument/2006/relationships/hyperlink" Target="about:blank" TargetMode="External"/><Relationship Id="rId28" Type="http://schemas.openxmlformats.org/officeDocument/2006/relationships/hyperlink" Target="about:blank" TargetMode="External"/><Relationship Id="rId29" Type="http://schemas.openxmlformats.org/officeDocument/2006/relationships/hyperlink" Target="about:blank" TargetMode="External"/><Relationship Id="rId30" Type="http://schemas.openxmlformats.org/officeDocument/2006/relationships/hyperlink" Target="about:blank" TargetMode="External"/><Relationship Id="rId31" Type="http://schemas.openxmlformats.org/officeDocument/2006/relationships/hyperlink" Target="about:blank" TargetMode="External"/><Relationship Id="rId32" Type="http://schemas.openxmlformats.org/officeDocument/2006/relationships/hyperlink" Target="https://www.spectator.co.uk/article/dippygate-natural-history-museum-s-diplodocus-sacrificed-on-the-commercial-altar" TargetMode="External"/><Relationship Id="rId33" Type="http://schemas.openxmlformats.org/officeDocument/2006/relationships/hyperlink" Target="about:blank" TargetMode="External"/><Relationship Id="rId34" Type="http://schemas.openxmlformats.org/officeDocument/2006/relationships/hyperlink" Target="about:blank"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32756</TotalTime>
  <Application>LibreOffice/7.4.2.3$MacOSX_X86_64 LibreOffice_project/382eef1f22670f7f4118c8c2dd222ec7ad009daf</Application>
  <AppVersion>15.0000</AppVersion>
  <Pages>28</Pages>
  <Words>13557</Words>
  <Characters>71329</Characters>
  <CharactersWithSpaces>84580</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2023-01-19T22:22:20Z</dcterms:modified>
  <cp:revision>785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