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rPr/>
      </w:pPr>
      <w:r>
        <w:rPr/>
      </w:r>
    </w:p>
    <w:p>
      <w:pPr>
        <w:pStyle w:val="Heading1"/>
        <w:numPr>
          <w:ilvl w:val="0"/>
          <w:numId w:val="2"/>
        </w:numPr>
        <w:jc w:val="center"/>
        <w:rPr/>
      </w:pPr>
      <w:r>
        <w:rPr/>
        <w:t>Abstract</w:t>
      </w:r>
    </w:p>
    <w:p>
      <w:pPr>
        <w:pStyle w:val="Abstract"/>
        <w:rPr/>
      </w:pPr>
      <w:r>
        <w:rPr/>
        <w:t>The vertebrae of sauropod dinosaurs have distinctive and complex pneumatic features including fossae and foramina in the sides of their centra. These vary between individuals, serially within individuals, and even between the left and right sides of single vertebrae. This presents a conundrum because bone is usually the least variable material in the vertebrate body. Blood vessels, however, are much more labile, as can be seen in the varied occurrence of vascular foramina in the vertebrae not only of sauropods, but also of birds, crocodilians and mammals. Vascular variation arises in part from the ontogeny of vertebrae, which in their embryonic state are vascularised from within the neural canal: the hand-off from these vessels to others which penetrate from outside is not always completed. In birds, pneumatizing diverticula enter the vertebrae alongside blood vessels, in the vascular foramina that they form, before excavating the surrounding bone into larger pneumatic foramina. We propose that the same was true in sauropods, and that variation of vascularization directly caused variation of pneumatization. In most vertebrae, a single vascular foramen carries both artery and vein, but occasionally these vessels separate and each forms a separate foramen. This explains why in rare cases individual sauropod vertebrae have two pneumatic cavities on a single side: each arises from the vascular foramen formed by either artery or vein.</w:t>
      </w:r>
    </w:p>
    <w:p>
      <w:pPr>
        <w:pStyle w:val="Abstract"/>
        <w:rPr/>
      </w:pPr>
      <w:r>
        <w:rPr/>
      </w:r>
    </w:p>
    <w:p>
      <w:pPr>
        <w:pStyle w:val="Heading1"/>
        <w:numPr>
          <w:ilvl w:val="0"/>
          <w:numId w:val="7"/>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1);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1.</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6"/>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2).</w:t>
      </w:r>
    </w:p>
    <w:p>
      <w:pPr>
        <w:pStyle w:val="Figure"/>
        <w:shd w:val="clear" w:fill="EEEEEE"/>
        <w:rPr/>
      </w:pPr>
      <w:hyperlink r:id="rId4">
        <w:r>
          <w:rPr>
            <w:rStyle w:val="InternetLink"/>
            <w:b/>
            <w:bCs/>
          </w:rPr>
          <w:t>Figure 2.</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In sauropods, too, vascularization is variable along the vertebral sequence (Figure 3) and between sides of an individual vertebra.</w:t>
      </w:r>
    </w:p>
    <w:p>
      <w:pPr>
        <w:pStyle w:val="Figure"/>
        <w:shd w:val="clear" w:fill="EEEEEE"/>
        <w:rPr/>
      </w:pPr>
      <w:hyperlink r:id="rId5">
        <w:r>
          <w:rPr>
            <w:rStyle w:val="InternetLink"/>
            <w:b/>
            <w:bCs/>
          </w:rPr>
          <w:t>Figure 3.</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Why is vascularization so variable?</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TextBody"/>
        <w:rPr/>
      </w:pPr>
      <w:r>
        <w:rPr/>
        <w:t>The fossil record provides additional evidence that pneumatic diverticula follow vascular pathways when pneumatizing the postcranial skeleton. Three observations are of particular relevance: 1. in non-avian theropods, the evolution of pneumaticity in dorsal and sacral vertebrae follows a “neural arch first” pattern (Benson et al. 2012); 2. in basal sauropodomorphs (and possibly other archosaurs) deep, complex fossae ventral to the diapophyses and zygapophyses are among the earliest-evolving correlates of pneumatization (Butler et al. 2012, Yates et al. 2012); 3. in juvenile sauropods, well-developed laminae and fossae are present in the neural arches of dorsal vertebrae before all the centra are pneumatized (Melstrom et al. 2016, Hanik et al. 2017). Why did pneumatization favour the neural arches over the centra in these cases? If pneumatization was governed by simple proximity to the lungs and air sacs, the centra should have been pneumatized first. But since developing diverticula followed the large segmental arteries that serve the spinal cord, it is not surprising that the earliest signs of pneumaticity, both ontogenetically and phylogenetically, should be near the neural canal, low on the neural arch.</w:t>
      </w:r>
    </w:p>
    <w:p>
      <w:pPr>
        <w:pStyle w:val="TextBody"/>
        <w:rPr/>
      </w:pPr>
      <w:r>
        <w:rPr/>
        <w:t xml:space="preserve">The morphogenetic rules governing cervical and caudal pneumatization are less clear than in the torso. In the cervical column, the arteries that supply the spinal cord branch from the paired vertebral arteries, which lie alongside the vertebral centra, and this may explain the “centrum first” pattern of pneumatization in the cervical vertebrae of non-avian theropods (Benson et al. 2012). The caudal vertebrae of juvenile diplodocids are less pneumatic than those of adults (Melstrom et al. 2016, Hanik et al. 2017), and in </w:t>
      </w:r>
      <w:r>
        <w:rPr>
          <w:i/>
          <w:iCs/>
        </w:rPr>
        <w:t>Giraffatitan</w:t>
      </w:r>
      <w:r>
        <w:rPr/>
        <w:t xml:space="preserve"> extensive caudal pneumaticity in present only in large individuals (Wedel and Taylor 2013). These observations suggest that caudal pneumatization in sauropods continued for several years, after the vascular handoff from neural canal arteries to arteries on the external surface of the centrum, possibly explaining the mix of “centrum first” and “arch first” pneumatization observed in sauropod caudal vertebrae.</w:t>
      </w:r>
    </w:p>
    <w:p>
      <w:pPr>
        <w:pStyle w:val="TextBody"/>
        <w:rPr/>
      </w:pPr>
      <w:r>
        <w:rPr/>
        <w:t>It is also notable that paired pneumatic fossae or foramina occur lateral or dorsolateral to the neural canal in every archosaurian clade with postcranial pneumaticity (Figure 4). These fossae and foramina occur in taxa with and without lateral cavities in the centra, and with and without laminated neural arches, so they are probably the most consistent osteological correlates of pneumaticity across non-avian ornithodirans. The consistent appearance of vertebral pneumaticity in areas adjacent to the neural canal corroborates the hypothesis that segmental spinal arteries were crucial in “piloting” pneumatic diverticula as they developed.</w:t>
      </w:r>
    </w:p>
    <w:p>
      <w:pPr>
        <w:pStyle w:val="Figure"/>
        <w:shd w:val="clear" w:fill="EEEEEE"/>
        <w:rPr/>
      </w:pPr>
      <w:hyperlink r:id="rId6">
        <w:r>
          <w:rPr>
            <w:rStyle w:val="VisitedInternetLink"/>
            <w:b/>
            <w:bCs/>
          </w:rPr>
          <w:t>Figure 4.</w:t>
        </w:r>
      </w:hyperlink>
      <w:r>
        <w:rPr/>
        <w:t xml:space="preserve"> Fossae and foramina adjacent to the neural canal in ornithodiran archosaurs. Fossae are shown in dark grey, foramina in black. Neural canals are labelled “nc”. A: Pterosauria, represented by cervical vertebra 9 of </w:t>
      </w:r>
      <w:r>
        <w:rPr>
          <w:i/>
          <w:iCs/>
        </w:rPr>
        <w:t>Pteranodon</w:t>
      </w:r>
      <w:r>
        <w:rPr>
          <w:i w:val="false"/>
          <w:iCs w:val="false"/>
        </w:rPr>
        <w:t xml:space="preserve"> sp. YPM 2767 </w:t>
      </w:r>
      <w:r>
        <w:rPr/>
        <w:t xml:space="preserve">in anterior view (traced from Bennett 2001: figure 42). B: Theropoda, represented by dorsal vertebra 14 of </w:t>
      </w:r>
      <w:r>
        <w:rPr>
          <w:i/>
          <w:iCs/>
        </w:rPr>
        <w:t xml:space="preserve">Allosaurus fragilis </w:t>
      </w:r>
      <w:r>
        <w:rPr>
          <w:i w:val="false"/>
          <w:iCs w:val="false"/>
        </w:rPr>
        <w:t>UUVP 6000</w:t>
      </w:r>
      <w:r>
        <w:rPr>
          <w:i/>
          <w:iCs/>
        </w:rPr>
        <w:t xml:space="preserve"> </w:t>
      </w:r>
      <w:r>
        <w:rPr/>
        <w:t xml:space="preserve">in anterior view (traced from Madsen 1976: plate 23). C: Basal Sauropodomorpha, represented by a posterior dorsal vertebrae of </w:t>
      </w:r>
      <w:r>
        <w:rPr>
          <w:i/>
          <w:iCs/>
        </w:rPr>
        <w:t xml:space="preserve">Aardonyx celestae </w:t>
      </w:r>
      <w:r>
        <w:rPr>
          <w:i w:val="false"/>
          <w:iCs w:val="false"/>
        </w:rPr>
        <w:t xml:space="preserve">BP/1/6566 </w:t>
      </w:r>
      <w:r>
        <w:rPr/>
        <w:t xml:space="preserve">in posterior view (traced from Yates et al. 2012: figure 7). D: Neosauropoda, represented by cervical vertebra 5 of </w:t>
      </w:r>
      <w:r>
        <w:rPr>
          <w:i/>
          <w:iCs/>
        </w:rPr>
        <w:t xml:space="preserve">Diplodocus carnegii </w:t>
      </w:r>
      <w:r>
        <w:rPr>
          <w:i w:val="false"/>
          <w:iCs w:val="false"/>
        </w:rPr>
        <w:t>CM 84 in posterior view (traced from Hatcher 1901: plate 6).</w:t>
      </w:r>
    </w:p>
    <w:p>
      <w:pPr>
        <w:pStyle w:val="Heading1"/>
        <w:numPr>
          <w:ilvl w:val="0"/>
          <w:numId w:val="5"/>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3).</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5): the two vascular foramina carrying artery and vein were each followed by a pneumatic diverticulum and each developed into a pneumatic fossa.</w:t>
      </w:r>
    </w:p>
    <w:p>
      <w:pPr>
        <w:pStyle w:val="Figure"/>
        <w:shd w:val="clear" w:color="auto" w:fill="EEEEEE"/>
        <w:rPr/>
      </w:pPr>
      <w:hyperlink r:id="rId7">
        <w:r>
          <w:rPr>
            <w:rStyle w:val="InternetLink"/>
            <w:b/>
            <w:bCs/>
          </w:rPr>
          <w:t xml:space="preserve">Figure 5. </w:t>
        </w:r>
      </w:hyperlink>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6).</w:t>
      </w:r>
    </w:p>
    <w:p>
      <w:pPr>
        <w:pStyle w:val="Figure"/>
        <w:rPr/>
      </w:pPr>
      <w:hyperlink r:id="rId8">
        <w:r>
          <w:rPr>
            <w:rStyle w:val="InternetLink"/>
            <w:b/>
            <w:bCs/>
          </w:rPr>
          <w:t>Figure 6.</w:t>
        </w:r>
      </w:hyperlink>
      <w:r>
        <w:rPr>
          <w:i/>
          <w:iCs/>
        </w:rPr>
        <w:t xml:space="preserve"> </w:t>
      </w:r>
      <w:r>
        <w:rPr>
          <w:i w:val="false"/>
          <w:iCs w:val="false"/>
        </w:rPr>
        <w:t xml:space="preserve">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4"/>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3"/>
        </w:numPr>
        <w:rPr>
          <w:b/>
          <w:b/>
          <w:bCs/>
        </w:rPr>
      </w:pPr>
      <w:r>
        <w:rPr/>
        <w:t>Museum Abbreviations</w:t>
      </w:r>
    </w:p>
    <w:p>
      <w:pPr>
        <w:pStyle w:val="TextBody"/>
        <w:rPr/>
      </w:pPr>
      <w:r>
        <w:rPr/>
        <w:t>BP — Bernard Price Institute (Palaeontology), University of the Witwatersrand, Johannesburg, South Africa.</w:t>
      </w:r>
    </w:p>
    <w:p>
      <w:pPr>
        <w:pStyle w:val="TextBody"/>
        <w:rPr/>
      </w:pPr>
      <w:r>
        <w:rPr/>
        <w:t>CM — Carnegie Museum of Natural History, Pittsburgh, Pennsylvania, USA.</w:t>
      </w:r>
    </w:p>
    <w:p>
      <w:pPr>
        <w:pStyle w:val="TextBody"/>
        <w:rPr/>
      </w:pPr>
      <w:r>
        <w:rPr/>
        <w:t>LACM — Natural History Museum of Los Angeles County, Los Angeles, California, USA.</w:t>
      </w:r>
    </w:p>
    <w:p>
      <w:pPr>
        <w:pStyle w:val="TextBody"/>
        <w:rPr/>
      </w:pPr>
      <w:r>
        <w:rPr/>
        <w:t xml:space="preserve">MB.R. — </w:t>
      </w:r>
      <w:r>
        <w:rPr>
          <w:lang w:val="en-GB"/>
        </w:rPr>
        <w:t>Museum für Naturkunde Berlin, Berlin, Germany (fossil reptile collection).</w:t>
      </w:r>
    </w:p>
    <w:p>
      <w:pPr>
        <w:pStyle w:val="TextBody"/>
        <w:rPr/>
      </w:pPr>
      <w:r>
        <w:rPr/>
        <w:t>NHMUK — Natural History Museum, London, United Kingdom.</w:t>
      </w:r>
    </w:p>
    <w:p>
      <w:pPr>
        <w:pStyle w:val="TextBody"/>
        <w:rPr/>
      </w:pPr>
      <w:r>
        <w:rPr/>
        <w:t>UUVP — Natural History Museum of Utah, Salt Lake City, Utah, USA.</w:t>
      </w:r>
    </w:p>
    <w:p>
      <w:pPr>
        <w:pStyle w:val="TextBody"/>
        <w:rPr/>
      </w:pPr>
      <w:r>
        <w:rPr/>
        <w:t>YPM — Yale Peabody Museum of Natural History, New Haven, Connecticut, USA.</w:t>
      </w:r>
    </w:p>
    <w:p>
      <w:pPr>
        <w:pStyle w:val="Heading1"/>
        <w:numPr>
          <w:ilvl w:val="0"/>
          <w:numId w:val="3"/>
        </w:numPr>
        <w:rPr/>
      </w:pPr>
      <w:r>
        <w:rPr/>
        <w:t>Acknowledgements</w:t>
      </w:r>
    </w:p>
    <w:p>
      <w:pPr>
        <w:pStyle w:val="TextBody"/>
        <w:rPr/>
      </w:pPr>
      <w:r>
        <w:rPr/>
        <w:t>We thank the curators and collections managers at the Museum of Natural History of Los Angeles County, Museum für Naturkunde Berlin, Natural History Museum, London, and Yale Peabody Museum for access to specimens.</w:t>
      </w:r>
    </w:p>
    <w:p>
      <w:pPr>
        <w:pStyle w:val="Heading1"/>
        <w:numPr>
          <w:ilvl w:val="0"/>
          <w:numId w:val="7"/>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Bennett, S. Christopher, 2001. The osteology and functional morphology of the Late Cretaceous pterosaur </w:t>
      </w:r>
      <w:r>
        <w:rPr>
          <w:i/>
          <w:iCs/>
        </w:rPr>
        <w:t xml:space="preserve">Pteranodon, </w:t>
      </w:r>
      <w:r>
        <w:rPr/>
        <w:t xml:space="preserve">Part I. General description of osteology. </w:t>
      </w:r>
      <w:r>
        <w:rPr>
          <w:i/>
          <w:iCs/>
        </w:rPr>
        <w:t>Palaeontographica Abteilung A</w:t>
      </w:r>
      <w:r>
        <w:rPr/>
        <w:t xml:space="preserve"> </w:t>
      </w:r>
      <w:r>
        <w:rPr>
          <w:b/>
          <w:bCs/>
        </w:rPr>
        <w:t>260</w:t>
      </w:r>
      <w:r>
        <w:rPr/>
        <w:t>:1–112.</w:t>
      </w:r>
    </w:p>
    <w:p>
      <w:pPr>
        <w:pStyle w:val="Reference"/>
        <w:rPr/>
      </w:pPr>
      <w:r>
        <w:rPr/>
        <w:t xml:space="preserve">Benson, Roger B., Richard J. Butler, Matthew T. Carrano and Patrick M. O’Connor. 2012. Air‐filled postcranial bones in theropod dinosaurs: physiological implications and the “reptile”–bird transition. </w:t>
      </w:r>
      <w:r>
        <w:rPr>
          <w:i/>
          <w:iCs/>
        </w:rPr>
        <w:t>Biological Reviews</w:t>
      </w:r>
      <w:r>
        <w:rPr/>
        <w:t xml:space="preserve"> </w:t>
      </w:r>
      <w:r>
        <w:rPr>
          <w:b/>
          <w:bCs/>
        </w:rPr>
        <w:t>87(1)</w:t>
      </w:r>
      <w:r>
        <w:rPr/>
        <w:t>:168–193.</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Hanik, Gina M., Matthew C. Lamanna and John A. Whitlock. 2017. A juvenile specimen of </w:t>
      </w:r>
      <w:r>
        <w:rPr>
          <w:i/>
          <w:iCs/>
        </w:rPr>
        <w:t xml:space="preserve">Barosaurus </w:t>
      </w:r>
      <w:r>
        <w:rPr/>
        <w:t xml:space="preserve">Marsh, 1890 (Sauropoda: Diplodocidae) from the Upper Jurassic Morrison Formation of Dinosaur National Monument, Utah, USA. </w:t>
      </w:r>
      <w:r>
        <w:rPr>
          <w:i/>
          <w:iCs/>
        </w:rPr>
        <w:t>Annals of Carnegie Museum</w:t>
      </w:r>
      <w:r>
        <w:rPr/>
        <w:t xml:space="preserve"> </w:t>
      </w:r>
      <w:r>
        <w:rPr>
          <w:b/>
          <w:bCs/>
        </w:rPr>
        <w:t>84(3)</w:t>
      </w:r>
      <w:r>
        <w:rPr/>
        <w:t>:253–263.</w:t>
      </w:r>
    </w:p>
    <w:p>
      <w:pPr>
        <w:pStyle w:val="Reference"/>
        <w:rPr/>
      </w:pPr>
      <w:r>
        <w:rPr>
          <w:b w:val="false"/>
          <w:bCs w:val="false"/>
          <w:i w:val="false"/>
          <w:iCs w:val="false"/>
          <w:color w:val="333333"/>
          <w:sz w:val="24"/>
          <w:szCs w:val="24"/>
          <w:lang w:val="en-GB"/>
        </w:rPr>
        <w:t xml:space="preserve">Hatcher Jonathan B. 1901. </w:t>
      </w:r>
      <w:r>
        <w:rPr>
          <w:b w:val="false"/>
          <w:bCs w:val="false"/>
          <w:i/>
          <w:iCs/>
          <w:color w:val="333333"/>
          <w:sz w:val="24"/>
          <w:szCs w:val="24"/>
          <w:lang w:val="en-GB"/>
        </w:rPr>
        <w:t xml:space="preserve">Diplodocus </w:t>
      </w:r>
      <w:r>
        <w:rPr>
          <w:b w:val="false"/>
          <w:bCs w:val="false"/>
          <w:i w:val="false"/>
          <w:iCs w:val="false"/>
          <w:color w:val="333333"/>
          <w:sz w:val="24"/>
          <w:szCs w:val="24"/>
          <w:lang w:val="en-GB"/>
        </w:rPr>
        <w:t xml:space="preserve">(Marsh): its osteology, taxonomy and probable habits, with a restoration of the skeleton. </w:t>
      </w:r>
      <w:r>
        <w:rPr>
          <w:b w:val="false"/>
          <w:bCs w:val="false"/>
          <w:i/>
          <w:iCs/>
          <w:color w:val="333333"/>
          <w:sz w:val="24"/>
          <w:szCs w:val="24"/>
          <w:lang w:val="en-GB"/>
        </w:rPr>
        <w:t>Memoirs of the Carnegie Museum</w:t>
      </w:r>
      <w:r>
        <w:rPr>
          <w:b w:val="false"/>
          <w:bCs w:val="false"/>
          <w:i w:val="false"/>
          <w:iCs w:val="false"/>
          <w:color w:val="333333"/>
          <w:sz w:val="24"/>
          <w:szCs w:val="24"/>
          <w:lang w:val="en-GB"/>
        </w:rPr>
        <w:t xml:space="preserve"> </w:t>
      </w:r>
      <w:r>
        <w:rPr>
          <w:b/>
          <w:bCs/>
          <w:i w:val="false"/>
          <w:iCs w:val="false"/>
          <w:color w:val="333333"/>
          <w:sz w:val="24"/>
          <w:szCs w:val="24"/>
          <w:lang w:val="en-GB"/>
        </w:rPr>
        <w:t>1</w:t>
      </w:r>
      <w:r>
        <w:rPr>
          <w:b w:val="false"/>
          <w:bCs w:val="false"/>
          <w:i w:val="false"/>
          <w:iCs w:val="false"/>
          <w:color w:val="333333"/>
          <w:sz w:val="24"/>
          <w:szCs w:val="24"/>
          <w:lang w:val="en-GB"/>
        </w:rPr>
        <w:t>:1–63 and plates I–XIII.</w:t>
      </w:r>
    </w:p>
    <w:p>
      <w:pPr>
        <w:pStyle w:val="Reference"/>
        <w:rPr/>
      </w:pPr>
      <w:r>
        <w:rPr>
          <w:b w:val="false"/>
          <w:bCs w:val="false"/>
          <w:i w:val="false"/>
          <w:iCs w:val="false"/>
          <w:color w:val="333333"/>
          <w:sz w:val="24"/>
          <w:szCs w:val="24"/>
          <w:lang w:val="en-GB"/>
        </w:rPr>
        <w:t xml:space="preserve">Madsen, Jr., James H. 1976. </w:t>
      </w:r>
      <w:r>
        <w:rPr>
          <w:b w:val="false"/>
          <w:bCs w:val="false"/>
          <w:i/>
          <w:iCs/>
          <w:color w:val="333333"/>
          <w:sz w:val="24"/>
          <w:szCs w:val="24"/>
          <w:lang w:val="en-GB"/>
        </w:rPr>
        <w:t>Allosaurus fragilis</w:t>
      </w:r>
      <w:r>
        <w:rPr>
          <w:b w:val="false"/>
          <w:bCs w:val="false"/>
          <w:i w:val="false"/>
          <w:iCs w:val="false"/>
          <w:color w:val="333333"/>
          <w:sz w:val="24"/>
          <w:szCs w:val="24"/>
          <w:lang w:val="en-GB"/>
        </w:rPr>
        <w:t xml:space="preserve">: a revised osteology. </w:t>
      </w:r>
      <w:r>
        <w:rPr>
          <w:b w:val="false"/>
          <w:bCs w:val="false"/>
          <w:i/>
          <w:iCs/>
          <w:color w:val="333333"/>
          <w:sz w:val="24"/>
          <w:szCs w:val="24"/>
          <w:lang w:val="en-GB"/>
        </w:rPr>
        <w:t>Utah Geological and Mining Survey Bulletin</w:t>
      </w:r>
      <w:r>
        <w:rPr>
          <w:b w:val="false"/>
          <w:bCs w:val="false"/>
          <w:i w:val="false"/>
          <w:iCs w:val="false"/>
          <w:color w:val="333333"/>
          <w:sz w:val="24"/>
          <w:szCs w:val="24"/>
          <w:lang w:val="en-GB"/>
        </w:rPr>
        <w:t xml:space="preserve"> </w:t>
      </w:r>
      <w:r>
        <w:rPr>
          <w:b/>
          <w:bCs/>
          <w:i w:val="false"/>
          <w:iCs w:val="false"/>
          <w:color w:val="333333"/>
          <w:sz w:val="24"/>
          <w:szCs w:val="24"/>
          <w:lang w:val="en-GB"/>
        </w:rPr>
        <w:t>109</w:t>
      </w:r>
      <w:r>
        <w:rPr>
          <w:b w:val="false"/>
          <w:bCs w:val="false"/>
          <w:i w:val="false"/>
          <w:iCs w:val="false"/>
          <w:color w:val="333333"/>
          <w:sz w:val="24"/>
          <w:szCs w:val="24"/>
          <w:lang w:val="en-GB"/>
        </w:rPr>
        <w:t>:1–163.</w:t>
      </w:r>
    </w:p>
    <w:p>
      <w:pPr>
        <w:pStyle w:val="Reference"/>
        <w:rPr/>
      </w:pPr>
      <w:r>
        <w:rPr/>
        <w:t xml:space="preserve">McIntosh, John S. 1990. Species determination in sauropod dinosaurs with tentative suggestions for their classification. pp. 53–69 in: K. Carpenter and P .J. Currie (eds.), </w:t>
      </w:r>
      <w:r>
        <w:rPr>
          <w:i/>
          <w:iCs/>
        </w:rPr>
        <w:t>Dinosaur Systematics: Approaches and Perspectives</w:t>
      </w:r>
      <w:r>
        <w:rPr/>
        <w:t>, Cambridge University Press, Cambridge, UK.</w:t>
      </w:r>
    </w:p>
    <w:p>
      <w:pPr>
        <w:pStyle w:val="Reference"/>
        <w:rPr/>
      </w:pPr>
      <w:r>
        <w:rPr>
          <w:b w:val="false"/>
          <w:bCs w:val="false"/>
          <w:i w:val="false"/>
          <w:iCs w:val="false"/>
          <w:color w:val="333333"/>
          <w:sz w:val="24"/>
          <w:szCs w:val="24"/>
          <w:lang w:val="en-GB"/>
        </w:rPr>
        <w:t xml:space="preserve">Melstrom, Keegan M., Michael D. D’Emic, Daniel Chure and Jeffrey A. Wilson. 2016. A juvenile sauropod dinosaur from the Late Jurassic of Utah, USA, presents further evidence of an avian style air-sac system. </w:t>
      </w:r>
      <w:r>
        <w:rPr>
          <w:b w:val="false"/>
          <w:bCs w:val="false"/>
          <w:i/>
          <w:iCs/>
          <w:color w:val="333333"/>
          <w:sz w:val="24"/>
          <w:szCs w:val="24"/>
          <w:lang w:val="en-GB"/>
        </w:rPr>
        <w:t>Journal of Vertebrate Paleontology</w:t>
      </w:r>
      <w:r>
        <w:rPr>
          <w:b w:val="false"/>
          <w:bCs w:val="false"/>
          <w:i w:val="false"/>
          <w:iCs w:val="false"/>
          <w:color w:val="333333"/>
          <w:sz w:val="24"/>
          <w:szCs w:val="24"/>
          <w:lang w:val="en-GB"/>
        </w:rPr>
        <w:t xml:space="preserve"> </w:t>
      </w:r>
      <w:r>
        <w:rPr>
          <w:b/>
          <w:bCs/>
          <w:i w:val="false"/>
          <w:iCs w:val="false"/>
          <w:color w:val="333333"/>
          <w:sz w:val="24"/>
          <w:szCs w:val="24"/>
          <w:lang w:val="en-GB"/>
        </w:rPr>
        <w:t>36(4)</w:t>
      </w:r>
      <w:r>
        <w:rPr>
          <w:b w:val="false"/>
          <w:bCs w:val="false"/>
          <w:i w:val="false"/>
          <w:iCs w:val="false"/>
          <w:color w:val="333333"/>
          <w:sz w:val="24"/>
          <w:szCs w:val="24"/>
          <w:lang w:val="en-GB"/>
        </w:rPr>
        <w:t>:e1111898. doi:10.1080/02724634.2016.1111898</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rPr/>
      </w:pPr>
      <w:r>
        <w:rPr/>
        <w:t xml:space="preserve">Yates, Adam M., Mathew J. Wedel and Matthew F. Bonnan. 2012. The early evolution of postcranial skeletal pneumaticity in sauropodomorph dinosaurs. </w:t>
      </w:r>
      <w:r>
        <w:rPr>
          <w:i/>
          <w:iCs/>
        </w:rPr>
        <w:t>Acta Palaeontologica Polonica</w:t>
      </w:r>
      <w:r>
        <w:rPr/>
        <w:t xml:space="preserve"> </w:t>
      </w:r>
      <w:r>
        <w:rPr>
          <w:b/>
          <w:bCs/>
        </w:rPr>
        <w:t>57(1)</w:t>
      </w:r>
      <w:r>
        <w:rPr/>
        <w:t>:85–100.</w:t>
      </w:r>
    </w:p>
    <w:p>
      <w:pPr>
        <w:pStyle w:val="Reference"/>
        <w:spacing w:before="0" w:after="142"/>
        <w:ind w:left="283" w:right="0" w:hanging="283"/>
        <w:rPr/>
      </w:pPr>
      <w:r>
        <w:rPr/>
      </w:r>
    </w:p>
    <w:sectPr>
      <w:headerReference w:type="default" r:id="rId9"/>
      <w:headerReference w:type="first" r:id="rId10"/>
      <w:type w:val="nextPage"/>
      <w:pgSz w:w="11906" w:h="16838"/>
      <w:pgMar w:left="1134" w:right="1134" w:header="1134" w:top="1700"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Gill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Taylor and Wedel — Pneumatic variation in sauropods</w:t>
      <w:tab/>
    </w:r>
    <w:r>
      <w:rPr/>
      <w:fldChar w:fldCharType="begin"/>
    </w:r>
    <w:r>
      <w:rPr/>
      <w:instrText> PAGE </w:instrText>
    </w:r>
    <w:r>
      <w:rPr/>
      <w:fldChar w:fldCharType="separate"/>
    </w:r>
    <w:r>
      <w:rPr/>
      <w:t>7</w:t>
    </w:r>
    <w:r>
      <w:rPr/>
      <w:fldChar w:fldCharType="end"/>
    </w:r>
    <w:r>
      <w:rPr/>
      <w:t xml:space="preserve"> of </w:t>
    </w:r>
    <w:r>
      <w:rPr/>
      <w:fldChar w:fldCharType="begin"/>
    </w:r>
    <w:r>
      <w:rPr/>
      <w:instrText> NUMPAGES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character" w:styleId="ListLabel17">
    <w:name w:val="ListLabel 17"/>
    <w:qFormat/>
    <w:rPr/>
  </w:style>
  <w:style w:type="character" w:styleId="ListLabel18">
    <w:name w:val="ListLabel 18"/>
    <w:qFormat/>
    <w:rPr>
      <w:b/>
      <w:bCs/>
    </w:rPr>
  </w:style>
  <w:style w:type="character" w:styleId="Bullets">
    <w:name w:val="Bullets"/>
    <w:qFormat/>
    <w:rPr>
      <w:rFonts w:ascii="OpenSymbol" w:hAnsi="OpenSymbol" w:eastAsia="OpenSymbol" w:cs="OpenSymbol"/>
    </w:rPr>
  </w:style>
  <w:style w:type="character" w:styleId="ListLabel19">
    <w:name w:val="ListLabel 19"/>
    <w:qFormat/>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style>
  <w:style w:type="character" w:styleId="ListLabel23">
    <w:name w:val="ListLabel 23"/>
    <w:qFormat/>
    <w:rPr>
      <w:b/>
      <w:bCs/>
    </w:rPr>
  </w:style>
  <w:style w:type="character" w:styleId="ListLabel24">
    <w:name w:val="ListLabel 24"/>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 w:type="paragraph" w:styleId="Abstract">
    <w:name w:val="Abstract"/>
    <w:basedOn w:val="TextBody"/>
    <w:qFormat/>
    <w:pPr>
      <w:ind w:left="567" w:right="567" w:hanging="0"/>
    </w:pPr>
    <w:rPr/>
  </w:style>
  <w:style w:type="paragraph" w:styleId="Header">
    <w:name w:val="Header"/>
    <w:basedOn w:val="Normal"/>
    <w:pPr>
      <w:suppressLineNumbers/>
      <w:tabs>
        <w:tab w:val="clear" w:pos="709"/>
        <w:tab w:val="center" w:pos="4819" w:leader="none"/>
        <w:tab w:val="right" w:pos="9638" w:leader="none"/>
      </w:tabs>
      <w:ind w:left="0" w:right="0" w:hanging="0"/>
    </w:pPr>
    <w:rPr>
      <w:smallCaps/>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1--Xenoposeidon-bilateral-variation.jpeg" TargetMode="External"/><Relationship Id="rId4" Type="http://schemas.openxmlformats.org/officeDocument/2006/relationships/hyperlink" Target="https://raw.githubusercontent.com/MikeTaylor/palaeo-pv/master/figures/export/figure-2--Tomistoma-caudals-1-13.jpeg" TargetMode="External"/><Relationship Id="rId5" Type="http://schemas.openxmlformats.org/officeDocument/2006/relationships/hyperlink" Target="https://raw.githubusercontent.com/MikeTaylor/palaeo-pv/master/figures/export/figure-3--variable-formamina-in-brontosaurus-tail.jpeg" TargetMode="External"/><Relationship Id="rId6" Type="http://schemas.openxmlformats.org/officeDocument/2006/relationships/hyperlink" Target="https://raw.githubusercontent.com/MikeTaylor/palaeo-pv/master/figures/export/figure-4--peduncular-fossa-comparo.jpg" TargetMode="External"/><Relationship Id="rId7" Type="http://schemas.openxmlformats.org/officeDocument/2006/relationships/hyperlink" Target="https://raw.githubusercontent.com/MikeTaylor/palaeo-pv/master/figures/export/figure-5--Giraffatitan-caudals-24-26.jpeg" TargetMode="External"/><Relationship Id="rId8" Type="http://schemas.openxmlformats.org/officeDocument/2006/relationships/hyperlink" Target="https://raw.githubusercontent.com/MikeTaylor/palaeo-pv/master/figures/export/figure-6--duck-dorsals.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LibreOffice/6.1.3.2$MacOSX_X86_64 LibreOffice_project/86daf60bf00efa86ad547e59e09d6bb77c699acb</Application>
  <Pages>7</Pages>
  <Words>3212</Words>
  <Characters>18214</Characters>
  <CharactersWithSpaces>21330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2021-01-19T20:57:19Z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