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nomenclature</w:t>
          <w:tab/>
          <w:t>3</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Contents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Contents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Contents1"/>
        <w:tabs>
          <w:tab w:val="right" w:pos="9638" w:leader="dot"/>
        </w:tabs>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3403_68767826">
        <w:r>
          <w:rPr>
            <w:rStyle w:val="IndexLink"/>
          </w:rPr>
          <w:t>Acknowledgements</w:t>
          <w:tab/>
          <w:t>9</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11</w:t>
        </w:r>
      </w:hyperlink>
    </w:p>
    <w:p>
      <w:pPr>
        <w:pStyle w:val="Contents1"/>
        <w:tabs>
          <w:tab w:val="right" w:pos="9638" w:leader="dot"/>
        </w:tabs>
        <w:rPr/>
      </w:pPr>
      <w:hyperlink w:anchor="__RefHeading___Toc7266_68767826">
        <w:r>
          <w:rPr>
            <w:rStyle w:val="IndexLink"/>
          </w:rPr>
          <w:t>Tables</w:t>
          <w:tab/>
          <w:t>12</w:t>
        </w:r>
      </w:hyperlink>
    </w:p>
    <w:p>
      <w:pPr>
        <w:pStyle w:val="Contents2"/>
        <w:tabs>
          <w:tab w:val="clear" w:pos="9355"/>
          <w:tab w:val="right" w:pos="9638" w:leader="dot"/>
        </w:tabs>
        <w:rPr/>
      </w:pPr>
      <w:hyperlink w:anchor="__RefHeading___Toc7275_68767826">
        <w:r>
          <w:rPr>
            <w:rStyle w:val="IndexLink"/>
          </w:rPr>
          <w:t>Table A</w:t>
          <w:tab/>
          <w:t>12</w:t>
        </w:r>
      </w:hyperlink>
    </w:p>
    <w:p>
      <w:pPr>
        <w:pStyle w:val="Contents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Anatomical nomenclature</w:t>
      </w:r>
    </w:p>
    <w:p>
      <w:pPr>
        <w:pStyle w:val="TextBody"/>
        <w:rPr/>
      </w:pPr>
      <w:r>
        <w:rPr/>
        <w:t>The following abbreviations are used.</w:t>
      </w:r>
    </w:p>
    <w:p>
      <w:pPr>
        <w:pStyle w:val="TextBody"/>
        <w:numPr>
          <w:ilvl w:val="0"/>
          <w:numId w:val="6"/>
        </w:numPr>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TextBody"/>
        <w:numPr>
          <w:ilvl w:val="0"/>
          <w:numId w:val="5"/>
        </w:numPr>
        <w:rPr/>
      </w:pPr>
      <w:r>
        <w:rPr>
          <w:b/>
          <w:bCs/>
        </w:rPr>
        <w:t>Parapophysis situated anterior to diapophysis</w:t>
      </w:r>
      <w:r>
        <w:rPr/>
        <w:t xml:space="preserve"> so that CRL is inclined forwards as it descends from the diapophysis. </w:t>
      </w:r>
      <w:r>
        <w:rPr/>
        <w:t>(See for example a cervical vertebra of CM 11984 in left lateral view in Stevens (2013:figure 8E).</w:t>
      </w:r>
    </w:p>
    <w:p>
      <w:pPr>
        <w:pStyle w:val="TextBody"/>
        <w:numPr>
          <w:ilvl w:val="0"/>
          <w:numId w:val="5"/>
        </w:numPr>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w:t>
      </w:r>
      <w:r>
        <w:rPr/>
        <w:t>(See for example a cervical vertebra of CM 11984 in left lateral view in Stevens (2013:figure 8E).</w:t>
      </w:r>
    </w:p>
    <w:p>
      <w:pPr>
        <w:pStyle w:val="TextBody"/>
        <w:numPr>
          <w:ilvl w:val="0"/>
          <w:numId w:val="5"/>
        </w:numPr>
        <w:rPr/>
      </w:pPr>
      <w:r>
        <w:rPr>
          <w:b/>
          <w:bCs/>
        </w:rPr>
        <w:t>Posteriorly directed process on diapophyseal process</w:t>
      </w:r>
      <w:r>
        <w:rPr/>
        <w:t xml:space="preserve"> just above CRL, shaped like a rounded triangle. </w:t>
      </w:r>
      <w:r>
        <w:rPr/>
        <w:t>(See for example two cervical vertebrae of CM 11984 in right lateral view in Stevens (2013:figure 8B).</w:t>
      </w:r>
    </w:p>
    <w:p>
      <w:pPr>
        <w:pStyle w:val="TextBody"/>
        <w:numPr>
          <w:ilvl w:val="0"/>
          <w:numId w:val="5"/>
        </w:numPr>
        <w:rPr/>
      </w:pPr>
      <w:r>
        <w:rPr>
          <w:b/>
          <w:bCs/>
        </w:rPr>
        <w:t>Paired low-profile PCDLs</w:t>
      </w:r>
      <w:r>
        <w:rPr>
          <w:b w:val="false"/>
          <w:bCs w:val="false"/>
        </w:rPr>
        <w:t xml:space="preserve"> which radiate backwards and downwards from behind diapophysis.</w:t>
      </w:r>
    </w:p>
    <w:p>
      <w:pPr>
        <w:pStyle w:val="TextBody"/>
        <w:numPr>
          <w:ilvl w:val="0"/>
          <w:numId w:val="5"/>
        </w:numPr>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TextBody"/>
        <w:numPr>
          <w:ilvl w:val="0"/>
          <w:numId w:val="5"/>
        </w:numPr>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TextBody"/>
        <w:numPr>
          <w:ilvl w:val="0"/>
          <w:numId w:val="5"/>
        </w:numPr>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rPr/>
      </w:pPr>
      <w:r>
        <w:rPr>
          <w:b/>
          <w:bCs/>
        </w:rPr>
        <w:t>U-shaped notch between prezygapophyseal rami in dorsal view.</w:t>
      </w:r>
      <w:r>
        <w:rPr/>
        <w:t xml:space="preserve"> XXX I think this one is a wash: see Taylor and Wedel (2016:figure 4) at </w:t>
      </w:r>
      <w:hyperlink r:id="rId4">
        <w:r>
          <w:rPr>
            <w:rStyle w:val="Internet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4" w:name="__RefHeading___Toc3399_68767826"/>
      <w:bookmarkEnd w:id="14"/>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6" w:name="__RefHeading___Toc3401_68767826"/>
      <w:bookmarkEnd w:id="16"/>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7" w:name="__RefHeading___Toc3403_68767826"/>
      <w:bookmarkEnd w:id="17"/>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InternetLink"/>
          </w:rPr>
          <w:t>https://www.thestar.com/business/tech_news/2007/11/14/roms_random_bones_a_jurassic_perk.html</w:t>
        </w:r>
      </w:hyperlink>
      <w:r>
        <w:rPr/>
        <w:t xml:space="preserve">, accessed 9 March 2022. Archived at </w:t>
      </w:r>
      <w:hyperlink r:id="rId6">
        <w:r>
          <w:rPr>
            <w:rStyle w:val="InternetLink"/>
          </w:rPr>
          <w:t>https://web.archive.org/web/20201211011357/https://www.thestar.com/business/tech_news/2007/11/14/roms_random_bones_a_jurassic_perk.html</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TextBody"/>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InternetLink"/>
          </w:rPr>
          <w:t>https://www.rom.on.ca/en/about-us/newsroom/press-releases/massive-barosaurus-skeleton-discovered-at-the-rom</w:t>
        </w:r>
      </w:hyperlink>
      <w:r>
        <w:rPr/>
        <w:t xml:space="preserve">, accessed 9 March 2022. Archived at </w:t>
      </w:r>
      <w:hyperlink r:id="rId8">
        <w:r>
          <w:rPr>
            <w:rStyle w:val="InternetLink"/>
          </w:rPr>
          <w:t>https://web.archive.org/web/20210421171257/https://www.rom.on.ca/en/about-us/newsroom/press-releases/massive-barosaurus-skeleton-discovered-at-the-rom</w:t>
        </w:r>
      </w:hyperlink>
    </w:p>
    <w:p>
      <w:pPr>
        <w:pStyle w:val="Reference"/>
        <w:rPr/>
      </w:pPr>
      <w:r>
        <w:rPr/>
        <w:t>Stevens, K</w:t>
      </w:r>
      <w:r>
        <w:rPr/>
        <w:t xml:space="preserve">ent </w:t>
      </w:r>
      <w:r>
        <w:rPr/>
        <w:t xml:space="preserve">A. 2013. The </w:t>
      </w:r>
      <w:r>
        <w:rPr/>
        <w:t>a</w:t>
      </w:r>
      <w:r>
        <w:rPr/>
        <w:t xml:space="preserve">rticulation of </w:t>
      </w:r>
      <w:r>
        <w:rPr/>
        <w:t>s</w:t>
      </w:r>
      <w:r>
        <w:rPr/>
        <w:t xml:space="preserve">auropod </w:t>
      </w:r>
      <w:r>
        <w:rPr/>
        <w:t>n</w:t>
      </w:r>
      <w:r>
        <w:rPr/>
        <w:t xml:space="preserve">ecks: </w:t>
      </w:r>
      <w:r>
        <w:rPr/>
        <w:t>m</w:t>
      </w:r>
      <w:r>
        <w:rPr/>
        <w:t xml:space="preserve">ethodology and </w:t>
      </w:r>
      <w:r>
        <w:rPr/>
        <w:t>m</w:t>
      </w:r>
      <w:r>
        <w:rPr/>
        <w:t xml:space="preserve">ythology. </w:t>
      </w:r>
      <w:r>
        <w:rPr>
          <w:i/>
          <w:iCs/>
        </w:rPr>
        <w:t>PL</w:t>
      </w:r>
      <w:r>
        <w:rPr>
          <w:i/>
          <w:iCs/>
        </w:rPr>
        <w:t>O</w:t>
      </w:r>
      <w:r>
        <w:rPr>
          <w:i/>
          <w:iCs/>
        </w:rPr>
        <w:t>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Heading1"/>
        <w:numPr>
          <w:ilvl w:val="0"/>
          <w:numId w:val="2"/>
        </w:numPr>
        <w:ind w:left="0" w:right="0" w:hanging="0"/>
        <w:rPr/>
      </w:pPr>
      <w:bookmarkStart w:id="21" w:name="__RefHeading___Toc7266_68767826"/>
      <w:bookmarkEnd w:id="21"/>
      <w:r>
        <w:rPr/>
        <w:t>Tables</w:t>
      </w:r>
    </w:p>
    <w:p>
      <w:pPr>
        <w:pStyle w:val="Heading2"/>
        <w:rPr/>
      </w:pPr>
      <w:bookmarkStart w:id="22" w:name="__RefHeading___Toc7275_68767826"/>
      <w:bookmarkEnd w:id="22"/>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8"/>
        <w:gridCol w:w="1020"/>
        <w:gridCol w:w="1020"/>
        <w:gridCol w:w="1019"/>
        <w:gridCol w:w="1018"/>
        <w:gridCol w:w="1020"/>
        <w:gridCol w:w="1023"/>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3"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3" w:name="__RefHeading___Toc7268_68767826"/>
      <w:bookmarkEnd w:id="23"/>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1"/>
        <w:gridCol w:w="1806"/>
        <w:gridCol w:w="1872"/>
        <w:gridCol w:w="1937"/>
        <w:gridCol w:w="1642"/>
      </w:tblGrid>
      <w:tr>
        <w:trPr/>
        <w:tc>
          <w:tcPr>
            <w:tcW w:w="2381"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7"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2"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1"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1"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1"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2"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1"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1"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4" w:name="__DdeLink__7277_68767826"/>
            <w:r>
              <w:rPr/>
              <w:t>9056</w:t>
            </w:r>
            <w:bookmarkEnd w:id="24"/>
          </w:p>
        </w:tc>
      </w:tr>
      <w:tr>
        <w:trPr/>
        <w:tc>
          <w:tcPr>
            <w:tcW w:w="2381"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2"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1"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1"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1"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7"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2"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i w:val="false"/>
      <w:iCs w:val="false"/>
    </w:rPr>
  </w:style>
  <w:style w:type="character" w:styleId="ListLabel208">
    <w:name w:val="ListLabel 208"/>
    <w:qFormat/>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i w:val="false"/>
      <w:iCs w:val="false"/>
    </w:rPr>
  </w:style>
  <w:style w:type="character" w:styleId="ListLabel237">
    <w:name w:val="ListLabel 23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web.archive.org/web/20201211011357/https://www.thestar.com/business/tech_news/2007/11/14/roms_random_bones_a_jurassic_perk.html"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11898</TotalTime>
  <Application>LibreOffice/6.1.3.2$MacOSX_X86_64 LibreOffice_project/86daf60bf00efa86ad547e59e09d6bb77c699acb</Application>
  <Pages>14</Pages>
  <Words>5808</Words>
  <Characters>31484</Characters>
  <CharactersWithSpaces>36939</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2022-03-10T23:39:53Z</dcterms:modified>
  <cp:revision>135</cp:revision>
  <dc:subject/>
  <dc:title/>
</cp:coreProperties>
</file>