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Giant specimens of the sauropod dinosaur </w:t>
      </w:r>
      <w:r>
        <w:rPr>
          <w:i/>
          <w:iCs/>
        </w:rPr>
        <w:t>Barosaurus</w:t>
      </w:r>
      <w:r>
        <w:rPr/>
        <w:t xml:space="preserve"> from Utah and Colorado, USA</w:t>
      </w:r>
    </w:p>
    <w:p>
      <w:pPr>
        <w:pStyle w:val="Author"/>
        <w:rPr/>
      </w:pPr>
      <w:r>
        <w:rPr>
          <w:i w:val="false"/>
          <w:iCs w:val="false"/>
        </w:rPr>
        <w:t xml:space="preserve">Michael P. Taylor. Department of Earth Sciences, University of Bristol, Bristol BS8 1RJ, UK. </w:t>
      </w:r>
      <w:hyperlink r:id="rId2">
        <w:r>
          <w:rPr>
            <w:rStyle w:val="Hyper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Hyper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w:t>
      </w:r>
      <w:r>
        <w:rPr>
          <w:i w:val="false"/>
          <w:iCs w:val="false"/>
        </w:rPr>
        <w:t>can be identified as bel</w:t>
      </w:r>
      <w:r>
        <w:rPr>
          <w:i w:val="false"/>
          <w:iCs w:val="false"/>
        </w:rPr>
        <w:t>o</w:t>
      </w:r>
      <w:r>
        <w:rPr>
          <w:i w:val="false"/>
          <w:iCs w:val="false"/>
        </w:rPr>
        <w:t>nging to</w:t>
      </w:r>
      <w:r>
        <w:rPr>
          <w:i w:val="false"/>
          <w:iCs w:val="false"/>
        </w:rPr>
        <w:t xml:space="preserve">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w:t>
      </w:r>
      <w:r>
        <w:rPr>
          <w:i w:val="false"/>
          <w:iCs w:val="false"/>
        </w:rPr>
        <w:t xml:space="preserve">probably </w:t>
      </w:r>
      <w:r>
        <w:rPr>
          <w:i w:val="false"/>
          <w:iCs w:val="false"/>
        </w:rPr>
        <w:t xml:space="preserve">C9, </w:t>
      </w:r>
      <w:r>
        <w:rPr>
          <w:i w:val="false"/>
          <w:iCs w:val="false"/>
        </w:rPr>
        <w:t xml:space="preserve">C10 or </w:t>
      </w:r>
      <w:r>
        <w:rPr>
          <w:i w:val="false"/>
          <w:iCs w:val="false"/>
        </w:rPr>
        <w:t>C11. The centra of the AMNH cervicals C9–11 are 685, 737 and 775 mm long. That of vertebra C measures 1220 mm, making it 1.57–1.78 times longer. This suggests a neck length of 13.</w:t>
      </w:r>
      <w:r>
        <w:rPr>
          <w:i w:val="false"/>
          <w:iCs w:val="false"/>
        </w:rPr>
        <w:t>7</w:t>
      </w:r>
      <w:r>
        <w:rPr>
          <w:i w:val="false"/>
          <w:iCs w:val="false"/>
        </w:rPr>
        <w:t>–15.</w:t>
      </w:r>
      <w:r>
        <w:rPr>
          <w:i w:val="false"/>
          <w:iCs w:val="false"/>
        </w:rPr>
        <w:t>6</w:t>
      </w:r>
      <w:r>
        <w:rPr>
          <w:i w:val="false"/>
          <w:iCs w:val="false"/>
        </w:rPr>
        <w:t xml:space="preserve"> m based on the established length of 8.</w:t>
      </w:r>
      <w:r>
        <w:rPr>
          <w:i w:val="false"/>
          <w:iCs w:val="false"/>
        </w:rPr>
        <w:t>7</w:t>
      </w:r>
      <w:r>
        <w:rPr>
          <w:i w:val="false"/>
          <w:iCs w:val="false"/>
        </w:rPr>
        <w:t>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w:t>
      </w:r>
      <w:r>
        <w:rPr>
          <w:i w:val="false"/>
          <w:iCs w:val="false"/>
        </w:rPr>
        <w:t>5</w:t>
      </w:r>
      <w:r>
        <w:rPr>
          <w:i w:val="false"/>
          <w:iCs w:val="false"/>
        </w:rPr>
        <w:t xml:space="preserve"> m long — </w:t>
      </w:r>
      <w:r>
        <w:rPr>
          <w:i w:val="false"/>
          <w:iCs w:val="false"/>
        </w:rPr>
        <w:t>eight times the 2.2 m neck of the world-record giraffe.</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4314_68767826">
            <w:r>
              <w:rPr>
                <w:rStyle w:val="IndexLink"/>
              </w:rPr>
              <w:t>Introduction</w:t>
            </w:r>
            <w:r>
              <w:rPr>
                <w:rStyle w:val="IndexLink"/>
              </w:rPr>
              <w:tab/>
              <w:t>2</w:t>
            </w:r>
          </w:hyperlink>
        </w:p>
        <w:p>
          <w:pPr>
            <w:pStyle w:val="TOC2"/>
            <w:tabs>
              <w:tab w:val="clear" w:pos="9355"/>
              <w:tab w:val="right" w:pos="9638" w:leader="dot"/>
            </w:tabs>
            <w:rPr/>
          </w:pPr>
          <w:hyperlink w:anchor="__RefHeading___Toc6557_68767826">
            <w:r>
              <w:rPr>
                <w:rStyle w:val="IndexLink"/>
              </w:rPr>
              <w:t>Historical background</w:t>
              <w:tab/>
              <w:t>2</w:t>
            </w:r>
          </w:hyperlink>
        </w:p>
        <w:p>
          <w:pPr>
            <w:pStyle w:val="TOC2"/>
            <w:tabs>
              <w:tab w:val="clear" w:pos="9355"/>
              <w:tab w:val="right" w:pos="9638" w:leader="dot"/>
            </w:tabs>
            <w:rPr/>
          </w:pPr>
          <w:hyperlink w:anchor="__RefHeading___Toc3414_68767826">
            <w:r>
              <w:rPr>
                <w:rStyle w:val="IndexLink"/>
              </w:rPr>
              <w:t>Institutional Abbreviations</w:t>
              <w:tab/>
              <w:t>3</w:t>
            </w:r>
          </w:hyperlink>
        </w:p>
        <w:p>
          <w:pPr>
            <w:pStyle w:val="TOC2"/>
            <w:tabs>
              <w:tab w:val="clear" w:pos="9355"/>
              <w:tab w:val="right" w:pos="9638" w:leader="dot"/>
            </w:tabs>
            <w:rPr/>
          </w:pPr>
          <w:hyperlink w:anchor="__RefHeading___Toc4320_68767826">
            <w:r>
              <w:rPr>
                <w:rStyle w:val="IndexLink"/>
              </w:rPr>
              <w:t>Anatomical nomenclature</w:t>
              <w:tab/>
              <w:t>3</w:t>
            </w:r>
          </w:hyperlink>
        </w:p>
        <w:p>
          <w:pPr>
            <w:pStyle w:val="TOC2"/>
            <w:tabs>
              <w:tab w:val="clear" w:pos="9355"/>
              <w:tab w:val="right" w:pos="9638" w:leader="dot"/>
            </w:tabs>
            <w:rPr/>
          </w:pPr>
          <w:hyperlink w:anchor="__RefHeading___Toc4815_68767826">
            <w:r>
              <w:rPr>
                <w:rStyle w:val="IndexLink"/>
              </w:rPr>
              <w:t>Note on privately held material</w:t>
              <w:tab/>
              <w:t>4</w:t>
            </w:r>
          </w:hyperlink>
        </w:p>
        <w:p>
          <w:pPr>
            <w:pStyle w:val="TOC1"/>
            <w:rPr/>
          </w:pPr>
          <w:hyperlink w:anchor="__RefHeading___Toc3397_68767826">
            <w:r>
              <w:rPr>
                <w:rStyle w:val="IndexLink"/>
              </w:rPr>
              <w:t>Materials and Methods</w:t>
              <w:tab/>
              <w:t>4</w:t>
            </w:r>
          </w:hyperlink>
        </w:p>
        <w:p>
          <w:pPr>
            <w:pStyle w:val="TOC2"/>
            <w:tabs>
              <w:tab w:val="clear" w:pos="9355"/>
              <w:tab w:val="right" w:pos="9638" w:leader="dot"/>
            </w:tabs>
            <w:rPr/>
          </w:pPr>
          <w:hyperlink w:anchor="__RefHeading___Toc6559_68767826">
            <w:r>
              <w:rPr>
                <w:rStyle w:val="IndexLink"/>
              </w:rPr>
              <w:t>Length of the neck of AMNH 6341</w:t>
              <w:tab/>
              <w:t>4</w:t>
            </w:r>
          </w:hyperlink>
        </w:p>
        <w:p>
          <w:pPr>
            <w:pStyle w:val="TOC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5</w:t>
            </w:r>
          </w:hyperlink>
        </w:p>
        <w:p>
          <w:pPr>
            <w:pStyle w:val="TOC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TOC3"/>
            <w:tabs>
              <w:tab w:val="clear" w:pos="9072"/>
              <w:tab w:val="right" w:pos="9638" w:leader="dot"/>
            </w:tabs>
            <w:rPr/>
          </w:pPr>
          <w:hyperlink w:anchor="__RefHeading___Toc6840_68767826">
            <w:r>
              <w:rPr>
                <w:rStyle w:val="IndexLink"/>
              </w:rPr>
              <w:t>Method 3. Extension by artistic intuition</w:t>
              <w:tab/>
              <w:t>6</w:t>
            </w:r>
          </w:hyperlink>
        </w:p>
        <w:p>
          <w:pPr>
            <w:pStyle w:val="TOC3"/>
            <w:tabs>
              <w:tab w:val="clear" w:pos="9072"/>
              <w:tab w:val="right" w:pos="9638" w:leader="dot"/>
            </w:tabs>
            <w:rPr/>
          </w:pPr>
          <w:hyperlink w:anchor="__RefHeading___Toc7244_68767826">
            <w:r>
              <w:rPr>
                <w:rStyle w:val="IndexLink"/>
              </w:rPr>
              <w:t>Summary</w:t>
              <w:tab/>
              <w:t>6</w:t>
            </w:r>
          </w:hyperlink>
        </w:p>
        <w:p>
          <w:pPr>
            <w:pStyle w:val="TOC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7</w:t>
            </w:r>
          </w:hyperlink>
        </w:p>
        <w:p>
          <w:pPr>
            <w:pStyle w:val="TOC2"/>
            <w:tabs>
              <w:tab w:val="clear" w:pos="9355"/>
              <w:tab w:val="right" w:pos="9638" w:leader="dot"/>
            </w:tabs>
            <w:rPr/>
          </w:pPr>
          <w:hyperlink w:anchor="__RefHeading___Toc9191_68767826">
            <w:r>
              <w:rPr>
                <w:rStyle w:val="IndexLink"/>
              </w:rPr>
              <w:t xml:space="preserve">Three new </w:t>
            </w:r>
            <w:r>
              <w:rPr>
                <w:rStyle w:val="IndexLink"/>
                <w:i/>
                <w:iCs/>
              </w:rPr>
              <w:t>Barosaurus</w:t>
            </w:r>
            <w:r>
              <w:rPr>
                <w:rStyle w:val="IndexLink"/>
              </w:rPr>
              <w:t xml:space="preserve"> cervicals</w:t>
              <w:tab/>
              <w:t>8</w:t>
            </w:r>
          </w:hyperlink>
        </w:p>
        <w:p>
          <w:pPr>
            <w:pStyle w:val="TOC2"/>
            <w:tabs>
              <w:tab w:val="clear" w:pos="9355"/>
              <w:tab w:val="right" w:pos="9638" w:leader="dot"/>
            </w:tabs>
            <w:rPr/>
          </w:pPr>
          <w:hyperlink w:anchor="__RefHeading___Toc9193_68767826">
            <w:r>
              <w:rPr>
                <w:rStyle w:val="IndexLink"/>
              </w:rPr>
              <w:t xml:space="preserve">The </w:t>
            </w:r>
            <w:r>
              <w:rPr>
                <w:rStyle w:val="IndexLink"/>
                <w:i/>
                <w:iCs/>
              </w:rPr>
              <w:t>Supersaurus</w:t>
            </w:r>
            <w:r>
              <w:rPr>
                <w:rStyle w:val="IndexLink"/>
              </w:rPr>
              <w:t xml:space="preserve"> cervical</w:t>
              <w:tab/>
              <w:t>8</w:t>
            </w:r>
          </w:hyperlink>
        </w:p>
        <w:p>
          <w:pPr>
            <w:pStyle w:val="TOC1"/>
            <w:rPr/>
          </w:pPr>
          <w:hyperlink w:anchor="__RefHeading___Toc3399_68767826">
            <w:r>
              <w:rPr>
                <w:rStyle w:val="IndexLink"/>
              </w:rPr>
              <w:t>Results</w:t>
              <w:tab/>
              <w:t>8</w:t>
            </w:r>
          </w:hyperlink>
        </w:p>
        <w:p>
          <w:pPr>
            <w:pStyle w:val="TOC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9</w:t>
            </w:r>
          </w:hyperlink>
        </w:p>
        <w:p>
          <w:pPr>
            <w:pStyle w:val="TOC1"/>
            <w:rPr/>
          </w:pPr>
          <w:hyperlink w:anchor="__RefHeading___Toc3401_68767826">
            <w:r>
              <w:rPr>
                <w:rStyle w:val="IndexLink"/>
              </w:rPr>
              <w:t>Discussion</w:t>
              <w:tab/>
              <w:t>9</w:t>
            </w:r>
          </w:hyperlink>
        </w:p>
        <w:p>
          <w:pPr>
            <w:pStyle w:val="TOC1"/>
            <w:rPr/>
          </w:pPr>
          <w:hyperlink w:anchor="__RefHeading___Toc3403_68767826">
            <w:r>
              <w:rPr>
                <w:rStyle w:val="IndexLink"/>
              </w:rPr>
              <w:t>Acknowledgements</w:t>
              <w:tab/>
              <w:t>9</w:t>
            </w:r>
          </w:hyperlink>
        </w:p>
        <w:p>
          <w:pPr>
            <w:pStyle w:val="TOC1"/>
            <w:rPr/>
          </w:pPr>
          <w:hyperlink w:anchor="__RefHeading___Toc3405_68767826">
            <w:r>
              <w:rPr>
                <w:rStyle w:val="IndexLink"/>
              </w:rPr>
              <w:t>References</w:t>
              <w:tab/>
              <w:t>10</w:t>
            </w:r>
          </w:hyperlink>
        </w:p>
        <w:p>
          <w:pPr>
            <w:pStyle w:val="TOC1"/>
            <w:rPr/>
          </w:pPr>
          <w:hyperlink w:anchor="__RefHeading___Toc3407_68767826">
            <w:r>
              <w:rPr>
                <w:rStyle w:val="IndexLink"/>
              </w:rPr>
              <w:t>Figure Captions</w:t>
              <w:tab/>
              <w:t>11</w:t>
            </w:r>
          </w:hyperlink>
        </w:p>
        <w:p>
          <w:pPr>
            <w:pStyle w:val="TOC1"/>
            <w:rPr/>
          </w:pPr>
          <w:hyperlink w:anchor="__RefHeading___Toc7266_68767826">
            <w:r>
              <w:rPr>
                <w:rStyle w:val="IndexLink"/>
              </w:rPr>
              <w:t>Tables</w:t>
              <w:tab/>
              <w:t>12</w:t>
            </w:r>
          </w:hyperlink>
        </w:p>
        <w:p>
          <w:pPr>
            <w:pStyle w:val="TOC2"/>
            <w:tabs>
              <w:tab w:val="clear" w:pos="9355"/>
              <w:tab w:val="right" w:pos="9638" w:leader="dot"/>
            </w:tabs>
            <w:rPr/>
          </w:pPr>
          <w:hyperlink w:anchor="__RefHeading___Toc7275_68767826">
            <w:r>
              <w:rPr>
                <w:rStyle w:val="IndexLink"/>
              </w:rPr>
              <w:t>Table A</w:t>
              <w:tab/>
              <w:t>12</w:t>
            </w:r>
          </w:hyperlink>
        </w:p>
        <w:p>
          <w:pPr>
            <w:pStyle w:val="TOC2"/>
            <w:tabs>
              <w:tab w:val="clear" w:pos="9355"/>
              <w:tab w:val="right" w:pos="9638" w:leader="dot"/>
            </w:tabs>
            <w:rPr/>
          </w:pPr>
          <w:hyperlink w:anchor="__RefHeading___Toc7268_68767826">
            <w:r>
              <w:rPr>
                <w:rStyle w:val="IndexLink"/>
              </w:rPr>
              <w:t>Table B</w:t>
              <w:tab/>
              <w:t>13</w:t>
            </w:r>
          </w:hyperlink>
        </w:p>
        <w:p>
          <w:pPr>
            <w:pStyle w:val="Heading1"/>
            <w:numPr>
              <w:ilvl w:val="0"/>
              <w:numId w:val="2"/>
            </w:numPr>
            <w:ind w:hanging="0" w:left="0" w:right="0"/>
            <w:rPr/>
          </w:pPr>
          <w:bookmarkStart w:id="0" w:name="__RefHeading___Toc4314_68767826"/>
          <w:bookmarkEnd w:id="0"/>
          <w:r>
            <w:rPr/>
            <w:t>Introduction</w:t>
          </w:r>
          <w:r>
            <w:rPr/>
            <w:fldChar w:fldCharType="end"/>
          </w:r>
        </w:p>
      </w:sdtContent>
    </w:sdt>
    <w:p>
      <w:pPr>
        <w:pStyle w:val="Heading2"/>
        <w:spacing w:before="198" w:after="119"/>
        <w:ind w:hanging="0" w:left="0" w:right="0"/>
        <w:rPr>
          <w:rFonts w:ascii="Gill Sans" w:hAnsi="Gill Sans" w:eastAsia="Songti SC" w:cs="Arial Unicode MS"/>
          <w:b/>
          <w:bCs/>
          <w:sz w:val="24"/>
          <w:szCs w:val="36"/>
        </w:rPr>
      </w:pPr>
      <w:bookmarkStart w:id="1" w:name="__RefHeading___Toc6557_68767826"/>
      <w:bookmarkEnd w:id="1"/>
      <w:r>
        <w:rPr>
          <w:rFonts w:eastAsia="Songti SC" w:cs="Arial Unicode MS"/>
          <w:b/>
          <w:bCs/>
          <w:sz w:val="24"/>
          <w:szCs w:val="36"/>
        </w:rPr>
        <w:t>Historical background</w:t>
      </w:r>
    </w:p>
    <w:p>
      <w:pPr>
        <w:pStyle w:val="BodyText"/>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w:t>
      </w:r>
      <w:r>
        <w:rPr/>
        <w:t xml:space="preserve">in left lateral and anterior sectioned views </w:t>
      </w:r>
      <w:r>
        <w:rPr/>
        <w:t xml:space="preserve">(Marsh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BodyText"/>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BodyText"/>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BodyText"/>
        <w:rPr/>
      </w:pPr>
      <w:r>
        <w:rPr/>
        <w:t xml:space="preserve">More recently, a rediscovered specimen (ROM 3670) was mounted at the Royal Ontario Museum, having been overlooked in collections for decades. No scientific account of this specimen has been published, but the Museum’s press release (ROM 2007) is informative and the mount has been briefly covered in the popular press (e.g. Goddard 2007, Holden 2007). The specimen includes four cervicals (one of them very fragmentary), a complete dorsal column, the pelvis, 14 caudals, both humeri, both femora, the right lower leg, and various other pieces (ROM 2007). The missing scapulocoracoid is filled in from an </w:t>
      </w:r>
      <w:r>
        <w:rPr>
          <w:i/>
          <w:iCs/>
        </w:rPr>
        <w:t>Apatosaurus</w:t>
      </w:r>
      <w:r>
        <w:rPr/>
        <w:t xml:space="preserve"> specimen and the left tibia and fibula with </w:t>
      </w:r>
      <w:r>
        <w:rPr>
          <w:i/>
          <w:iCs/>
        </w:rPr>
        <w:t>Diplodocus</w:t>
      </w:r>
      <w:r>
        <w:rPr/>
        <w:t xml:space="preserve"> material from Dinosaur National Monument; the remaining bones are casts from various sources (David Evans, pers. comm., 2022). The specimen is however largely uninformative as regards cervical morphology, </w:t>
      </w:r>
      <w:r>
        <w:rPr/>
        <w:t>which is the focus of the present paper</w:t>
      </w:r>
      <w:r>
        <w:rPr/>
        <w:t xml:space="preserve">: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BodyText"/>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BodyText"/>
        <w:rPr/>
      </w:pPr>
      <w:r>
        <w:rPr/>
        <w:t>Other informative specimens have been described in recent years, including a fine partial juvenile skeleton (Melstrom et al. 2016). But from the neck, only two or three vertebrae are preserved, and th</w:t>
      </w:r>
      <w:r>
        <w:rPr/>
        <w:t>ey</w:t>
      </w:r>
      <w:r>
        <w:rPr/>
        <w:t xml:space="preserve"> are both morphologically different from those of adult specimens and partially embedded in matrix. Also of interest is a sequence of five dorsal vertebrae from another juvenile (Hanik et al. 2017), but there is no cervical material at all in this case.</w:t>
      </w:r>
    </w:p>
    <w:p>
      <w:pPr>
        <w:pStyle w:val="BodyText"/>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BodyText"/>
        <w:numPr>
          <w:ilvl w:val="0"/>
          <w:numId w:val="4"/>
        </w:numPr>
        <w:ind w:hanging="360" w:left="720" w:right="0"/>
        <w:rPr/>
      </w:pPr>
      <w:r>
        <w:rPr/>
        <w:t>AMNH —  American Museum of Natural History, New York, New York, USA.</w:t>
      </w:r>
    </w:p>
    <w:p>
      <w:pPr>
        <w:pStyle w:val="BodyText"/>
        <w:numPr>
          <w:ilvl w:val="0"/>
          <w:numId w:val="4"/>
        </w:numPr>
        <w:ind w:hanging="360" w:left="720" w:right="0"/>
        <w:rPr/>
      </w:pPr>
      <w:r>
        <w:rPr/>
        <w:t>CM — Carnegie Museum of Natural History, Pittsburgh, Pennsylvania, USA.</w:t>
      </w:r>
    </w:p>
    <w:p>
      <w:pPr>
        <w:pStyle w:val="BodyText"/>
        <w:numPr>
          <w:ilvl w:val="0"/>
          <w:numId w:val="4"/>
        </w:numPr>
        <w:ind w:hanging="360" w:left="720" w:right="0"/>
        <w:rPr/>
      </w:pPr>
      <w:r>
        <w:rPr/>
        <w:t>ROM — Royal Ontario Museum, Toronto, Canada.</w:t>
      </w:r>
    </w:p>
    <w:p>
      <w:pPr>
        <w:pStyle w:val="BodyText"/>
        <w:numPr>
          <w:ilvl w:val="0"/>
          <w:numId w:val="4"/>
        </w:numPr>
        <w:ind w:hanging="360" w:left="720" w:right="0"/>
        <w:rPr/>
      </w:pPr>
      <w:r>
        <w:rPr/>
        <w:t>SMA — Sauriermuseum Aathal, Switzerland.</w:t>
      </w:r>
    </w:p>
    <w:p>
      <w:pPr>
        <w:pStyle w:val="BodyText"/>
        <w:numPr>
          <w:ilvl w:val="0"/>
          <w:numId w:val="4"/>
        </w:numPr>
        <w:ind w:hanging="360" w:left="720" w:right="0"/>
        <w:rPr/>
      </w:pPr>
      <w:r>
        <w:rPr/>
        <w:t>YPM — Yale Peabody Museum, New Haven, Connecticut, USA.</w:t>
      </w:r>
    </w:p>
    <w:p>
      <w:pPr>
        <w:pStyle w:val="Heading2"/>
        <w:rPr/>
      </w:pPr>
      <w:bookmarkStart w:id="3" w:name="__RefHeading___Toc4320_68767826"/>
      <w:bookmarkEnd w:id="3"/>
      <w:r>
        <w:rPr/>
        <w:t>Anatomical nomenclature</w:t>
      </w:r>
    </w:p>
    <w:p>
      <w:pPr>
        <w:pStyle w:val="BodyText"/>
        <w:rPr/>
      </w:pPr>
      <w:r>
        <w:rPr/>
        <w:t>The following abbreviations are used.</w:t>
      </w:r>
    </w:p>
    <w:p>
      <w:pPr>
        <w:pStyle w:val="BodyText"/>
        <w:numPr>
          <w:ilvl w:val="0"/>
          <w:numId w:val="6"/>
        </w:numPr>
        <w:ind w:hanging="360" w:left="720" w:right="0"/>
        <w:rPr/>
      </w:pPr>
      <w:r>
        <w:rPr>
          <w:b w:val="false"/>
          <w:bCs w:val="false"/>
        </w:rPr>
        <w:t xml:space="preserve">CRL — cervical rib loop, i.e. the loop connected to the lateral face of the centrum and formed by the diapophysis above, the parapophysis below and the cervical rib itself </w:t>
      </w:r>
      <w:r>
        <w:rPr>
          <w:b w:val="false"/>
          <w:bCs w:val="false"/>
        </w:rPr>
        <w:t>ventro</w:t>
      </w:r>
      <w:r>
        <w:rPr>
          <w:b w:val="false"/>
          <w:bCs w:val="false"/>
        </w:rPr>
        <w:t>lateral</w:t>
      </w:r>
      <w:r>
        <w:rPr>
          <w:b w:val="false"/>
          <w:bCs w:val="false"/>
        </w:rPr>
        <w:t>ly</w:t>
      </w:r>
      <w:r>
        <w:rPr>
          <w:b w:val="false"/>
          <w:bCs w:val="false"/>
        </w:rPr>
        <w:t>. Homologous to the ansa costotransversaria in birds, but the morphology is very different in sauropods where the loop itself is proportionally thinner and the foramen transversarium in the middle is broader.</w:t>
      </w:r>
    </w:p>
    <w:p>
      <w:pPr>
        <w:pStyle w:val="BodyText"/>
        <w:numPr>
          <w:ilvl w:val="0"/>
          <w:numId w:val="6"/>
        </w:numPr>
        <w:ind w:hanging="360" w:left="720" w:right="0"/>
        <w:rPr/>
      </w:pPr>
      <w:r>
        <w:rPr>
          <w:b w:val="false"/>
          <w:bCs w:val="false"/>
        </w:rPr>
        <w:t>PRDL — prezygadiapophyseal lamina</w:t>
      </w:r>
    </w:p>
    <w:p>
      <w:pPr>
        <w:pStyle w:val="BodyText"/>
        <w:numPr>
          <w:ilvl w:val="0"/>
          <w:numId w:val="6"/>
        </w:numPr>
        <w:ind w:hanging="360" w:left="720" w:right="0"/>
        <w:rPr/>
      </w:pPr>
      <w:r>
        <w:rPr>
          <w:b w:val="false"/>
          <w:bCs w:val="false"/>
        </w:rPr>
        <w:t>PODL — postzygadiapophyseal lamina</w:t>
      </w:r>
    </w:p>
    <w:p>
      <w:pPr>
        <w:pStyle w:val="BodyText"/>
        <w:numPr>
          <w:ilvl w:val="0"/>
          <w:numId w:val="6"/>
        </w:numPr>
        <w:ind w:hanging="360" w:left="720" w:right="0"/>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BodyText"/>
        <w:rPr/>
      </w:pPr>
      <w:r>
        <w:rPr/>
        <w:t>XXX What to say about Western Paleo Labs?</w:t>
      </w:r>
    </w:p>
    <w:p>
      <w:pPr>
        <w:pStyle w:val="Heading1"/>
        <w:numPr>
          <w:ilvl w:val="0"/>
          <w:numId w:val="3"/>
        </w:numPr>
        <w:ind w:hanging="0" w:left="0" w:right="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BodyText"/>
        <w:rPr/>
      </w:pPr>
      <w:r>
        <w:rPr/>
        <w:t xml:space="preserve">AMNH 6341 has the best-preserved neck of any </w:t>
      </w:r>
      <w:r>
        <w:rPr>
          <w:i/>
          <w:iCs/>
        </w:rPr>
        <w:t>Barosaurus</w:t>
      </w:r>
      <w:r>
        <w:rPr/>
        <w:t xml:space="preserve"> specimen, but it suffers from two drawbacks.</w:t>
      </w:r>
    </w:p>
    <w:p>
      <w:pPr>
        <w:pStyle w:val="BodyText"/>
        <w:rPr/>
      </w:pPr>
      <w:r>
        <w:rPr/>
        <w:t>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w:t>
      </w:r>
      <w:r>
        <w:rPr/>
        <w:t>s</w:t>
      </w:r>
      <w:r>
        <w:rPr/>
        <w:t xml:space="preserve"> in Taylor and Wedel (2016:figure 10) were obtained by shooting down through the translucent glass, and extensively manipulating the resulting photographs digitally, and even then the resolution is poor. Neither can the vertebrae be meaningfully observed in lateral view, as the walkway that runs above them is immediately behind a mounted skeleton of </w:t>
      </w:r>
      <w:r>
        <w:rPr>
          <w:i/>
          <w:iCs/>
        </w:rPr>
        <w:t>Apatosaurus</w:t>
      </w:r>
      <w:r>
        <w:rPr/>
        <w:t xml:space="preserve"> and cannot be approached at ground level.</w:t>
      </w:r>
    </w:p>
    <w:p>
      <w:pPr>
        <w:pStyle w:val="BodyText"/>
        <w:rPr/>
      </w:pPr>
      <w:r>
        <w:rPr/>
        <w:t xml:space="preserve">Second, only the last nine cervicals are preserved (along with the complete dorsal series). McIntosh (2005:45) considers these cervicals to be C8–C16: </w:t>
      </w:r>
      <w:r>
        <w:rPr/>
        <w:t>t</w:t>
      </w:r>
      <w:r>
        <w:rPr/>
        <w:t xml:space="preserve">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BodyText"/>
        <w:rPr/>
      </w:pPr>
      <w:r>
        <w:rPr/>
        <w:t xml:space="preserve">The sum of the total lengths of the nine preserved centra (from McIntosh 2005:table 2.1) is 6933 mm. However, since the anterior condyle of each vertebra will have been to come degree </w:t>
      </w:r>
      <w:r>
        <w:rPr/>
        <w:t>embedded</w:t>
      </w:r>
      <w:r>
        <w:rPr/>
        <w:t xml:space="preserve">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w:t>
      </w:r>
      <w:r>
        <w:rPr/>
        <w:t xml:space="preserve">of </w:t>
      </w:r>
      <w:r>
        <w:rPr/>
        <w:t xml:space="preserve">the length when summing the full centrum lengths. Which of these totals should be used? Evidence is equivocal. As shown by Taylor and Wedel (2013:table 4), the thickness of </w:t>
      </w:r>
      <w:r>
        <w:rPr/>
        <w:t xml:space="preserve">articular </w:t>
      </w:r>
      <w:r>
        <w:rPr/>
        <w:t xml:space="preserve">cartilage on cervical vertebrae relative to the bony centrum </w:t>
      </w:r>
      <w:r>
        <w:rPr/>
        <w:t xml:space="preserve">length </w:t>
      </w:r>
      <w:r>
        <w:rPr/>
        <w:t xml:space="preserve">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BodyText"/>
        <w:rPr/>
      </w:pPr>
      <w:r>
        <w:rPr/>
        <w:t>How, then, can we determine the lengths of the seven missing anterior vertebrae? We will use three methods.</w:t>
      </w:r>
    </w:p>
    <w:p>
      <w:pPr>
        <w:pStyle w:val="Heading3"/>
        <w:numPr>
          <w:ilvl w:val="2"/>
          <w:numId w:val="2"/>
        </w:numPr>
        <w:ind w:hanging="0" w:left="0" w:right="0"/>
        <w:rPr/>
      </w:pPr>
      <w:bookmarkStart w:id="7" w:name="__RefHeading___Toc6836_68767826"/>
      <w:bookmarkEnd w:id="7"/>
      <w:r>
        <w:rPr/>
        <w:t>Method 1. Scaling from juvenile ?</w:t>
      </w:r>
      <w:r>
        <w:rPr>
          <w:i/>
          <w:iCs/>
        </w:rPr>
        <w:t>Barosaurus</w:t>
      </w:r>
      <w:r>
        <w:rPr/>
        <w:t xml:space="preserve"> vertebrae</w:t>
      </w:r>
    </w:p>
    <w:p>
      <w:pPr>
        <w:pStyle w:val="BodyText"/>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BodyText"/>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BodyText"/>
        <w:rPr/>
      </w:pPr>
      <w:r>
        <w:rPr/>
        <w:t>With these caveats in mind, Table A shows the measurements of the eight preserved cervicals of AMNH 7535.</w:t>
      </w:r>
    </w:p>
    <w:p>
      <w:pPr>
        <w:pStyle w:val="BodyText"/>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BodyText"/>
        <w:rPr/>
      </w:pPr>
      <w:r>
        <w:rPr/>
        <w:t>This approach then yields a total estimated neck length of 7904 mm (if using functional lengths), 8371 mm (using compromise lengths) or 8836 mm (if using centrum lengths).</w:t>
      </w:r>
    </w:p>
    <w:p>
      <w:pPr>
        <w:pStyle w:val="BodyText"/>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ind w:hanging="0" w:left="0" w:right="0"/>
        <w:rPr/>
      </w:pPr>
      <w:bookmarkStart w:id="8" w:name="__RefHeading___Toc6838_68767826"/>
      <w:bookmarkEnd w:id="8"/>
      <w:r>
        <w:rPr/>
        <w:t xml:space="preserve">Method 2. Extrapolation from anterior </w:t>
      </w:r>
      <w:r>
        <w:rPr>
          <w:i/>
          <w:iCs/>
        </w:rPr>
        <w:t>Diplodocus</w:t>
      </w:r>
      <w:r>
        <w:rPr/>
        <w:t xml:space="preserve"> vertebrae</w:t>
      </w:r>
    </w:p>
    <w:p>
      <w:pPr>
        <w:pStyle w:val="BodyText"/>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BodyText"/>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BodyText"/>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BodyText"/>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ind w:hanging="0" w:left="0" w:right="0"/>
        <w:rPr/>
      </w:pPr>
      <w:bookmarkStart w:id="9" w:name="__RefHeading___Toc6840_68767826"/>
      <w:bookmarkEnd w:id="9"/>
      <w:r>
        <w:rPr/>
        <w:t>Method 3. Extension by artistic intuition</w:t>
      </w:r>
    </w:p>
    <w:p>
      <w:pPr>
        <w:pStyle w:val="BodyText"/>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BodyText"/>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ind w:hanging="0" w:left="0" w:right="0"/>
        <w:rPr/>
      </w:pPr>
      <w:bookmarkStart w:id="10" w:name="__RefHeading___Toc7244_68767826"/>
      <w:bookmarkEnd w:id="10"/>
      <w:r>
        <w:rPr/>
        <w:t>Summary</w:t>
      </w:r>
    </w:p>
    <w:p>
      <w:pPr>
        <w:pStyle w:val="BodyText"/>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BodyText"/>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BodyText"/>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for example, McIntosh (2005:44) writes that “The [cervical] vertebrae closely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BodyText"/>
        <w:rPr/>
      </w:pPr>
      <w:r>
        <w:rPr/>
        <w:t xml:space="preserve">In fact, this is a misapprehension, 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BodyText"/>
        <w:rPr/>
      </w:pPr>
      <w:r>
        <w:rPr/>
        <w:t>These characters include:</w:t>
      </w:r>
    </w:p>
    <w:p>
      <w:pPr>
        <w:pStyle w:val="BodyText"/>
        <w:numPr>
          <w:ilvl w:val="0"/>
          <w:numId w:val="5"/>
        </w:numPr>
        <w:ind w:hanging="360" w:left="720" w:right="0"/>
        <w:rPr/>
      </w:pPr>
      <w:r>
        <w:rPr>
          <w:b/>
          <w:bCs/>
        </w:rPr>
        <w:t>Elongated centra.</w:t>
      </w:r>
      <w:r>
        <w:rPr/>
        <w:t xml:space="preserve"> 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BodyText"/>
        <w:numPr>
          <w:ilvl w:val="0"/>
          <w:numId w:val="5"/>
        </w:numPr>
        <w:ind w:hanging="360" w:left="720" w:right="0"/>
        <w:rPr/>
      </w:pPr>
      <w:r>
        <w:rPr>
          <w:b/>
          <w:bCs/>
        </w:rPr>
        <w:t>Low, rounded neural spines</w:t>
      </w:r>
      <w:r>
        <w:rPr/>
        <w:t xml:space="preserve">, 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BodyText"/>
        <w:numPr>
          <w:ilvl w:val="0"/>
          <w:numId w:val="5"/>
        </w:numPr>
        <w:ind w:hanging="360" w:left="720" w:right="0"/>
        <w:rPr/>
      </w:pPr>
      <w:r>
        <w:rPr>
          <w:b/>
          <w:bCs/>
        </w:rPr>
        <w:t>Postzygapophyses positioned anteriorly to cotyle.</w:t>
      </w:r>
      <w:r>
        <w:rPr/>
        <w:t xml:space="preserve"> Tschopp at al. (2015:261) find this as an autapomorphy, “posterior cervical postzygapophyses terminate in front of the posterior edge of the centrum, unique within Diplodocinae”.</w:t>
      </w:r>
    </w:p>
    <w:p>
      <w:pPr>
        <w:pStyle w:val="BodyText"/>
        <w:numPr>
          <w:ilvl w:val="0"/>
          <w:numId w:val="5"/>
        </w:numPr>
        <w:ind w:hanging="360" w:left="720" w:right="0"/>
        <w:rPr/>
      </w:pPr>
      <w:r>
        <w:rPr>
          <w:b/>
          <w:bCs/>
        </w:rPr>
        <w:t>Parapophysis situated anterior to diapophysis</w:t>
      </w:r>
      <w:r>
        <w:rPr/>
        <w:t xml:space="preserve"> so that CRL is inclined forwards as it descends from the diapophysis. (See for example a cervical vertebra of CM 11984 in left lateral view in Stevens (2013:figure 8E).</w:t>
      </w:r>
    </w:p>
    <w:p>
      <w:pPr>
        <w:pStyle w:val="BodyText"/>
        <w:numPr>
          <w:ilvl w:val="0"/>
          <w:numId w:val="5"/>
        </w:numPr>
        <w:ind w:hanging="360" w:left="720" w:right="0"/>
        <w:rPr/>
      </w:pPr>
      <w:r>
        <w:rPr>
          <w:b/>
          <w:bCs/>
        </w:rPr>
        <w:t>Narrow cervical rib loop</w:t>
      </w:r>
      <w:r>
        <w:rPr>
          <w:b w:val="false"/>
          <w:bCs w:val="false"/>
          <w:i w:val="false"/>
          <w:iCs w:val="false"/>
        </w:rPr>
        <w:t xml:space="preserve"> (CRL). The strap of bone connecting the diapophysis above</w:t>
      </w:r>
      <w:r>
        <w:rPr/>
        <w:t xml:space="preserve"> to the cervical rib below is anteroposteriorly constricted. (See for example a cervical vertebra of CM 11984 in left lateral view in Stevens (2013:figure 8E).</w:t>
      </w:r>
    </w:p>
    <w:p>
      <w:pPr>
        <w:pStyle w:val="BodyText"/>
        <w:numPr>
          <w:ilvl w:val="0"/>
          <w:numId w:val="5"/>
        </w:numPr>
        <w:ind w:hanging="360" w:left="720" w:right="0"/>
        <w:rPr/>
      </w:pPr>
      <w:r>
        <w:rPr>
          <w:b/>
          <w:bCs/>
        </w:rPr>
        <w:t>Posteriorly directed process on diapophyseal process</w:t>
      </w:r>
      <w:r>
        <w:rPr/>
        <w:t xml:space="preserve"> just above CRL, shaped like a rounded triangle. (See for example two cervical vertebrae of CM 11984 in right lateral view in Stevens (2013:figure 8B).</w:t>
      </w:r>
    </w:p>
    <w:p>
      <w:pPr>
        <w:pStyle w:val="BodyText"/>
        <w:numPr>
          <w:ilvl w:val="0"/>
          <w:numId w:val="5"/>
        </w:numPr>
        <w:ind w:hanging="360" w:left="720" w:right="0"/>
        <w:rPr/>
      </w:pPr>
      <w:r>
        <w:rPr>
          <w:b/>
          <w:bCs/>
        </w:rPr>
        <w:t>Paired low-profile PCDLs</w:t>
      </w:r>
      <w:r>
        <w:rPr>
          <w:b w:val="false"/>
          <w:bCs w:val="false"/>
        </w:rPr>
        <w:t xml:space="preserve"> which radiate backwards and downwards from behind diapophysis.</w:t>
      </w:r>
    </w:p>
    <w:p>
      <w:pPr>
        <w:pStyle w:val="BodyText"/>
        <w:numPr>
          <w:ilvl w:val="0"/>
          <w:numId w:val="5"/>
        </w:numPr>
        <w:ind w:hanging="360" w:left="720" w:right="0"/>
        <w:rPr/>
      </w:pPr>
      <w:r>
        <w:rPr>
          <w:b/>
          <w:bCs/>
        </w:rPr>
        <w:t>Straight anterior margin and curved posterior margin to lateral wings</w:t>
      </w:r>
      <w:r>
        <w:rPr/>
        <w:t xml:space="preserve"> (PRDL/PODL complex), yielding a distinctive “space ship” shape. The diapophysis extends further laterally than in other diplodocids. The lateral margin of PRDL is nearly straight, rather than convex as in other diplodocids; that of the PODL curves strongly inwards from the diapophysis to meet the pozygapophysis.</w:t>
      </w:r>
    </w:p>
    <w:p>
      <w:pPr>
        <w:pStyle w:val="BodyText"/>
        <w:numPr>
          <w:ilvl w:val="0"/>
          <w:numId w:val="5"/>
        </w:numPr>
        <w:ind w:hanging="360" w:left="720" w:right="0"/>
        <w:rPr/>
      </w:pPr>
      <w:r>
        <w:rPr>
          <w:b/>
          <w:bCs/>
        </w:rPr>
        <w:t>Symmetrical depressions in lateral wings</w:t>
      </w:r>
      <w:r>
        <w:rPr/>
        <w:t xml:space="preserve"> (PRDL/PODL complex). Tschopp at al. (2015:261) characterise this feature as “postzygadiapophyseal lamina pierced by a foramen on the dorsal side, just anterior to the base of the neural spine process” and consider it unique among diplodocoids, assuming </w:t>
      </w:r>
      <w:r>
        <w:rPr>
          <w:i/>
          <w:iCs/>
        </w:rPr>
        <w:t>Australodocus</w:t>
      </w:r>
      <w:r>
        <w:rPr/>
        <w:t xml:space="preserve"> 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BodyText"/>
        <w:numPr>
          <w:ilvl w:val="0"/>
          <w:numId w:val="5"/>
        </w:numPr>
        <w:ind w:hanging="360" w:left="720" w:right="0"/>
        <w:rPr/>
      </w:pPr>
      <w:r>
        <w:rPr>
          <w:b/>
          <w:bCs/>
        </w:rPr>
        <w:t>Wide prezygapophyseal rami</w:t>
      </w:r>
      <w:r>
        <w:rPr/>
        <w:t xml:space="preserve">, unlike the stalk-like rami seen in other diplodocids. Also seen in C7–8 of the </w:t>
      </w:r>
      <w:r>
        <w:rPr>
          <w:i/>
          <w:iCs/>
        </w:rPr>
        <w:t>Galeamopus pabsti</w:t>
      </w:r>
      <w:r>
        <w:rPr/>
        <w:t xml:space="preserve"> holotype SMA 0011 (Tschopp and Mateus 2017:figures 24–25).</w:t>
      </w:r>
    </w:p>
    <w:p>
      <w:pPr>
        <w:pStyle w:val="BodyText"/>
        <w:numPr>
          <w:ilvl w:val="0"/>
          <w:numId w:val="5"/>
        </w:numPr>
        <w:ind w:hanging="360" w:left="720" w:right="0"/>
        <w:rPr/>
      </w:pPr>
      <w:r>
        <w:rPr>
          <w:b/>
          <w:bCs/>
        </w:rPr>
        <w:t>Transversely broad but anteroposteriorly narrow rectangular prezygapophyseal facets</w:t>
      </w:r>
      <w:r>
        <w:rPr/>
        <w:t xml:space="preserve">, unlike the subcircular facets of other diplodocids. Also seen in C7–8 of the </w:t>
      </w:r>
      <w:r>
        <w:rPr>
          <w:i/>
          <w:iCs/>
        </w:rPr>
        <w:t>Galeamopus pabsti</w:t>
      </w:r>
      <w:r>
        <w:rPr/>
        <w:t xml:space="preserve"> holotype SMA 0011 (Tschopp and Mateus 2017:figures 24–25) and some specimens of </w:t>
      </w:r>
      <w:r>
        <w:rPr>
          <w:i/>
          <w:iCs/>
        </w:rPr>
        <w:t>Apatosaurus</w:t>
      </w:r>
      <w:r>
        <w:rPr/>
        <w:t xml:space="preserve">, e.g. e.g. CM 555 D9 XXX add photo, e.g. </w:t>
      </w:r>
      <w:r>
        <w:rPr>
          <w:rFonts w:ascii="Monaco" w:hAnsi="Monaco"/>
          <w:color w:val="000000"/>
          <w:sz w:val="20"/>
        </w:rPr>
        <w:t>IMG_20190313_105127.jpg</w:t>
      </w:r>
    </w:p>
    <w:p>
      <w:pPr>
        <w:pStyle w:val="BodyText"/>
        <w:numPr>
          <w:ilvl w:val="0"/>
          <w:numId w:val="5"/>
        </w:numPr>
        <w:ind w:hanging="360" w:left="720" w:right="0"/>
        <w:rPr/>
      </w:pPr>
      <w:r>
        <w:rPr>
          <w:b/>
          <w:bCs/>
        </w:rPr>
        <w:t>“</w:t>
      </w:r>
      <w:r>
        <w:rPr>
          <w:b/>
          <w:bCs/>
        </w:rPr>
        <w:t>Thumb notch” posterolateral to prezygapophysis.</w:t>
      </w:r>
      <w:r>
        <w:rPr/>
        <w:t xml:space="preserve"> We perceive this as a negative space, but Tschopp et al. (2015:261) characterise the same feature as “an anterior projection on the PRDL of posterior cervical […] vertebrae, lateral to the prezygapophysis”. The two formulations are of course equivalent.</w:t>
      </w:r>
    </w:p>
    <w:p>
      <w:pPr>
        <w:pStyle w:val="BodyText"/>
        <w:numPr>
          <w:ilvl w:val="0"/>
          <w:numId w:val="5"/>
        </w:numPr>
        <w:ind w:hanging="360" w:left="720" w:right="0"/>
        <w:rPr/>
      </w:pPr>
      <w:r>
        <w:rPr>
          <w:b/>
          <w:bCs/>
        </w:rPr>
        <w:t>“</w:t>
      </w:r>
      <w:r>
        <w:rPr>
          <w:b/>
          <w:bCs/>
        </w:rPr>
        <w:t>Two-faced” parapophyseal rami</w:t>
      </w:r>
      <w:r>
        <w:rPr/>
        <w:t xml:space="preserve">, in which the broad PRDL and SPRL that make up the rami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BodyText"/>
        <w:numPr>
          <w:ilvl w:val="0"/>
          <w:numId w:val="5"/>
        </w:numPr>
        <w:ind w:hanging="360" w:left="720" w:right="0"/>
        <w:rPr/>
      </w:pPr>
      <w:r>
        <w:rPr>
          <w:b/>
          <w:bCs/>
        </w:rPr>
        <w:t>U-shaped notch between prezygapophyseal rami in dorsal view.</w:t>
      </w:r>
      <w:r>
        <w:rPr/>
        <w:t xml:space="preserve"> XXX I think this one is a wash: see Taylor and Wedel (2016:figure 4) at </w:t>
      </w:r>
      <w:hyperlink r:id="rId4">
        <w:r>
          <w:rPr>
            <w:rStyle w:val="Hyperlink"/>
          </w:rPr>
          <w:t>https://svpow.files.wordpress.com/2013/09/figure4-diplodocid-posterior-cervicals-in-dorsal-view.jpeg</w:t>
        </w:r>
      </w:hyperlink>
    </w:p>
    <w:p>
      <w:pPr>
        <w:pStyle w:val="Heading2"/>
        <w:rPr/>
      </w:pPr>
      <w:bookmarkStart w:id="12" w:name="__RefHeading___Toc9191_68767826"/>
      <w:bookmarkEnd w:id="12"/>
      <w:r>
        <w:rPr/>
        <w:t xml:space="preserve">Three new </w:t>
      </w:r>
      <w:r>
        <w:rPr>
          <w:i/>
          <w:iCs/>
        </w:rPr>
        <w:t>Barosaurus</w:t>
      </w:r>
      <w:r>
        <w:rPr/>
        <w:t xml:space="preserve"> cervicals</w:t>
      </w:r>
    </w:p>
    <w:p>
      <w:pPr>
        <w:pStyle w:val="BodyText"/>
        <w:rPr/>
      </w:pPr>
      <w:r>
        <w:rPr/>
        <w:t>XXX Jensen’s Jensen/Jensen Quarry, Jensen</w:t>
      </w:r>
    </w:p>
    <w:p>
      <w:pPr>
        <w:pStyle w:val="BodyText"/>
        <w:rPr/>
      </w:pPr>
      <w:r>
        <w:rPr/>
        <w:t>XXX BYU field jacket 3GR, excavated 1966 from Jensen/Jensen</w:t>
      </w:r>
    </w:p>
    <w:p>
      <w:pPr>
        <w:pStyle w:val="BodyText"/>
        <w:rPr/>
      </w:pPr>
      <w:r>
        <w:rPr/>
        <w:t xml:space="preserve">XXX Contains three ?consecutive </w:t>
      </w:r>
      <w:r>
        <w:rPr>
          <w:i/>
          <w:iCs/>
        </w:rPr>
        <w:t>Barosaurus</w:t>
      </w:r>
      <w:r>
        <w:rPr/>
        <w:t xml:space="preserve"> cervicals, designated A, B and C.</w:t>
      </w:r>
    </w:p>
    <w:p>
      <w:pPr>
        <w:pStyle w:val="BodyText"/>
        <w:rPr/>
      </w:pPr>
      <w:r>
        <w:rPr/>
        <w:t xml:space="preserve">XXX Why this is </w:t>
      </w:r>
      <w:r>
        <w:rPr>
          <w:i/>
          <w:iCs/>
        </w:rPr>
        <w:t>Barosaurus</w:t>
      </w:r>
      <w:r>
        <w:rPr/>
        <w:t>.</w:t>
      </w:r>
    </w:p>
    <w:p>
      <w:pPr>
        <w:pStyle w:val="Heading2"/>
        <w:rPr/>
      </w:pPr>
      <w:bookmarkStart w:id="13" w:name="__RefHeading___Toc9193_68767826"/>
      <w:bookmarkEnd w:id="13"/>
      <w:r>
        <w:rPr/>
        <w:t xml:space="preserve">The </w:t>
      </w:r>
      <w:r>
        <w:rPr>
          <w:i/>
          <w:iCs/>
        </w:rPr>
        <w:t>Supersaurus</w:t>
      </w:r>
      <w:r>
        <w:rPr/>
        <w:t xml:space="preserve"> cervical</w:t>
      </w:r>
    </w:p>
    <w:p>
      <w:pPr>
        <w:pStyle w:val="BodyText"/>
        <w:rPr/>
      </w:pPr>
      <w:r>
        <w:rPr/>
        <w:t>XXX Difficulty of photographing large bones. Distance and perspective distortion. Photo of me up the ladder shooting down.</w:t>
      </w:r>
    </w:p>
    <w:p>
      <w:pPr>
        <w:pStyle w:val="BodyText"/>
        <w:rPr/>
      </w:pPr>
      <w:r>
        <w:rPr/>
        <w:t xml:space="preserve">XXX Why BYU 9024 is morphologically indistinguishable from </w:t>
      </w:r>
      <w:r>
        <w:rPr>
          <w:i/>
          <w:iCs/>
        </w:rPr>
        <w:t>Barosaurus</w:t>
      </w:r>
      <w:r>
        <w:rPr/>
        <w:t>.</w:t>
      </w:r>
    </w:p>
    <w:p>
      <w:pPr>
        <w:pStyle w:val="Heading1"/>
        <w:numPr>
          <w:ilvl w:val="0"/>
          <w:numId w:val="3"/>
        </w:numPr>
        <w:ind w:hanging="0" w:left="0" w:right="0"/>
        <w:rPr/>
      </w:pPr>
      <w:bookmarkStart w:id="14" w:name="__RefHeading___Toc3399_68767826"/>
      <w:bookmarkEnd w:id="14"/>
      <w:r>
        <w:rPr/>
        <w:t>Results</w:t>
      </w:r>
    </w:p>
    <w:p>
      <w:pPr>
        <w:pStyle w:val="BodyText"/>
        <w:rPr/>
      </w:pPr>
      <w:r>
        <w:rPr/>
        <w:t>XXX Sizes of A, B and C.</w:t>
      </w:r>
    </w:p>
    <w:p>
      <w:pPr>
        <w:pStyle w:val="BodyText"/>
        <w:rPr/>
      </w:pPr>
      <w:r>
        <w:rPr/>
        <w:t>XXX Serial position of A, B and C.</w:t>
      </w:r>
    </w:p>
    <w:p>
      <w:pPr>
        <w:pStyle w:val="BodyText"/>
        <w:rPr/>
      </w:pPr>
      <w:r>
        <w:rPr/>
        <w:t>XXX Size of the 3BJ animal</w:t>
      </w:r>
    </w:p>
    <w:p>
      <w:pPr>
        <w:pStyle w:val="BodyText"/>
        <w:rPr/>
      </w:pPr>
      <w:r>
        <w:rPr/>
        <w:t>XXX Size of BYU 9024</w:t>
      </w:r>
    </w:p>
    <w:p>
      <w:pPr>
        <w:pStyle w:val="BodyText"/>
        <w:rPr/>
      </w:pPr>
      <w:r>
        <w:rPr/>
        <w:t>XXX Serial position of BYU 9024</w:t>
      </w:r>
    </w:p>
    <w:p>
      <w:pPr>
        <w:pStyle w:val="Heading2"/>
        <w:rPr/>
      </w:pPr>
      <w:bookmarkStart w:id="15" w:name="__RefHeading___Toc6842_68767826"/>
      <w:bookmarkEnd w:id="15"/>
      <w:r>
        <w:rPr>
          <w:i/>
          <w:iCs/>
        </w:rPr>
        <w:t>Barosaurus</w:t>
      </w:r>
      <w:r>
        <w:rPr/>
        <w:t xml:space="preserve"> compared with </w:t>
      </w:r>
      <w:r>
        <w:rPr>
          <w:i/>
          <w:iCs/>
        </w:rPr>
        <w:t>Diplodocus</w:t>
      </w:r>
    </w:p>
    <w:p>
      <w:pPr>
        <w:pStyle w:val="BodyText"/>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BodyText"/>
        <w:ind w:hanging="0" w:left="0" w:right="0"/>
        <w:rPr/>
      </w:pPr>
      <w:r>
        <w:rPr/>
        <w:t xml:space="preserve">So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The ROM and Utah mounts are of comparable size such that AMNH material can be readily incorporated into them; and CM 11984 is about 3.5% larger than AMNH 6341 (McIntosh 2005:45). So it is generally accepted that all the well-known </w:t>
      </w:r>
      <w:r>
        <w:rPr>
          <w:i/>
          <w:iCs/>
        </w:rPr>
        <w:t>Barosaurus</w:t>
      </w:r>
      <w:r>
        <w:rPr>
          <w:i w:val="false"/>
          <w:iCs w:val="false"/>
        </w:rPr>
        <w:t xml:space="preserve"> individuals massed on the order of 12 tonnes.</w:t>
      </w:r>
    </w:p>
    <w:p>
      <w:pPr>
        <w:pStyle w:val="BodyText"/>
        <w:rPr/>
      </w:pPr>
      <w:r>
        <w:rPr/>
        <w:t>XXX Size of the BYU 9024 animal</w:t>
      </w:r>
    </w:p>
    <w:p>
      <w:pPr>
        <w:pStyle w:val="BodyText"/>
        <w:rPr/>
      </w:pPr>
      <w:r>
        <w:rPr/>
        <w:t>XXX Comparison of neck with total height of Berlin brachiosaur</w:t>
      </w:r>
    </w:p>
    <w:p>
      <w:pPr>
        <w:pStyle w:val="Heading1"/>
        <w:numPr>
          <w:ilvl w:val="0"/>
          <w:numId w:val="3"/>
        </w:numPr>
        <w:ind w:hanging="0" w:left="0" w:right="0"/>
        <w:rPr/>
      </w:pPr>
      <w:bookmarkStart w:id="16" w:name="__RefHeading___Toc3401_68767826"/>
      <w:bookmarkEnd w:id="16"/>
      <w:r>
        <w:rPr/>
        <w:t>Discussion</w:t>
      </w:r>
    </w:p>
    <w:p>
      <w:pPr>
        <w:pStyle w:val="BodyText"/>
        <w:rPr/>
      </w:pPr>
      <w:r>
        <w:rPr/>
        <w:t xml:space="preserve">XXX Does this mean that </w:t>
      </w:r>
      <w:r>
        <w:rPr>
          <w:i/>
          <w:iCs/>
        </w:rPr>
        <w:t>Supersaurus</w:t>
      </w:r>
      <w:r>
        <w:rPr/>
        <w:t xml:space="preserve"> is </w:t>
      </w:r>
      <w:r>
        <w:rPr>
          <w:i/>
          <w:iCs/>
        </w:rPr>
        <w:t>Barosaurus</w:t>
      </w:r>
      <w:r>
        <w:rPr/>
        <w:t>? No, it's not that easy.</w:t>
      </w:r>
    </w:p>
    <w:p>
      <w:pPr>
        <w:pStyle w:val="BodyText"/>
        <w:rPr/>
      </w:pPr>
      <w:r>
        <w:rPr/>
        <w:t>XXX Ecological implications of rare super-giant individuals</w:t>
      </w:r>
    </w:p>
    <w:p>
      <w:pPr>
        <w:pStyle w:val="Heading1"/>
        <w:numPr>
          <w:ilvl w:val="0"/>
          <w:numId w:val="3"/>
        </w:numPr>
        <w:ind w:hanging="0" w:left="0" w:right="0"/>
        <w:rPr/>
      </w:pPr>
      <w:bookmarkStart w:id="17" w:name="__RefHeading___Toc3403_68767826"/>
      <w:bookmarkEnd w:id="17"/>
      <w:r>
        <w:rPr/>
        <w:t>Acknowledgements</w:t>
      </w:r>
    </w:p>
    <w:p>
      <w:pPr>
        <w:pStyle w:val="BodyText"/>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BodyText"/>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BodyText"/>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BodyText"/>
        <w:rPr/>
      </w:pPr>
      <w:r>
        <w:rPr/>
        <w:t>We are grateful to Emanuel Tschopp (American Museum of Natural History) for permission to use his photographs of the AMNH 6341 cervical verterbrae. Thanks are also due to the following people for facilitating this photography: Carl Mehling, Mark Norell, Carolyn Merrill, Lisa Kronthal Elkin and Trenton Duerksen.</w:t>
      </w:r>
    </w:p>
    <w:p>
      <w:pPr>
        <w:pStyle w:val="BodyText"/>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hanging="0" w:left="0" w:right="0"/>
        <w:rPr/>
      </w:pPr>
      <w:bookmarkStart w:id="18" w:name="__RefHeading___Toc3405_68767826"/>
      <w:bookmarkEnd w:id="18"/>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Goddard, John. 2007. ROM's random bones a Jurassic perk. </w:t>
      </w:r>
      <w:r>
        <w:rPr>
          <w:i/>
          <w:iCs/>
        </w:rPr>
        <w:t>Toronto Star</w:t>
      </w:r>
      <w:r>
        <w:rPr/>
        <w:t xml:space="preserve">, 14 November 2007. </w:t>
      </w:r>
      <w:hyperlink r:id="rId5">
        <w:r>
          <w:rPr>
            <w:rStyle w:val="Hyperlink"/>
          </w:rPr>
          <w:t>https://www.thestar.com/business/tech_news/2007/11/14/roms_random_bones_a_jurassic_perk.html</w:t>
        </w:r>
      </w:hyperlink>
      <w:r>
        <w:rPr/>
        <w:t xml:space="preserve">, accessed 9 March 2022. Archived at </w:t>
      </w:r>
      <w:r>
        <w:rPr>
          <w:rStyle w:val="Hyperlink"/>
        </w:rPr>
        <w:t>https://web.archive.org/web/20201211011357/https://www.thestar.com/business/tech_news/2007/11/14/roms_random_bones_a_jurassic_perk.html</w:t>
      </w:r>
      <w:r>
        <w:rPr/>
        <w:t xml:space="preserve"> and </w:t>
      </w:r>
      <w:hyperlink r:id="rId6">
        <w:r>
          <w:rPr>
            <w:rStyle w:val="Hyperlink"/>
          </w:rPr>
          <w:t>https://perma.cc/M9D7-5H4N</w:t>
        </w:r>
      </w:hyperlink>
    </w:p>
    <w:p>
      <w:pPr>
        <w:pStyle w:val="Reference"/>
        <w:rPr/>
      </w:pPr>
      <w:r>
        <w:rPr/>
        <w:t xml:space="preserve">Hanik, Gina M., Matthew C. Lamanna and John A. Whitlock. 2017. A juvenile specimen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BodyText"/>
        <w:rPr/>
      </w:pPr>
      <w:r>
        <w:rPr/>
        <w:t xml:space="preserve">Holden, Constance (ed.). 2007. </w:t>
      </w:r>
      <w:r>
        <w:rPr>
          <w:i/>
          <w:iCs/>
        </w:rPr>
        <w:t>Dino in the Basement</w:t>
      </w:r>
      <w:r>
        <w:rPr/>
        <w:t xml:space="preserve">. Science </w:t>
      </w:r>
      <w:r>
        <w:rPr>
          <w:b/>
          <w:bCs/>
        </w:rPr>
        <w:t>318(5855)</w:t>
      </w:r>
      <w:r>
        <w:rPr/>
        <w:t>:1357.</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ROM (Royal Ontario Museum). 2007. Massive </w:t>
      </w:r>
      <w:r>
        <w:rPr>
          <w:i/>
          <w:iCs/>
        </w:rPr>
        <w:t>Barosaurus</w:t>
      </w:r>
      <w:r>
        <w:rPr/>
        <w:t xml:space="preserve"> skeleton discovered at the ROM. Press release. </w:t>
      </w:r>
      <w:hyperlink r:id="rId7">
        <w:r>
          <w:rPr>
            <w:rStyle w:val="Hyperlink"/>
          </w:rPr>
          <w:t>https://www.rom.on.ca/en/about-us/newsroom/press-releases/massive-barosaurus-skeleton-discovered-at-the-rom</w:t>
        </w:r>
      </w:hyperlink>
      <w:r>
        <w:rPr/>
        <w:t xml:space="preserve">, accessed 9 March 2022. Archived at </w:t>
      </w:r>
      <w:hyperlink r:id="rId8">
        <w:r>
          <w:rPr>
            <w:rStyle w:val="Hyperlink"/>
          </w:rPr>
          <w:t>https://web.archive.org/web/20210421171257/https://www.rom.on.ca/en/about-us/newsroom/press-releases/massive-barosaurus-skeleton-discovered-at-the-rom</w:t>
        </w:r>
      </w:hyperlink>
      <w:r>
        <w:rPr/>
        <w:t xml:space="preserve"> and </w:t>
      </w:r>
      <w:hyperlink r:id="rId9">
        <w:r>
          <w:rPr>
            <w:rStyle w:val="Hyperlink"/>
          </w:rPr>
          <w:t>https://perma.cc/CMS4-9UQB</w:t>
        </w:r>
      </w:hyperlink>
    </w:p>
    <w:p>
      <w:pPr>
        <w:pStyle w:val="Reference"/>
        <w:rPr/>
      </w:pPr>
      <w:r>
        <w:rPr/>
        <w:t xml:space="preserve">Stevens, Kent A. 2013. The articulation of sauropod necks: methodology and mythology. </w:t>
      </w:r>
      <w:r>
        <w:rPr>
          <w:i/>
          <w:iCs/>
        </w:rPr>
        <w:t>PLOS ONE</w:t>
      </w:r>
      <w:r>
        <w:rPr/>
        <w:t xml:space="preserve"> </w:t>
      </w:r>
      <w:r>
        <w:rPr>
          <w:b/>
          <w:bCs/>
        </w:rPr>
        <w:t>8(10)</w:t>
      </w:r>
      <w:r>
        <w:rPr/>
        <w:t>: e78572. Doi:10.1371/journal.pone.0078572</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9" w:name="__DdeLink__3681_68767826"/>
      <w:r>
        <w:rPr/>
        <w:t>doi:10.1671/039.029.0309</w:t>
      </w:r>
      <w:bookmarkEnd w:id="19"/>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and Octávio 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:e3179. doi:10.7717/peerj.3179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hanging="0" w:left="0" w:right="0"/>
        <w:rPr/>
      </w:pPr>
      <w:bookmarkStart w:id="20" w:name="__RefHeading___Toc3407_68767826"/>
      <w:bookmarkEnd w:id="20"/>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BodyText"/>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BodyText"/>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BodyText"/>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BodyText"/>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BodyText"/>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BodyText"/>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obverse view, red cyan anaglyph. This aspect of the jacket is no longer available for study. At the top of the picture is Cervical D, in right posterolateral view with anterior to the top. This vertebra is not visible from the currently exposed side of the jacket. At bottom right is part of Cervical E, but it is difficult to interpret and its orientation cannot be determined.</w:t>
      </w:r>
    </w:p>
    <w:p>
      <w:pPr>
        <w:pStyle w:val="BodyText"/>
        <w:spacing w:before="0" w:after="140"/>
        <w:rPr/>
      </w:pPr>
      <w:r>
        <w:rPr>
          <w:b/>
          <w:bCs/>
        </w:rPr>
        <w:t>Figure H.</w:t>
      </w:r>
      <w:r>
        <w:rPr>
          <w:b w:val="false"/>
          <w:bCs w:val="false"/>
        </w:rPr>
        <w:t xml:space="preserve"> XXX Mike with BYU 9024.</w:t>
      </w:r>
    </w:p>
    <w:p>
      <w:pPr>
        <w:pStyle w:val="Heading1"/>
        <w:numPr>
          <w:ilvl w:val="0"/>
          <w:numId w:val="2"/>
        </w:numPr>
        <w:ind w:hanging="0" w:left="0" w:right="0"/>
        <w:rPr/>
      </w:pPr>
      <w:bookmarkStart w:id="21" w:name="__RefHeading___Toc7266_68767826"/>
      <w:bookmarkEnd w:id="21"/>
      <w:r>
        <w:rPr/>
        <w:t>Tables</w:t>
      </w:r>
    </w:p>
    <w:p>
      <w:pPr>
        <w:pStyle w:val="Heading2"/>
        <w:rPr/>
      </w:pPr>
      <w:bookmarkStart w:id="22" w:name="__RefHeading___Toc7275_68767826"/>
      <w:bookmarkEnd w:id="22"/>
      <w:r>
        <w:rPr/>
        <w:t>Table A</w:t>
      </w:r>
    </w:p>
    <w:p>
      <w:pPr>
        <w:pStyle w:val="BodyText"/>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Layout w:type="fixed"/>
        <w:tblCellMar>
          <w:top w:w="55" w:type="dxa"/>
          <w:left w:w="50" w:type="dxa"/>
          <w:bottom w:w="55" w:type="dxa"/>
          <w:right w:w="55" w:type="dxa"/>
        </w:tblCellMar>
      </w:tblPr>
      <w:tblGrid>
        <w:gridCol w:w="1480"/>
        <w:gridCol w:w="1019"/>
        <w:gridCol w:w="1015"/>
        <w:gridCol w:w="1023"/>
        <w:gridCol w:w="1020"/>
        <w:gridCol w:w="1019"/>
        <w:gridCol w:w="1018"/>
        <w:gridCol w:w="1020"/>
        <w:gridCol w:w="1023"/>
      </w:tblGrid>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Vertebra</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ACH</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ACW</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PCH</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PCW</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CL</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FL</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b/>
                <w:bCs/>
              </w:rPr>
            </w:pPr>
            <w:r>
              <w:rPr>
                <w:b/>
                <w:bCs/>
              </w:rPr>
              <w:t>TL</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b/>
                <w:bCs/>
              </w:rPr>
            </w:pPr>
            <w:r>
              <w:rPr>
                <w:b/>
                <w:bCs/>
              </w:rPr>
              <w:t>TH</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C2</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28</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22</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29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25</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85</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74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92</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73</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C3</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17</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28</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24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104</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89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111</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86</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C4</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21</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24</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34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137</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128</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158</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92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C5</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22</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37</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39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47</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168</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152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189</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102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36</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48</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59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51</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200</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184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215</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122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C7</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37</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56</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66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272</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251</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305</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148</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C8</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46</w:t>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t>62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69</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313</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292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357</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157</w:t>
            </w:r>
          </w:p>
        </w:tc>
      </w:tr>
      <w:tr>
        <w:trPr/>
        <w:tc>
          <w:tcPr>
            <w:tcW w:w="1480" w:type="dxa"/>
            <w:tcBorders>
              <w:top w:val="single" w:sz="4" w:space="0" w:color="000000"/>
              <w:left w:val="single" w:sz="4" w:space="0" w:color="DDDDDD"/>
              <w:bottom w:val="single" w:sz="4" w:space="0" w:color="000000"/>
            </w:tcBorders>
            <w:shd w:fill="auto" w:val="clear"/>
          </w:tcPr>
          <w:p>
            <w:pPr>
              <w:pStyle w:val="TableContents"/>
              <w:widowControl w:val="false"/>
              <w:rPr/>
            </w:pPr>
            <w:r>
              <w:rPr/>
              <w:t>C9</w:t>
            </w:r>
          </w:p>
        </w:tc>
        <w:tc>
          <w:tcPr>
            <w:tcW w:w="1019" w:type="dxa"/>
            <w:tcBorders>
              <w:top w:val="single" w:sz="4" w:space="0" w:color="000000"/>
              <w:left w:val="single" w:sz="4" w:space="0" w:color="DDDDDD"/>
              <w:bottom w:val="single" w:sz="4" w:space="0" w:color="000000"/>
            </w:tcBorders>
            <w:shd w:fill="auto" w:val="clear"/>
          </w:tcPr>
          <w:p>
            <w:pPr>
              <w:pStyle w:val="TableContents"/>
              <w:widowControl w:val="false"/>
              <w:rPr/>
            </w:pPr>
            <w:r>
              <w:rPr/>
              <w:t>50</w:t>
            </w:r>
          </w:p>
        </w:tc>
        <w:tc>
          <w:tcPr>
            <w:tcW w:w="1015" w:type="dxa"/>
            <w:tcBorders>
              <w:top w:val="single" w:sz="4" w:space="0" w:color="000000"/>
              <w:left w:val="single" w:sz="4" w:space="0" w:color="DDDDDD"/>
              <w:bottom w:val="single" w:sz="4" w:space="0" w:color="000000"/>
            </w:tcBorders>
            <w:shd w:fill="auto" w:val="clear"/>
          </w:tcPr>
          <w:p>
            <w:pPr>
              <w:pStyle w:val="TableContents"/>
              <w:widowControl w:val="false"/>
              <w:rPr/>
            </w:pPr>
            <w:r>
              <w:rPr/>
              <w:t>56</w:t>
            </w:r>
          </w:p>
        </w:tc>
        <w:tc>
          <w:tcPr>
            <w:tcW w:w="1023" w:type="dxa"/>
            <w:tcBorders>
              <w:top w:val="single" w:sz="4" w:space="0" w:color="000000"/>
              <w:left w:val="single" w:sz="4" w:space="0" w:color="DDDDDD"/>
              <w:bottom w:val="single" w:sz="4" w:space="0" w:color="000000"/>
            </w:tcBorders>
            <w:shd w:fill="auto" w:val="clear"/>
          </w:tcPr>
          <w:p>
            <w:pPr>
              <w:pStyle w:val="TableContents"/>
              <w:widowControl w:val="false"/>
              <w:rPr/>
            </w:pPr>
            <w:r>
              <w:rPr/>
              <w:t>75</w:t>
            </w:r>
          </w:p>
        </w:tc>
        <w:tc>
          <w:tcPr>
            <w:tcW w:w="1020" w:type="dxa"/>
            <w:tcBorders>
              <w:top w:val="single" w:sz="4" w:space="0" w:color="000000"/>
              <w:left w:val="single" w:sz="4" w:space="0" w:color="DDDDDD"/>
              <w:bottom w:val="single" w:sz="4" w:space="0" w:color="000000"/>
            </w:tcBorders>
            <w:shd w:fill="auto" w:val="clear"/>
          </w:tcPr>
          <w:p>
            <w:pPr>
              <w:pStyle w:val="TableContents"/>
              <w:widowControl w:val="false"/>
              <w:rPr/>
            </w:pPr>
            <w:r>
              <w:rPr/>
              <w:t>67</w:t>
            </w:r>
          </w:p>
        </w:tc>
        <w:tc>
          <w:tcPr>
            <w:tcW w:w="1019" w:type="dxa"/>
            <w:tcBorders>
              <w:top w:val="single" w:sz="4" w:space="0" w:color="000000"/>
              <w:left w:val="single" w:sz="4" w:space="0" w:color="DDDDDD"/>
              <w:bottom w:val="single" w:sz="4" w:space="0" w:color="000000"/>
            </w:tcBorders>
            <w:shd w:fill="auto" w:val="clear"/>
          </w:tcPr>
          <w:p>
            <w:pPr>
              <w:pStyle w:val="TableContents"/>
              <w:widowControl w:val="false"/>
              <w:rPr/>
            </w:pPr>
            <w:r>
              <w:rPr/>
              <w:t>362</w:t>
            </w:r>
          </w:p>
        </w:tc>
        <w:tc>
          <w:tcPr>
            <w:tcW w:w="1018" w:type="dxa"/>
            <w:tcBorders>
              <w:top w:val="single" w:sz="4" w:space="0" w:color="000000"/>
              <w:left w:val="single" w:sz="4" w:space="0" w:color="DDDDDD"/>
              <w:bottom w:val="single" w:sz="4" w:space="0" w:color="000000"/>
            </w:tcBorders>
            <w:shd w:fill="auto" w:val="clear"/>
          </w:tcPr>
          <w:p>
            <w:pPr>
              <w:pStyle w:val="TableContents"/>
              <w:widowControl w:val="false"/>
              <w:rPr/>
            </w:pPr>
            <w:r>
              <w:rPr/>
              <w:t>326</w:t>
            </w:r>
          </w:p>
        </w:tc>
        <w:tc>
          <w:tcPr>
            <w:tcW w:w="1020" w:type="dxa"/>
            <w:tcBorders>
              <w:top w:val="single" w:sz="4" w:space="0" w:color="000000"/>
              <w:left w:val="single" w:sz="4" w:space="0" w:color="DDDDDD"/>
              <w:bottom w:val="single" w:sz="4" w:space="0" w:color="000000"/>
            </w:tcBorders>
            <w:shd w:fill="auto" w:val="clear"/>
          </w:tcPr>
          <w:p>
            <w:pPr>
              <w:pStyle w:val="TableContents"/>
              <w:widowControl w:val="false"/>
              <w:rPr/>
            </w:pPr>
            <w:r>
              <w:rPr/>
              <w:t>413</w:t>
            </w:r>
          </w:p>
        </w:tc>
        <w:tc>
          <w:tcPr>
            <w:tcW w:w="1023"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167</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C2–C7 Total</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15"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3"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966</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878</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r>
          </w:p>
        </w:tc>
      </w:tr>
    </w:tbl>
    <w:p>
      <w:pPr>
        <w:pStyle w:val="BodyText"/>
        <w:spacing w:before="0" w:after="140"/>
        <w:rPr/>
      </w:pPr>
      <w:r>
        <w:rPr/>
      </w:r>
    </w:p>
    <w:p>
      <w:pPr>
        <w:pStyle w:val="Heading2"/>
        <w:rPr/>
      </w:pPr>
      <w:bookmarkStart w:id="23" w:name="__RefHeading___Toc7268_68767826"/>
      <w:bookmarkEnd w:id="23"/>
      <w:r>
        <w:rPr/>
        <w:t>Table B</w:t>
      </w:r>
    </w:p>
    <w:p>
      <w:pPr>
        <w:pStyle w:val="BodyText"/>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Layout w:type="fixed"/>
        <w:tblCellMar>
          <w:top w:w="55" w:type="dxa"/>
          <w:left w:w="50" w:type="dxa"/>
          <w:bottom w:w="55" w:type="dxa"/>
          <w:right w:w="55" w:type="dxa"/>
        </w:tblCellMar>
      </w:tblPr>
      <w:tblGrid>
        <w:gridCol w:w="2376"/>
        <w:gridCol w:w="1806"/>
        <w:gridCol w:w="1876"/>
        <w:gridCol w:w="1933"/>
        <w:gridCol w:w="1647"/>
      </w:tblGrid>
      <w:tr>
        <w:trPr/>
        <w:tc>
          <w:tcPr>
            <w:tcW w:w="2376"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Estimation method</w:t>
            </w:r>
          </w:p>
        </w:tc>
        <w:tc>
          <w:tcPr>
            <w:tcW w:w="1806"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Interpretation</w:t>
            </w:r>
          </w:p>
        </w:tc>
        <w:tc>
          <w:tcPr>
            <w:tcW w:w="1876"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C8–C16 length</w:t>
            </w:r>
          </w:p>
        </w:tc>
        <w:tc>
          <w:tcPr>
            <w:tcW w:w="1933" w:type="dxa"/>
            <w:tcBorders>
              <w:top w:val="single" w:sz="4" w:space="0" w:color="DDDDDD"/>
              <w:left w:val="single" w:sz="4" w:space="0" w:color="DDDDDD"/>
              <w:bottom w:val="single" w:sz="4" w:space="0" w:color="000000"/>
            </w:tcBorders>
            <w:shd w:fill="auto" w:val="clear"/>
          </w:tcPr>
          <w:p>
            <w:pPr>
              <w:pStyle w:val="TableContents"/>
              <w:widowControl w:val="false"/>
              <w:rPr>
                <w:b/>
                <w:bCs/>
              </w:rPr>
            </w:pPr>
            <w:r>
              <w:rPr>
                <w:b/>
                <w:bCs/>
              </w:rPr>
              <w:t>C1–C7 estimate</w:t>
            </w:r>
          </w:p>
        </w:tc>
        <w:tc>
          <w:tcPr>
            <w:tcW w:w="1647"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rPr>
                <w:b/>
                <w:bCs/>
              </w:rPr>
            </w:pPr>
            <w:r>
              <w:rPr>
                <w:b/>
                <w:bCs/>
              </w:rPr>
              <w:t>Total length</w:t>
            </w:r>
          </w:p>
        </w:tc>
      </w:tr>
      <w:tr>
        <w:trPr/>
        <w:tc>
          <w:tcPr>
            <w:tcW w:w="2376" w:type="dxa"/>
            <w:tcBorders>
              <w:top w:val="single" w:sz="4" w:space="0" w:color="DDDDDD"/>
              <w:left w:val="single" w:sz="4" w:space="0" w:color="DDDDDD"/>
              <w:bottom w:val="single" w:sz="4" w:space="0" w:color="DDDDDD"/>
            </w:tcBorders>
            <w:shd w:fill="auto" w:val="clear"/>
          </w:tcPr>
          <w:p>
            <w:pPr>
              <w:pStyle w:val="TableContents"/>
              <w:widowControl w:val="false"/>
              <w:rPr/>
            </w:pPr>
            <w:r>
              <w:rPr/>
              <w:t>1. Scaled juvenile</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6"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3" w:type="dxa"/>
            <w:tcBorders>
              <w:top w:val="single" w:sz="4" w:space="0" w:color="DDDDDD"/>
              <w:left w:val="single" w:sz="4" w:space="0" w:color="DDDDDD"/>
              <w:bottom w:val="single" w:sz="4" w:space="0" w:color="DDDDDD"/>
            </w:tcBorders>
            <w:shd w:fill="auto" w:val="clear"/>
          </w:tcPr>
          <w:p>
            <w:pPr>
              <w:pStyle w:val="TableContents"/>
              <w:widowControl w:val="false"/>
              <w:rPr/>
            </w:pPr>
            <w:r>
              <w:rPr/>
              <w:t>1738</w:t>
            </w:r>
          </w:p>
        </w:tc>
        <w:tc>
          <w:tcPr>
            <w:tcW w:w="1647"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7904</w:t>
            </w:r>
          </w:p>
        </w:tc>
      </w:tr>
      <w:tr>
        <w:trPr/>
        <w:tc>
          <w:tcPr>
            <w:tcW w:w="2376"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6"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3" w:type="dxa"/>
            <w:tcBorders>
              <w:top w:val="single" w:sz="4" w:space="0" w:color="DDDDDD"/>
              <w:left w:val="single" w:sz="4" w:space="0" w:color="DDDDDD"/>
              <w:bottom w:val="single" w:sz="4" w:space="0" w:color="DDDDDD"/>
            </w:tcBorders>
            <w:shd w:fill="auto" w:val="clear"/>
          </w:tcPr>
          <w:p>
            <w:pPr>
              <w:pStyle w:val="TableContents"/>
              <w:widowControl w:val="false"/>
              <w:rPr/>
            </w:pPr>
            <w:r>
              <w:rPr/>
              <w:t>1821</w:t>
            </w:r>
          </w:p>
        </w:tc>
        <w:tc>
          <w:tcPr>
            <w:tcW w:w="1647"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8371</w:t>
            </w:r>
          </w:p>
        </w:tc>
      </w:tr>
      <w:tr>
        <w:trPr/>
        <w:tc>
          <w:tcPr>
            <w:tcW w:w="2376"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6"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3" w:type="dxa"/>
            <w:tcBorders>
              <w:top w:val="single" w:sz="4" w:space="0" w:color="000000"/>
              <w:left w:val="single" w:sz="4" w:space="0" w:color="DDDDDD"/>
              <w:bottom w:val="single" w:sz="4" w:space="0" w:color="000000"/>
            </w:tcBorders>
            <w:shd w:fill="auto" w:val="clear"/>
          </w:tcPr>
          <w:p>
            <w:pPr>
              <w:pStyle w:val="TableContents"/>
              <w:widowControl w:val="false"/>
              <w:rPr/>
            </w:pPr>
            <w:r>
              <w:rPr/>
              <w:t>1903</w:t>
            </w:r>
          </w:p>
        </w:tc>
        <w:tc>
          <w:tcPr>
            <w:tcW w:w="1647"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8836</w:t>
            </w:r>
          </w:p>
        </w:tc>
      </w:tr>
      <w:tr>
        <w:trPr/>
        <w:tc>
          <w:tcPr>
            <w:tcW w:w="2376" w:type="dxa"/>
            <w:tcBorders>
              <w:top w:val="single" w:sz="4" w:space="0" w:color="DDDDDD"/>
              <w:left w:val="single" w:sz="4" w:space="0" w:color="DDDDDD"/>
              <w:bottom w:val="single" w:sz="4" w:space="0" w:color="DDDDDD"/>
            </w:tcBorders>
            <w:shd w:fill="auto" w:val="clear"/>
          </w:tcPr>
          <w:p>
            <w:pPr>
              <w:pStyle w:val="TableContents"/>
              <w:widowControl w:val="false"/>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6"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3" w:type="dxa"/>
            <w:tcBorders>
              <w:top w:val="single" w:sz="4" w:space="0" w:color="DDDDDD"/>
              <w:left w:val="single" w:sz="4" w:space="0" w:color="DDDDDD"/>
              <w:bottom w:val="single" w:sz="4" w:space="0" w:color="DDDDDD"/>
            </w:tcBorders>
            <w:shd w:fill="auto" w:val="clear"/>
          </w:tcPr>
          <w:p>
            <w:pPr>
              <w:pStyle w:val="TableContents"/>
              <w:widowControl w:val="false"/>
              <w:rPr/>
            </w:pPr>
            <w:r>
              <w:rPr/>
              <w:t>2356</w:t>
            </w:r>
          </w:p>
        </w:tc>
        <w:tc>
          <w:tcPr>
            <w:tcW w:w="1647"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8522</w:t>
            </w:r>
          </w:p>
        </w:tc>
      </w:tr>
      <w:tr>
        <w:trPr/>
        <w:tc>
          <w:tcPr>
            <w:tcW w:w="2376"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6"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3" w:type="dxa"/>
            <w:tcBorders>
              <w:top w:val="single" w:sz="4" w:space="0" w:color="DDDDDD"/>
              <w:left w:val="single" w:sz="4" w:space="0" w:color="DDDDDD"/>
              <w:bottom w:val="single" w:sz="4" w:space="0" w:color="DDDDDD"/>
            </w:tcBorders>
            <w:shd w:fill="auto" w:val="clear"/>
          </w:tcPr>
          <w:p>
            <w:pPr>
              <w:pStyle w:val="TableContents"/>
              <w:widowControl w:val="false"/>
              <w:rPr/>
            </w:pPr>
            <w:r>
              <w:rPr/>
              <w:t>2506</w:t>
            </w:r>
          </w:p>
        </w:tc>
        <w:tc>
          <w:tcPr>
            <w:tcW w:w="1647"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bookmarkStart w:id="24" w:name="__DdeLink__7277_68767826"/>
            <w:r>
              <w:rPr/>
              <w:t>9056</w:t>
            </w:r>
            <w:bookmarkEnd w:id="24"/>
          </w:p>
        </w:tc>
      </w:tr>
      <w:tr>
        <w:trPr/>
        <w:tc>
          <w:tcPr>
            <w:tcW w:w="2376"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6"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3" w:type="dxa"/>
            <w:tcBorders>
              <w:top w:val="single" w:sz="4" w:space="0" w:color="000000"/>
              <w:left w:val="single" w:sz="4" w:space="0" w:color="DDDDDD"/>
              <w:bottom w:val="single" w:sz="4" w:space="0" w:color="000000"/>
            </w:tcBorders>
            <w:shd w:fill="auto" w:val="clear"/>
          </w:tcPr>
          <w:p>
            <w:pPr>
              <w:pStyle w:val="TableContents"/>
              <w:widowControl w:val="false"/>
              <w:rPr/>
            </w:pPr>
            <w:r>
              <w:rPr/>
              <w:t>2655</w:t>
            </w:r>
          </w:p>
        </w:tc>
        <w:tc>
          <w:tcPr>
            <w:tcW w:w="1647"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9588</w:t>
            </w:r>
          </w:p>
        </w:tc>
      </w:tr>
      <w:tr>
        <w:trPr/>
        <w:tc>
          <w:tcPr>
            <w:tcW w:w="2376" w:type="dxa"/>
            <w:tcBorders>
              <w:top w:val="single" w:sz="4" w:space="0" w:color="DDDDDD"/>
              <w:left w:val="single" w:sz="4" w:space="0" w:color="DDDDDD"/>
              <w:bottom w:val="single" w:sz="4" w:space="0" w:color="DDDDDD"/>
            </w:tcBorders>
            <w:shd w:fill="auto" w:val="clear"/>
          </w:tcPr>
          <w:p>
            <w:pPr>
              <w:pStyle w:val="TableContents"/>
              <w:widowControl w:val="false"/>
              <w:rPr/>
            </w:pPr>
            <w:r>
              <w:rPr/>
              <w:t>3. Artistic intuition</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6"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3" w:type="dxa"/>
            <w:tcBorders>
              <w:top w:val="single" w:sz="4" w:space="0" w:color="DDDDDD"/>
              <w:left w:val="single" w:sz="4" w:space="0" w:color="DDDDDD"/>
              <w:bottom w:val="single" w:sz="4" w:space="0" w:color="DDDDDD"/>
            </w:tcBorders>
            <w:shd w:fill="auto" w:val="clear"/>
          </w:tcPr>
          <w:p>
            <w:pPr>
              <w:pStyle w:val="TableContents"/>
              <w:widowControl w:val="false"/>
              <w:rPr/>
            </w:pPr>
            <w:r>
              <w:rPr/>
              <w:t>2142</w:t>
            </w:r>
          </w:p>
        </w:tc>
        <w:tc>
          <w:tcPr>
            <w:tcW w:w="1647"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8308</w:t>
            </w:r>
          </w:p>
        </w:tc>
      </w:tr>
      <w:tr>
        <w:trPr/>
        <w:tc>
          <w:tcPr>
            <w:tcW w:w="2376"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6"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3" w:type="dxa"/>
            <w:tcBorders>
              <w:top w:val="single" w:sz="4" w:space="0" w:color="DDDDDD"/>
              <w:left w:val="single" w:sz="4" w:space="0" w:color="DDDDDD"/>
              <w:bottom w:val="single" w:sz="4" w:space="0" w:color="DDDDDD"/>
            </w:tcBorders>
            <w:shd w:fill="auto" w:val="clear"/>
          </w:tcPr>
          <w:p>
            <w:pPr>
              <w:pStyle w:val="TableContents"/>
              <w:widowControl w:val="false"/>
              <w:rPr/>
            </w:pPr>
            <w:r>
              <w:rPr/>
              <w:t>2275</w:t>
            </w:r>
          </w:p>
        </w:tc>
        <w:tc>
          <w:tcPr>
            <w:tcW w:w="1647"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8825</w:t>
            </w:r>
          </w:p>
        </w:tc>
      </w:tr>
      <w:tr>
        <w:trPr/>
        <w:tc>
          <w:tcPr>
            <w:tcW w:w="2376"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Long</w:t>
            </w:r>
          </w:p>
        </w:tc>
        <w:tc>
          <w:tcPr>
            <w:tcW w:w="1876"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3" w:type="dxa"/>
            <w:tcBorders>
              <w:top w:val="single" w:sz="4" w:space="0" w:color="000000"/>
              <w:left w:val="single" w:sz="4" w:space="0" w:color="DDDDDD"/>
              <w:bottom w:val="single" w:sz="4" w:space="0" w:color="000000"/>
            </w:tcBorders>
            <w:shd w:fill="auto" w:val="clear"/>
          </w:tcPr>
          <w:p>
            <w:pPr>
              <w:pStyle w:val="TableContents"/>
              <w:widowControl w:val="false"/>
              <w:rPr/>
            </w:pPr>
            <w:r>
              <w:rPr/>
              <w:t>2408</w:t>
            </w:r>
          </w:p>
        </w:tc>
        <w:tc>
          <w:tcPr>
            <w:tcW w:w="1647"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9341</w:t>
            </w:r>
          </w:p>
        </w:tc>
      </w:tr>
    </w:tbl>
    <w:p>
      <w:pPr>
        <w:pStyle w:val="BodyText"/>
        <w:rPr/>
      </w:pPr>
      <w:r>
        <w:rPr/>
      </w:r>
    </w:p>
    <w:p>
      <w:pPr>
        <w:pStyle w:val="Heading2"/>
        <w:spacing w:before="198" w:after="119"/>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Monaco">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hanging="0" w:left="0" w:right="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qFormat/>
    <w:pPr>
      <w:numPr>
        <w:ilvl w:val="0"/>
        <w:numId w:val="1"/>
      </w:numPr>
      <w:spacing w:before="567" w:after="142"/>
      <w:ind w:hanging="0" w:left="0" w:right="0"/>
      <w:jc w:val="left"/>
      <w:outlineLvl w:val="0"/>
    </w:pPr>
    <w:rPr>
      <w:b/>
      <w:bCs/>
      <w:sz w:val="32"/>
      <w:szCs w:val="36"/>
    </w:rPr>
  </w:style>
  <w:style w:type="paragraph" w:styleId="Heading2">
    <w:name w:val="heading 2"/>
    <w:basedOn w:val="Heading"/>
    <w:next w:val="BodyText"/>
    <w:qFormat/>
    <w:pPr>
      <w:spacing w:before="198" w:after="119"/>
      <w:ind w:hanging="0" w:left="0" w:right="0"/>
      <w:outlineLvl w:val="1"/>
    </w:pPr>
    <w:rPr>
      <w:rFonts w:ascii="Gill Sans" w:hAnsi="Gill Sans" w:eastAsia="Songti SC" w:cs="Arial Unicode MS"/>
      <w:b/>
      <w:bCs/>
      <w:sz w:val="24"/>
      <w:szCs w:val="36"/>
    </w:rPr>
  </w:style>
  <w:style w:type="paragraph" w:styleId="Heading3">
    <w:name w:val="heading 3"/>
    <w:basedOn w:val="Heading"/>
    <w:next w:val="BodyText"/>
    <w:qFormat/>
    <w:pPr>
      <w:numPr>
        <w:ilvl w:val="2"/>
        <w:numId w:val="1"/>
      </w:numPr>
      <w:spacing w:before="140" w:after="120"/>
      <w:outlineLvl w:val="2"/>
    </w:pPr>
    <w:rPr>
      <w:b/>
      <w:bCs/>
      <w:sz w:val="20"/>
      <w:szCs w:val="28"/>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Gill Sans" w:hAnsi="Gill Sans" w:eastAsia="PingFang SC" w:cs="Arial Unicode MS"/>
      <w:b/>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spacing w:before="238" w:after="119"/>
      <w:jc w:val="left"/>
    </w:pPr>
    <w:rPr>
      <w:b/>
      <w:bCs/>
      <w:sz w:val="40"/>
      <w:szCs w:val="56"/>
    </w:rPr>
  </w:style>
  <w:style w:type="paragraph" w:styleId="Author">
    <w:name w:val="Author"/>
    <w:basedOn w:val="BodyText"/>
    <w:qFormat/>
    <w:pPr>
      <w:jc w:val="left"/>
    </w:pPr>
    <w:rPr>
      <w:b w:val="false"/>
      <w:i/>
    </w:rPr>
  </w:style>
  <w:style w:type="paragraph" w:styleId="BlockQuotation">
    <w:name w:val="Block Quotation"/>
    <w:basedOn w:val="Normal"/>
    <w:qFormat/>
    <w:pPr>
      <w:spacing w:lineRule="auto" w:line="276" w:before="0" w:after="283"/>
      <w:ind w:hanging="0" w:left="567" w:right="567"/>
    </w:pPr>
    <w:rPr/>
  </w:style>
  <w:style w:type="paragraph" w:styleId="Abstract">
    <w:name w:val="Abstract"/>
    <w:basedOn w:val="BodyText"/>
    <w:qFormat/>
    <w:pPr>
      <w:spacing w:before="0" w:after="142"/>
      <w:ind w:hanging="0" w:left="567" w:right="567"/>
    </w:pPr>
    <w:rPr>
      <w:i/>
      <w:iCs/>
    </w:rPr>
  </w:style>
  <w:style w:type="paragraph" w:styleId="TOAHeading">
    <w:name w:val="TOA Heading"/>
    <w:basedOn w:val="Heading"/>
    <w:qFormat/>
    <w:pPr>
      <w:pageBreakBefore/>
      <w:suppressLineNumbers/>
      <w:ind w:hanging="0" w:left="0" w:right="0"/>
    </w:pPr>
    <w:rPr>
      <w:b/>
      <w:bCs/>
      <w:sz w:val="32"/>
      <w:szCs w:val="32"/>
    </w:rPr>
  </w:style>
  <w:style w:type="paragraph" w:styleId="TOC1">
    <w:name w:val="toc 1"/>
    <w:basedOn w:val="Index"/>
    <w:pPr>
      <w:tabs>
        <w:tab w:val="clear" w:pos="720"/>
        <w:tab w:val="right" w:pos="9638" w:leader="dot"/>
      </w:tabs>
      <w:ind w:hanging="0" w:left="0" w:right="0"/>
    </w:pPr>
    <w:rPr/>
  </w:style>
  <w:style w:type="paragraph" w:styleId="Reference">
    <w:name w:val="Reference"/>
    <w:basedOn w:val="BodyText"/>
    <w:qFormat/>
    <w:pPr>
      <w:tabs>
        <w:tab w:val="clear" w:pos="720"/>
      </w:tabs>
      <w:spacing w:before="0" w:after="142"/>
      <w:ind w:hanging="283" w:left="283" w:right="0"/>
    </w:pPr>
    <w:rPr/>
  </w:style>
  <w:style w:type="paragraph" w:styleId="TOC2">
    <w:name w:val="toc 2"/>
    <w:basedOn w:val="Index"/>
    <w:pPr>
      <w:tabs>
        <w:tab w:val="clear" w:pos="720"/>
        <w:tab w:val="right" w:pos="9355" w:leader="dot"/>
      </w:tabs>
      <w:ind w:hanging="0" w:left="283" w:right="0"/>
    </w:pPr>
    <w:rPr/>
  </w:style>
  <w:style w:type="paragraph" w:styleId="FigureCaption">
    <w:name w:val="Figure Caption"/>
    <w:basedOn w:val="BodyText"/>
    <w:qFormat/>
    <w:pPr>
      <w:tabs>
        <w:tab w:val="clear" w:pos="720"/>
      </w:tabs>
      <w:spacing w:before="0" w:after="142"/>
      <w:ind w:hanging="283" w:left="283" w:right="0"/>
    </w:pPr>
    <w:rPr/>
  </w:style>
  <w:style w:type="paragraph" w:styleId="TOC3">
    <w:name w:val="toc 3"/>
    <w:basedOn w:val="Index"/>
    <w:pPr>
      <w:tabs>
        <w:tab w:val="clear" w:pos="720"/>
        <w:tab w:val="right" w:pos="9072" w:leader="dot"/>
      </w:tabs>
      <w:ind w:hanging="0" w:left="566" w:right="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hyperlink" Target="https://www.thestar.com/business/tech_news/2007/11/14/roms_random_bones_a_jurassic_perk.html" TargetMode="External"/><Relationship Id="rId6" Type="http://schemas.openxmlformats.org/officeDocument/2006/relationships/hyperlink" Target="https://perma.cc/M9D7-5H4N" TargetMode="External"/><Relationship Id="rId7" Type="http://schemas.openxmlformats.org/officeDocument/2006/relationships/hyperlink" Target="https://www.rom.on.ca/en/about-us/newsroom/press-releases/massive-barosaurus-skeleton-discovered-at-the-rom" TargetMode="External"/><Relationship Id="rId8" Type="http://schemas.openxmlformats.org/officeDocument/2006/relationships/hyperlink" Target="https://web.archive.org/web/20210421171257/https://www.rom.on.ca/en/about-us/newsroom/press-releases/massive-barosaurus-skeleton-discovered-at-the-rom" TargetMode="External"/><Relationship Id="rId9" Type="http://schemas.openxmlformats.org/officeDocument/2006/relationships/hyperlink" Target="https://perma.cc/CMS4-9UQB"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11996</TotalTime>
  <Application>LibreOffice/24.8.2.1$MacOSX_X86_64 LibreOffice_project/0f794b6e29741098670a3b95d60478a65d05ef13</Application>
  <AppVersion>15.0000</AppVersion>
  <Pages>14</Pages>
  <Words>5904</Words>
  <Characters>32028</Characters>
  <CharactersWithSpaces>37576</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2024-11-22T10:09:35Z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file>