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11</w:t>
        </w:r>
      </w:hyperlink>
    </w:p>
    <w:p>
      <w:pPr>
        <w:pStyle w:val="Contents1"/>
        <w:tabs>
          <w:tab w:val="right" w:pos="9638" w:leader="dot"/>
        </w:tabs>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w:t>
      </w:r>
      <w:r>
        <w:rPr/>
        <w:t xml:space="preserve">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a lower leg, and various other pieces (ROM 2007). </w:t>
      </w:r>
      <w:r>
        <w:rPr/>
        <w:t xml:space="preserve">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rPr/>
      </w:pPr>
      <w:r>
        <w:rPr>
          <w:b/>
          <w:bCs/>
        </w:rPr>
        <w:t>Parapophysis situated anterior to diapophysis</w:t>
      </w:r>
      <w:r>
        <w:rPr/>
        <w:t xml:space="preserve"> so that CRL is inclined forwards as it descends from the diapophysis.</w:t>
      </w:r>
    </w:p>
    <w:p>
      <w:pPr>
        <w:pStyle w:val="TextBody"/>
        <w:numPr>
          <w:ilvl w:val="0"/>
          <w:numId w:val="5"/>
        </w:numPr>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w:t>
      </w:r>
    </w:p>
    <w:p>
      <w:pPr>
        <w:pStyle w:val="TextBody"/>
        <w:numPr>
          <w:ilvl w:val="0"/>
          <w:numId w:val="5"/>
        </w:numPr>
        <w:rPr/>
      </w:pPr>
      <w:r>
        <w:rPr>
          <w:b/>
          <w:bCs/>
        </w:rPr>
        <w:t>Posteriorly directed process on diapophyseal process</w:t>
      </w:r>
      <w:r>
        <w:rPr/>
        <w:t xml:space="preserve"> just above CRL, shaped like a rounded triangle.</w:t>
      </w:r>
    </w:p>
    <w:p>
      <w:pPr>
        <w:pStyle w:val="TextBody"/>
        <w:numPr>
          <w:ilvl w:val="0"/>
          <w:numId w:val="5"/>
        </w:numPr>
        <w:rPr/>
      </w:pPr>
      <w:r>
        <w:rPr>
          <w:b/>
          <w:bCs/>
        </w:rPr>
        <w:t>Paired low-profile PCDLs</w:t>
      </w:r>
      <w:r>
        <w:rPr>
          <w:b w:val="false"/>
          <w:bCs w:val="false"/>
        </w:rPr>
        <w:t xml:space="preserve"> which radiate backwards and downwards from behind diapophysis.</w:t>
      </w:r>
    </w:p>
    <w:p>
      <w:pPr>
        <w:pStyle w:val="TextBody"/>
        <w:numPr>
          <w:ilvl w:val="0"/>
          <w:numId w:val="5"/>
        </w:numPr>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hyperlink r:id="rId6">
        <w:r>
          <w:rPr>
            <w:rStyle w:val="InternetLink"/>
          </w:rPr>
          <w:t>https://web.archive.org/web/20201211011357/https://www.thestar.com/business/tech_news/2007/11/14/roms_random_bones_a_jurassic_perk.html</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8"/>
        <w:gridCol w:w="1020"/>
        <w:gridCol w:w="1020"/>
        <w:gridCol w:w="1019"/>
        <w:gridCol w:w="1019"/>
        <w:gridCol w:w="1020"/>
        <w:gridCol w:w="1022"/>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2"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7"/>
        <w:gridCol w:w="1641"/>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7"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1"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4" w:name="__DdeLink__7277_68767826"/>
            <w:r>
              <w:rPr/>
              <w:t>9056</w:t>
            </w:r>
            <w:bookmarkEnd w:id="24"/>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i w:val="false"/>
      <w:iCs w:val="false"/>
    </w:rPr>
  </w:style>
  <w:style w:type="character" w:styleId="ListLabel208">
    <w:name w:val="ListLabel 20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web.archive.org/web/20201211011357/https://www.thestar.com/business/tech_news/2007/11/14/roms_random_bones_a_jurassic_perk.html"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11893</TotalTime>
  <Application>LibreOffice/6.1.3.2$MacOSX_X86_64 LibreOffice_project/86daf60bf00efa86ad547e59e09d6bb77c699acb</Application>
  <Pages>14</Pages>
  <Words>5702</Words>
  <Characters>30881</Characters>
  <CharactersWithSpaces>36231</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2022-03-09T23:47:11Z</dcterms:modified>
  <cp:revision>133</cp:revision>
  <dc:subject/>
  <dc:title/>
</cp:coreProperties>
</file>