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6</w:t>
        </w:r>
      </w:hyperlink>
    </w:p>
    <w:p>
      <w:pPr>
        <w:pStyle w:val="Contents1"/>
        <w:tabs>
          <w:tab w:val="right" w:pos="9638" w:leader="dot"/>
        </w:tabs>
        <w:rPr/>
      </w:pPr>
      <w:hyperlink w:anchor="__RefHeading___Toc3399_68767826">
        <w:r>
          <w:rPr>
            <w:rStyle w:val="IndexLink"/>
          </w:rPr>
          <w:t>Results</w:t>
          <w:tab/>
          <w:t>7</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8</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403_68767826">
        <w:r>
          <w:rPr>
            <w:rStyle w:val="IndexLink"/>
          </w:rPr>
          <w:t>Acknowledgements</w:t>
          <w:tab/>
          <w:t>8</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10</w:t>
        </w:r>
      </w:hyperlink>
    </w:p>
    <w:p>
      <w:pPr>
        <w:pStyle w:val="Contents1"/>
        <w:tabs>
          <w:tab w:val="right" w:pos="9638" w:leader="dot"/>
        </w:tabs>
        <w:rPr/>
      </w:pPr>
      <w:hyperlink w:anchor="__RefHeading___Toc7266_68767826">
        <w:r>
          <w:rPr>
            <w:rStyle w:val="IndexLink"/>
          </w:rPr>
          <w:t>Tables</w:t>
          <w:tab/>
          <w:t>11</w:t>
        </w:r>
      </w:hyperlink>
    </w:p>
    <w:p>
      <w:pPr>
        <w:pStyle w:val="Contents2"/>
        <w:tabs>
          <w:tab w:val="clear" w:pos="9355"/>
          <w:tab w:val="right" w:pos="9638" w:leader="dot"/>
        </w:tabs>
        <w:rPr/>
      </w:pPr>
      <w:hyperlink w:anchor="__RefHeading___Toc7275_68767826">
        <w:r>
          <w:rPr>
            <w:rStyle w:val="IndexLink"/>
          </w:rPr>
          <w:t>Table A</w:t>
          <w:tab/>
          <w:t>11</w:t>
        </w:r>
      </w:hyperlink>
    </w:p>
    <w:p>
      <w:pPr>
        <w:pStyle w:val="Contents2"/>
        <w:tabs>
          <w:tab w:val="clear" w:pos="9355"/>
          <w:tab w:val="right" w:pos="9638" w:leader="dot"/>
        </w:tabs>
        <w:rPr/>
      </w:pPr>
      <w:hyperlink w:anchor="__RefHeading___Toc7268_68767826">
        <w:r>
          <w:rPr>
            <w:rStyle w:val="IndexLink"/>
          </w:rPr>
          <w:t>Table B</w:t>
          <w:tab/>
          <w:t>11</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 xml:space="preserve">Anatomical </w:t>
      </w:r>
      <w:r>
        <w:rPr/>
        <w:t>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w:t>
      </w:r>
      <w:r>
        <w:rPr/>
        <w:t>for example, McIntosh (2005:44) writes that “</w:t>
      </w:r>
      <w:r>
        <w:rPr/>
        <w:t xml:space="preserve">The </w:t>
      </w:r>
      <w:r>
        <w:rPr/>
        <w:t xml:space="preserve">[cervical] </w:t>
      </w:r>
      <w:r>
        <w:rPr/>
        <w:t>vertebrae c</w:t>
      </w:r>
      <w:r>
        <w:rPr/>
        <w:t>l</w:t>
      </w:r>
      <w:r>
        <w:rPr/>
        <w:t xml:space="preserve">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w:t>
      </w:r>
      <w:r>
        <w:rPr/>
        <w:t xml:space="preserve">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w:t>
      </w:r>
      <w:r>
        <w:rPr/>
        <w:t xml:space="preserve">is a </w:t>
      </w:r>
      <w:r>
        <w:rPr/>
        <w:t>misappre</w:t>
      </w:r>
      <w:r>
        <w:rPr/>
        <w:t>he</w:t>
      </w:r>
      <w:r>
        <w:rPr/>
        <w:t xml:space="preserve">nsion, </w:t>
      </w:r>
      <w:r>
        <w:rPr/>
        <w:t xml:space="preserve">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Elongation of centra.</w:t>
      </w:r>
      <w:r>
        <w:rPr/>
        <w:t xml:space="preserve"> </w:t>
      </w:r>
      <w:r>
        <w:rPr/>
        <w:t xml:space="preserve">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Anterior positioning of postzygapophyses.</w:t>
      </w:r>
      <w:r>
        <w:rPr/>
        <w:t xml:space="preserve"> Tschopp at al. (2015:261) find this as an autapomorphy, </w:t>
      </w:r>
      <w:r>
        <w:rPr/>
        <w:t>“posterior cervical postzygapophyses terminate in front of the posterior edge of the centrum, unique within Diplodoci</w:t>
      </w:r>
      <w:r>
        <w:rPr/>
        <w:t>n</w:t>
      </w:r>
      <w:r>
        <w:rPr/>
        <w:t>ae”.</w:t>
      </w:r>
    </w:p>
    <w:p>
      <w:pPr>
        <w:pStyle w:val="TextBody"/>
        <w:numPr>
          <w:ilvl w:val="0"/>
          <w:numId w:val="5"/>
        </w:numPr>
        <w:rPr/>
      </w:pPr>
      <w:r>
        <w:rPr>
          <w:b/>
          <w:bCs/>
        </w:rPr>
        <w:t>Symmetrical depressions in lateral wings</w:t>
      </w:r>
      <w:r>
        <w:rPr/>
        <w:t xml:space="preserve"> (PRDL/PODL complex). Tschopp at al. (2015:261) characterise this feature as “</w:t>
      </w:r>
      <w:r>
        <w:rPr/>
        <w:t>postzyg</w:t>
      </w:r>
      <w:r>
        <w:rPr/>
        <w:t>a</w:t>
      </w:r>
      <w:r>
        <w:rPr/>
        <w:t xml:space="preserve">diapophyseal lamina pierced by a foramen on the dorsal side, just anterior to the base of the neural spine process” </w:t>
      </w:r>
      <w:r>
        <w:rPr/>
        <w:t>and consider it</w:t>
      </w:r>
      <w:r>
        <w:rPr/>
        <w:t xml:space="preserve"> unique among </w:t>
      </w:r>
      <w:r>
        <w:rPr/>
        <w:t>d</w:t>
      </w:r>
      <w:r>
        <w:rPr/>
        <w:t>iplodocoid</w:t>
      </w:r>
      <w:r>
        <w:rPr/>
        <w:t>s</w:t>
      </w:r>
      <w:r>
        <w:rPr/>
        <w:t xml:space="preserve">, assuming </w:t>
      </w:r>
      <w:r>
        <w:rPr>
          <w:i/>
          <w:iCs/>
        </w:rPr>
        <w:t>Australodocus</w:t>
      </w:r>
      <w:r>
        <w:rPr/>
        <w:t xml:space="preserve"> </w:t>
      </w:r>
      <w:r>
        <w:rPr/>
        <w:t xml:space="preserve">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Low, rounded neural spines</w:t>
      </w:r>
      <w:r>
        <w:rPr/>
        <w:t xml:space="preserve">, </w:t>
      </w:r>
      <w:r>
        <w:rPr/>
        <w:t xml:space="preserve">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 xml:space="preserve">Narrow </w:t>
      </w:r>
      <w:r>
        <w:rPr>
          <w:b/>
          <w:bCs/>
        </w:rPr>
        <w:t>cervical rib loop (</w:t>
      </w:r>
      <w:r>
        <w:rPr>
          <w:b/>
          <w:bCs/>
        </w:rPr>
        <w:t>CRL</w:t>
      </w:r>
      <w:r>
        <w:rPr>
          <w:b/>
          <w:bCs/>
        </w:rPr>
        <w:t>).</w:t>
      </w:r>
      <w:r>
        <w:rPr/>
        <w:t xml:space="preserve"> The strap of bone connecting the diapophysis above to the cervical rib below is anteroposteriorly constricted.</w:t>
      </w:r>
    </w:p>
    <w:p>
      <w:pPr>
        <w:pStyle w:val="TextBody"/>
        <w:numPr>
          <w:ilvl w:val="0"/>
          <w:numId w:val="5"/>
        </w:numPr>
        <w:rPr/>
      </w:pPr>
      <w:r>
        <w:rPr>
          <w:b/>
          <w:bCs/>
        </w:rPr>
        <w:t>Parapophysis situated anterior to diapophysis</w:t>
      </w:r>
      <w:r>
        <w:rPr/>
        <w:t xml:space="preserve"> so that CRL is inclined forwards as it descents from the diapophysis.</w:t>
      </w:r>
    </w:p>
    <w:p>
      <w:pPr>
        <w:pStyle w:val="TextBody"/>
        <w:numPr>
          <w:ilvl w:val="0"/>
          <w:numId w:val="5"/>
        </w:numPr>
        <w:rPr/>
      </w:pPr>
      <w:r>
        <w:rPr>
          <w:b/>
          <w:bCs/>
        </w:rPr>
        <w:t>“</w:t>
      </w:r>
      <w:r>
        <w:rPr>
          <w:b/>
          <w:bCs/>
        </w:rPr>
        <w:t>Thumb notch” posterolateral to prezyg</w:t>
      </w:r>
      <w:r>
        <w:rPr>
          <w:b/>
          <w:bCs/>
        </w:rPr>
        <w:t>apophysis</w:t>
      </w:r>
      <w:r>
        <w:rPr>
          <w:b/>
          <w:bCs/>
        </w:rPr>
        <w:t>.</w:t>
      </w:r>
      <w:r>
        <w:rPr/>
        <w:t xml:space="preserve"> </w:t>
      </w:r>
      <w:r>
        <w:rPr/>
        <w:t>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U-shaped notch between prezyg</w:t>
      </w:r>
      <w:r>
        <w:rPr>
          <w:b/>
          <w:bCs/>
        </w:rPr>
        <w:t>apophyseal</w:t>
      </w:r>
      <w:r>
        <w:rPr>
          <w:b/>
          <w:bCs/>
        </w:rPr>
        <w:t xml:space="preserve"> rami in dorsal view.</w:t>
      </w:r>
      <w:r>
        <w:rPr/>
        <w:t xml:space="preserve"> </w:t>
      </w:r>
      <w:r>
        <w:rPr/>
        <w:t xml:space="preserve">XXX I think this one is a wash: see Taylor and Wedel (2016:figure 4) at </w:t>
      </w:r>
      <w:hyperlink r:id="rId4">
        <w:r>
          <w:rPr>
            <w:rStyle w:val="InternetLink"/>
          </w:rPr>
          <w:t>https://svpow.files.wordpress.com/2013/09/figure4-diplodocid-posterior-cervicals-in-dorsal-view.jpeg</w:t>
        </w:r>
      </w:hyperlink>
    </w:p>
    <w:p>
      <w:pPr>
        <w:pStyle w:val="TextBody"/>
        <w:numPr>
          <w:ilvl w:val="0"/>
          <w:numId w:val="5"/>
        </w:numPr>
        <w:rPr/>
      </w:pPr>
      <w:r>
        <w:rPr>
          <w:b/>
          <w:bCs/>
        </w:rPr>
        <w:t>“</w:t>
      </w:r>
      <w:r>
        <w:rPr>
          <w:b/>
          <w:bCs/>
        </w:rPr>
        <w:t>Two-faced</w:t>
      </w:r>
      <w:r>
        <w:rPr>
          <w:b/>
          <w:bCs/>
        </w:rPr>
        <w:t>” parapophyseal rami</w:t>
      </w:r>
      <w:r>
        <w:rPr/>
        <w:t xml:space="preserve">, </w:t>
      </w:r>
      <w:r>
        <w:rPr/>
        <w:t xml:space="preserve">in which the SPRL is an actual lamina but the infection point between broad </w:t>
      </w:r>
      <w:r>
        <w:rPr/>
        <w:t xml:space="preserve">PRDL and SPRL </w:t>
      </w:r>
      <w:r>
        <w:rPr/>
        <w:t xml:space="preserve">which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Posteriorly directed process on diapophyseal process</w:t>
      </w:r>
      <w:r>
        <w:rPr/>
        <w:t xml:space="preserve"> just above CRL.</w:t>
      </w:r>
    </w:p>
    <w:p>
      <w:pPr>
        <w:pStyle w:val="TextBody"/>
        <w:numPr>
          <w:ilvl w:val="0"/>
          <w:numId w:val="5"/>
        </w:numPr>
        <w:rPr/>
      </w:pPr>
      <w:r>
        <w:rPr/>
        <w:t xml:space="preserve">Width of prezyg rami </w:t>
      </w:r>
      <w:r>
        <w:rPr/>
        <w:t xml:space="preserve">(also in C7–8 of </w:t>
      </w:r>
      <w:r>
        <w:rPr>
          <w:i/>
          <w:iCs/>
        </w:rPr>
        <w:t>Gp</w:t>
      </w:r>
      <w:r>
        <w:rPr/>
        <w:t>.)</w:t>
      </w:r>
    </w:p>
    <w:p>
      <w:pPr>
        <w:pStyle w:val="TextBody"/>
        <w:numPr>
          <w:ilvl w:val="0"/>
          <w:numId w:val="5"/>
        </w:numPr>
        <w:rPr/>
      </w:pPr>
      <w:r>
        <w:rPr/>
        <w:t xml:space="preserve">Width of prezyg facets (also in C7–8 of </w:t>
      </w:r>
      <w:r>
        <w:rPr>
          <w:i/>
          <w:iCs/>
        </w:rPr>
        <w:t>Gp</w:t>
      </w:r>
      <w:r>
        <w:rPr/>
        <w:t>.)</w:t>
      </w:r>
    </w:p>
    <w:p>
      <w:pPr>
        <w:pStyle w:val="TextBody"/>
        <w:numPr>
          <w:ilvl w:val="0"/>
          <w:numId w:val="5"/>
        </w:numPr>
        <w:rPr/>
      </w:pPr>
      <w:r>
        <w:rPr/>
        <w:t>PRDL sweeps out to diapophysis</w:t>
      </w:r>
    </w:p>
    <w:p>
      <w:pPr>
        <w:pStyle w:val="TextBody"/>
        <w:numPr>
          <w:ilvl w:val="0"/>
          <w:numId w:val="5"/>
        </w:numPr>
        <w:rPr/>
      </w:pPr>
      <w:r>
        <w:rPr/>
        <w:t>diapophysis sweeps back to postzyg</w:t>
      </w:r>
    </w:p>
    <w:p>
      <w:pPr>
        <w:pStyle w:val="TextBody"/>
        <w:numPr>
          <w:ilvl w:val="0"/>
          <w:numId w:val="5"/>
        </w:numPr>
        <w:rPr/>
      </w:pPr>
      <w:r>
        <w:rPr/>
        <w:t>Paired PCDLs radiating backwards and downwards from behind diapophysis</w:t>
      </w:r>
    </w:p>
    <w:p>
      <w:pPr>
        <w:pStyle w:val="Heading2"/>
        <w:rPr/>
      </w:pPr>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2" w:name="__RefHeading___Toc3399_68767826"/>
      <w:bookmarkEnd w:id="12"/>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3" w:name="__RefHeading___Toc6842_68767826"/>
      <w:bookmarkEnd w:id="1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So</w:t>
      </w:r>
      <w:r>
        <w:rPr/>
        <w:t xml:space="preserv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w:t>
      </w:r>
      <w:r>
        <w:rPr>
          <w:i w:val="false"/>
          <w:iCs w:val="false"/>
        </w:rPr>
        <w:t>T</w:t>
      </w:r>
      <w:r>
        <w:rPr>
          <w:i w:val="false"/>
          <w:iCs w:val="false"/>
        </w:rPr>
        <w:t xml:space="preserve">he ROM and Utah mounts are of comparable size such that AMNH material can be readily incorporated into them; </w:t>
      </w:r>
      <w:r>
        <w:rPr>
          <w:i w:val="false"/>
          <w:iCs w:val="false"/>
        </w:rPr>
        <w:t xml:space="preserve">and CM 11984 is about 3.5% larger than AMNH 6341 (McIntosh 2005:45). So </w:t>
      </w:r>
      <w:r>
        <w:rPr>
          <w:i w:val="false"/>
          <w:iCs w:val="false"/>
        </w:rPr>
        <w:t xml:space="preserve">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4" w:name="__RefHeading___Toc3401_68767826"/>
      <w:bookmarkEnd w:id="14"/>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5" w:name="__RefHeading___Toc3403_68767826"/>
      <w:bookmarkEnd w:id="1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6" w:name="__RefHeading___Toc3405_68767826"/>
      <w:bookmarkEnd w:id="16"/>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r>
        <w:rPr/>
        <w:t xml:space="preserve"> </w:t>
      </w:r>
      <w:r>
        <w:rPr>
          <w:b/>
          <w:bCs/>
        </w:rPr>
        <w:t>81</w:t>
      </w:r>
      <w:r>
        <w:rPr/>
        <w:t>:1–21.</w:t>
      </w:r>
    </w:p>
    <w:p>
      <w:pPr>
        <w:pStyle w:val="Reference"/>
        <w:rPr/>
      </w:pPr>
      <w:r>
        <w:rPr/>
        <w:t xml:space="preserve">Hanik, Gina M., Matthew C. Lamanna and John A. Whitlock. 2017. A </w:t>
      </w:r>
      <w:r>
        <w:rPr/>
        <w:t>j</w:t>
      </w:r>
      <w:r>
        <w:rPr/>
        <w:t xml:space="preserve">uvenile </w:t>
      </w:r>
      <w:r>
        <w:rPr/>
        <w:t>s</w:t>
      </w:r>
      <w:r>
        <w:rPr/>
        <w:t xml:space="preserve">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7" w:name="__DdeLink__3681_68767826"/>
      <w:r>
        <w:rPr/>
        <w:t>doi:10.1671/039.029.0309</w:t>
      </w:r>
      <w:bookmarkEnd w:id="17"/>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Tschopp E</w:t>
      </w:r>
      <w:r>
        <w:rPr/>
        <w:t>manuel</w:t>
      </w:r>
      <w:r>
        <w:rPr/>
        <w:t xml:space="preserve">, </w:t>
      </w:r>
      <w:r>
        <w:rPr/>
        <w:t xml:space="preserve">and Octávio </w:t>
      </w:r>
      <w:r>
        <w:rPr/>
        <w:t xml:space="preserve">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 xml:space="preserve">:e3179. </w:t>
      </w:r>
      <w:r>
        <w:rPr/>
        <w:t>d</w:t>
      </w:r>
      <w:r>
        <w:rPr/>
        <w:t>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8" w:name="__RefHeading___Toc3407_68767826"/>
      <w:bookmarkEnd w:id="1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xml:space="preserve">, obverse view, red cyan anaglyph. This aspect of the jacket is no longer available for study. At the top of the picture is Cervical D, in right posterolateral view with anterior to the top. This vertebra is not visible from the currently exposed side of the jacket. </w:t>
      </w:r>
      <w:r>
        <w:rPr>
          <w:b w:val="false"/>
          <w:bCs w:val="false"/>
        </w:rPr>
        <w:t>At bottom right is part of Cervical E, but it is difficult to interpret and its orientation cannot be determined.</w:t>
      </w:r>
    </w:p>
    <w:p>
      <w:pPr>
        <w:pStyle w:val="Heading1"/>
        <w:numPr>
          <w:ilvl w:val="0"/>
          <w:numId w:val="2"/>
        </w:numPr>
        <w:ind w:left="0" w:right="0" w:hanging="0"/>
        <w:rPr/>
      </w:pPr>
      <w:bookmarkStart w:id="19" w:name="__RefHeading___Toc7266_68767826"/>
      <w:bookmarkEnd w:id="19"/>
      <w:r>
        <w:rPr/>
        <w:t>Tables</w:t>
      </w:r>
    </w:p>
    <w:p>
      <w:pPr>
        <w:pStyle w:val="Heading2"/>
        <w:rPr/>
      </w:pPr>
      <w:bookmarkStart w:id="20" w:name="__RefHeading___Toc7275_68767826"/>
      <w:bookmarkEnd w:id="20"/>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9"/>
        <w:gridCol w:w="1020"/>
        <w:gridCol w:w="1020"/>
        <w:gridCol w:w="1018"/>
        <w:gridCol w:w="1020"/>
        <w:gridCol w:w="1020"/>
        <w:gridCol w:w="1021"/>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1" w:name="__RefHeading___Toc7268_68767826"/>
      <w:bookmarkEnd w:id="21"/>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8"/>
        <w:gridCol w:w="1640"/>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2" w:name="__DdeLink__7277_68767826"/>
            <w:r>
              <w:rPr/>
              <w:t>9056</w:t>
            </w:r>
            <w:bookmarkEnd w:id="22"/>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10528</TotalTime>
  <Application>LibreOffice/6.1.3.2$MacOSX_X86_64 LibreOffice_project/86daf60bf00efa86ad547e59e09d6bb77c699acb</Application>
  <Pages>13</Pages>
  <Words>5471</Words>
  <Characters>29058</Characters>
  <CharactersWithSpaces>34182</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2022-03-07T23:12:02Z</dcterms:modified>
  <cp:revision>124</cp:revision>
  <dc:subject/>
  <dc:title/>
</cp:coreProperties>
</file>