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Giant specimens of the sauropod dinosaur </w:t>
      </w:r>
      <w:r>
        <w:rPr>
          <w:i/>
          <w:iCs/>
        </w:rPr>
        <w:t>Barosaurus</w:t>
      </w:r>
      <w:r>
        <w:rPr/>
        <w:t xml:space="preserve"> from Utah and Colorado, USA</w:t>
      </w:r>
    </w:p>
    <w:p>
      <w:pPr>
        <w:pStyle w:val="Author"/>
        <w:rPr/>
      </w:pPr>
      <w:r>
        <w:rPr>
          <w:i w:val="false"/>
          <w:iCs w:val="false"/>
        </w:rPr>
        <w:t xml:space="preserve">Michael P. Taylor.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Hyper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can be identified as belonging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probably C9, C10 or C11. The centra of the AMNH cervicals C9–11 are 685, 737 and 775 mm long. That of vertebra C measures 1220 mm, making it 1.57–1.78 times longer. This suggests a neck length of 13.8–15.6 m based on a length of 8.76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17.5 m long — eight times the 2.2 m neck of the world-record giraffe.</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4314_68767826">
            <w:r>
              <w:rPr>
                <w:rStyle w:val="IndexLink"/>
              </w:rPr>
              <w:t>Introduction</w:t>
            </w:r>
            <w:r>
              <w:rPr>
                <w:rStyle w:val="IndexLink"/>
              </w:rPr>
              <w:tab/>
              <w:t>2</w:t>
            </w:r>
          </w:hyperlink>
        </w:p>
        <w:p>
          <w:pPr>
            <w:pStyle w:val="TOC2"/>
            <w:tabs>
              <w:tab w:val="clear" w:pos="9355"/>
              <w:tab w:val="right" w:pos="9638" w:leader="dot"/>
            </w:tabs>
            <w:rPr/>
          </w:pPr>
          <w:hyperlink w:anchor="__RefHeading___Toc6557_68767826">
            <w:r>
              <w:rPr>
                <w:rStyle w:val="IndexLink"/>
              </w:rPr>
              <w:t>Historical background</w:t>
              <w:tab/>
              <w:t>2</w:t>
            </w:r>
          </w:hyperlink>
        </w:p>
        <w:p>
          <w:pPr>
            <w:pStyle w:val="TOC2"/>
            <w:tabs>
              <w:tab w:val="clear" w:pos="9355"/>
              <w:tab w:val="right" w:pos="9638" w:leader="dot"/>
            </w:tabs>
            <w:rPr/>
          </w:pPr>
          <w:hyperlink w:anchor="__RefHeading___Toc3414_68767826">
            <w:r>
              <w:rPr>
                <w:rStyle w:val="IndexLink"/>
              </w:rPr>
              <w:t>Institutional Abbreviations</w:t>
              <w:tab/>
              <w:t>3</w:t>
            </w:r>
          </w:hyperlink>
        </w:p>
        <w:p>
          <w:pPr>
            <w:pStyle w:val="TOC2"/>
            <w:tabs>
              <w:tab w:val="clear" w:pos="9355"/>
              <w:tab w:val="right" w:pos="9638" w:leader="dot"/>
            </w:tabs>
            <w:rPr/>
          </w:pPr>
          <w:hyperlink w:anchor="__RefHeading___Toc4320_68767826">
            <w:r>
              <w:rPr>
                <w:rStyle w:val="IndexLink"/>
              </w:rPr>
              <w:t>Anatomical nomenclature</w:t>
              <w:tab/>
              <w:t>3</w:t>
            </w:r>
          </w:hyperlink>
        </w:p>
        <w:p>
          <w:pPr>
            <w:pStyle w:val="TOC2"/>
            <w:tabs>
              <w:tab w:val="clear" w:pos="9355"/>
              <w:tab w:val="right" w:pos="9638" w:leader="dot"/>
            </w:tabs>
            <w:rPr/>
          </w:pPr>
          <w:hyperlink w:anchor="__RefHeading___Toc4815_68767826">
            <w:r>
              <w:rPr>
                <w:rStyle w:val="IndexLink"/>
              </w:rPr>
              <w:t>Note on privately held material</w:t>
              <w:tab/>
              <w:t>4</w:t>
            </w:r>
          </w:hyperlink>
        </w:p>
        <w:p>
          <w:pPr>
            <w:pStyle w:val="TOC1"/>
            <w:rPr/>
          </w:pPr>
          <w:hyperlink w:anchor="__RefHeading___Toc3397_68767826">
            <w:r>
              <w:rPr>
                <w:rStyle w:val="IndexLink"/>
              </w:rPr>
              <w:t>Materials and Methods</w:t>
              <w:tab/>
              <w:t>4</w:t>
            </w:r>
          </w:hyperlink>
        </w:p>
        <w:p>
          <w:pPr>
            <w:pStyle w:val="TOC2"/>
            <w:tabs>
              <w:tab w:val="clear" w:pos="9355"/>
              <w:tab w:val="right" w:pos="9638" w:leader="dot"/>
            </w:tabs>
            <w:rPr/>
          </w:pPr>
          <w:hyperlink w:anchor="__RefHeading___Toc6559_68767826">
            <w:r>
              <w:rPr>
                <w:rStyle w:val="IndexLink"/>
              </w:rPr>
              <w:t>Length of the neck of AMNH 6341</w:t>
              <w:tab/>
              <w:t>4</w:t>
            </w:r>
          </w:hyperlink>
        </w:p>
        <w:p>
          <w:pPr>
            <w:pStyle w:val="TOC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TOC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TOC3"/>
            <w:tabs>
              <w:tab w:val="clear" w:pos="9072"/>
              <w:tab w:val="right" w:pos="9638" w:leader="dot"/>
            </w:tabs>
            <w:rPr/>
          </w:pPr>
          <w:hyperlink w:anchor="__RefHeading___Toc6840_68767826">
            <w:r>
              <w:rPr>
                <w:rStyle w:val="IndexLink"/>
              </w:rPr>
              <w:t>Method 3. Extension by artistic intuition</w:t>
              <w:tab/>
              <w:t>6</w:t>
            </w:r>
          </w:hyperlink>
        </w:p>
        <w:p>
          <w:pPr>
            <w:pStyle w:val="TOC3"/>
            <w:tabs>
              <w:tab w:val="clear" w:pos="9072"/>
              <w:tab w:val="right" w:pos="9638" w:leader="dot"/>
            </w:tabs>
            <w:rPr/>
          </w:pPr>
          <w:hyperlink w:anchor="__RefHeading___Toc7244_68767826">
            <w:r>
              <w:rPr>
                <w:rStyle w:val="IndexLink"/>
              </w:rPr>
              <w:t>Summary</w:t>
              <w:tab/>
              <w:t>6</w:t>
            </w:r>
          </w:hyperlink>
        </w:p>
        <w:p>
          <w:pPr>
            <w:pStyle w:val="TOC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TOC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TOC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TOC1"/>
            <w:rPr/>
          </w:pPr>
          <w:hyperlink w:anchor="__RefHeading___Toc3399_68767826">
            <w:r>
              <w:rPr>
                <w:rStyle w:val="IndexLink"/>
              </w:rPr>
              <w:t>Results</w:t>
              <w:tab/>
              <w:t>8</w:t>
            </w:r>
          </w:hyperlink>
        </w:p>
        <w:p>
          <w:pPr>
            <w:pStyle w:val="TOC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TOC1"/>
            <w:rPr/>
          </w:pPr>
          <w:hyperlink w:anchor="__RefHeading___Toc3401_68767826">
            <w:r>
              <w:rPr>
                <w:rStyle w:val="IndexLink"/>
              </w:rPr>
              <w:t>Discussion</w:t>
              <w:tab/>
              <w:t>9</w:t>
            </w:r>
          </w:hyperlink>
        </w:p>
        <w:p>
          <w:pPr>
            <w:pStyle w:val="TOC1"/>
            <w:rPr/>
          </w:pPr>
          <w:hyperlink w:anchor="__RefHeading___Toc3403_68767826">
            <w:r>
              <w:rPr>
                <w:rStyle w:val="IndexLink"/>
              </w:rPr>
              <w:t>Acknowledgements</w:t>
              <w:tab/>
              <w:t>9</w:t>
            </w:r>
          </w:hyperlink>
        </w:p>
        <w:p>
          <w:pPr>
            <w:pStyle w:val="TOC1"/>
            <w:rPr/>
          </w:pPr>
          <w:hyperlink w:anchor="__RefHeading___Toc3405_68767826">
            <w:r>
              <w:rPr>
                <w:rStyle w:val="IndexLink"/>
              </w:rPr>
              <w:t>References</w:t>
              <w:tab/>
              <w:t>10</w:t>
            </w:r>
          </w:hyperlink>
        </w:p>
        <w:p>
          <w:pPr>
            <w:pStyle w:val="TOC1"/>
            <w:rPr/>
          </w:pPr>
          <w:hyperlink w:anchor="__RefHeading___Toc3407_68767826">
            <w:r>
              <w:rPr>
                <w:rStyle w:val="IndexLink"/>
              </w:rPr>
              <w:t>Figure Captions</w:t>
              <w:tab/>
              <w:t>11</w:t>
            </w:r>
          </w:hyperlink>
        </w:p>
        <w:p>
          <w:pPr>
            <w:pStyle w:val="TOC1"/>
            <w:rPr/>
          </w:pPr>
          <w:hyperlink w:anchor="__RefHeading___Toc7266_68767826">
            <w:r>
              <w:rPr>
                <w:rStyle w:val="IndexLink"/>
              </w:rPr>
              <w:t>Tables</w:t>
              <w:tab/>
              <w:t>12</w:t>
            </w:r>
          </w:hyperlink>
        </w:p>
        <w:p>
          <w:pPr>
            <w:pStyle w:val="TOC2"/>
            <w:tabs>
              <w:tab w:val="clear" w:pos="9355"/>
              <w:tab w:val="right" w:pos="9638" w:leader="dot"/>
            </w:tabs>
            <w:rPr/>
          </w:pPr>
          <w:hyperlink w:anchor="__RefHeading___Toc7275_68767826">
            <w:r>
              <w:rPr>
                <w:rStyle w:val="IndexLink"/>
              </w:rPr>
              <w:t>Table A</w:t>
              <w:tab/>
              <w:t>12</w:t>
            </w:r>
          </w:hyperlink>
        </w:p>
        <w:p>
          <w:pPr>
            <w:pStyle w:val="TOC2"/>
            <w:tabs>
              <w:tab w:val="clear" w:pos="9355"/>
              <w:tab w:val="right" w:pos="9638" w:leader="dot"/>
            </w:tabs>
            <w:rPr/>
          </w:pPr>
          <w:hyperlink w:anchor="__RefHeading___Toc7268_68767826">
            <w:r>
              <w:rPr>
                <w:rStyle w:val="IndexLink"/>
              </w:rPr>
              <w:t>Table B</w:t>
              <w:tab/>
              <w:t>13</w:t>
            </w:r>
          </w:hyperlink>
          <w:r>
            <w:rPr>
              <w:rStyle w:val="IndexLink"/>
            </w:rPr>
            <w:fldChar w:fldCharType="end"/>
          </w:r>
        </w:p>
      </w:sdtContent>
    </w:sdt>
    <w:p>
      <w:pPr>
        <w:pStyle w:val="Heading2"/>
        <w:spacing w:before="198" w:after="119"/>
        <w:ind w:hanging="0" w:left="0" w:right="0"/>
        <w:rPr>
          <w:rFonts w:ascii="Gill Sans" w:hAnsi="Gill Sans" w:eastAsia="Songti SC" w:cs="Arial Unicode MS"/>
          <w:b/>
          <w:bCs/>
          <w:sz w:val="24"/>
          <w:szCs w:val="36"/>
        </w:rPr>
      </w:pPr>
      <w:r>
        <w:rPr>
          <w:rFonts w:eastAsia="Songti SC" w:cs="Arial Unicode MS"/>
          <w:b/>
          <w:bCs/>
          <w:sz w:val="24"/>
          <w:szCs w:val="36"/>
        </w:rPr>
      </w:r>
    </w:p>
    <w:p>
      <w:pPr>
        <w:pStyle w:val="Heading1"/>
        <w:numPr>
          <w:ilvl w:val="0"/>
          <w:numId w:val="1"/>
        </w:numPr>
        <w:ind w:hanging="0" w:left="0" w:right="0"/>
        <w:rPr/>
      </w:pPr>
      <w:bookmarkStart w:id="0" w:name="__RefHeading___Toc6557_68767826"/>
      <w:bookmarkEnd w:id="0"/>
      <w:r>
        <w:rPr/>
        <w:t>Introduction</w:t>
      </w:r>
    </w:p>
    <w:p>
      <w:pPr>
        <w:pStyle w:val="Heading2"/>
        <w:spacing w:before="198" w:after="119"/>
        <w:ind w:hanging="0" w:left="0" w:right="0"/>
        <w:rPr>
          <w:rFonts w:ascii="Gill Sans" w:hAnsi="Gill Sans" w:eastAsia="Songti SC" w:cs="Arial Unicode MS"/>
          <w:b/>
          <w:bCs/>
          <w:sz w:val="24"/>
          <w:szCs w:val="36"/>
        </w:rPr>
      </w:pPr>
      <w:r>
        <w:rPr>
          <w:rFonts w:eastAsia="Songti SC" w:cs="Arial Unicode MS"/>
          <w:b/>
          <w:bCs/>
          <w:sz w:val="24"/>
          <w:szCs w:val="36"/>
        </w:rPr>
        <w:t>Historical background</w:t>
      </w:r>
    </w:p>
    <w:p>
      <w:pPr>
        <w:pStyle w:val="BodyText"/>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in left lateral and anterior sectioned views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BodyText"/>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BodyText"/>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BodyText"/>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which is the focus of the present paper: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BodyText"/>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BodyText"/>
        <w:rPr/>
      </w:pPr>
      <w:r>
        <w:rPr/>
        <w:t>Other informative specimens have been described in recent years, including a fine partial juvenile skeleton (Melstrom et al. 2016). But from the neck, only two or three vertebrae are preserved, and they are both morphologically different from those of adult specimens and partially embedded in matrix. Also of interest is a sequence of five dorsal vertebrae from another juvenile (Hanik et al. 2017), but there is no cervical material at all in this case.</w:t>
      </w:r>
    </w:p>
    <w:p>
      <w:pPr>
        <w:pStyle w:val="BodyText"/>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1" w:name="__RefHeading___Toc3414_68767826"/>
      <w:bookmarkEnd w:id="1"/>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NAMAL — Museum of Ancient Life, Thanksgiving Point, Lehi, Utah, USA.</w:t>
      </w:r>
    </w:p>
    <w:p>
      <w:pPr>
        <w:pStyle w:val="BodyText"/>
        <w:numPr>
          <w:ilvl w:val="0"/>
          <w:numId w:val="4"/>
        </w:numPr>
        <w:ind w:hanging="360" w:left="720" w:right="0"/>
        <w:rPr/>
      </w:pPr>
      <w:r>
        <w:rPr/>
        <w:t>ROM — Royal Ontario Museum, Toronto, Canada.</w:t>
      </w:r>
    </w:p>
    <w:p>
      <w:pPr>
        <w:pStyle w:val="BodyText"/>
        <w:numPr>
          <w:ilvl w:val="0"/>
          <w:numId w:val="4"/>
        </w:numPr>
        <w:ind w:hanging="360" w:left="720" w:right="0"/>
        <w:rPr/>
      </w:pPr>
      <w:r>
        <w:rPr/>
        <w:t>SMA — Sauriermuseum Aathal, Switzerland.</w:t>
      </w:r>
    </w:p>
    <w:p>
      <w:pPr>
        <w:pStyle w:val="BodyText"/>
        <w:numPr>
          <w:ilvl w:val="0"/>
          <w:numId w:val="4"/>
        </w:numPr>
        <w:ind w:hanging="360" w:left="720" w:right="0"/>
        <w:rPr/>
      </w:pPr>
      <w:r>
        <w:rPr/>
        <w:t>YPM — Yale Peabody Museum, New Haven, Connecticut, USA.</w:t>
      </w:r>
    </w:p>
    <w:p>
      <w:pPr>
        <w:pStyle w:val="Heading2"/>
        <w:rPr/>
      </w:pPr>
      <w:bookmarkStart w:id="2" w:name="__RefHeading___Toc4320_68767826"/>
      <w:bookmarkEnd w:id="2"/>
      <w:r>
        <w:rPr/>
        <w:t>Anatomical nomenclature</w:t>
      </w:r>
    </w:p>
    <w:p>
      <w:pPr>
        <w:pStyle w:val="BodyText"/>
        <w:rPr/>
      </w:pPr>
      <w:r>
        <w:rPr/>
        <w:t>The following abbreviations are used.</w:t>
      </w:r>
    </w:p>
    <w:p>
      <w:pPr>
        <w:pStyle w:val="BodyText"/>
        <w:numPr>
          <w:ilvl w:val="0"/>
          <w:numId w:val="6"/>
        </w:numPr>
        <w:ind w:hanging="360" w:left="720" w:right="0"/>
        <w:rPr/>
      </w:pPr>
      <w:r>
        <w:rPr>
          <w:b w:val="false"/>
          <w:bCs w:val="false"/>
        </w:rPr>
        <w:t>CRL — cervical rib loop, i.e. the loop connected to the lateral face of the centrum and formed by the diapophysis above, the parapophysis below and the cervical rib itself ventrolaterally. Homologous to the ansa costotransversaria in birds, but the morphology is very different in sauropods where the loop itself is proportionally thinner and the foramen transversarium in the middle is broader.</w:t>
      </w:r>
    </w:p>
    <w:p>
      <w:pPr>
        <w:pStyle w:val="BodyText"/>
        <w:numPr>
          <w:ilvl w:val="0"/>
          <w:numId w:val="6"/>
        </w:numPr>
        <w:ind w:hanging="360" w:left="720" w:right="0"/>
        <w:rPr/>
      </w:pPr>
      <w:r>
        <w:rPr>
          <w:b w:val="false"/>
          <w:bCs w:val="false"/>
        </w:rPr>
        <w:t>PRDL — prezygadiapophyseal lamina</w:t>
      </w:r>
    </w:p>
    <w:p>
      <w:pPr>
        <w:pStyle w:val="BodyText"/>
        <w:numPr>
          <w:ilvl w:val="0"/>
          <w:numId w:val="6"/>
        </w:numPr>
        <w:ind w:hanging="360" w:left="720" w:right="0"/>
        <w:rPr/>
      </w:pPr>
      <w:r>
        <w:rPr>
          <w:b w:val="false"/>
          <w:bCs w:val="false"/>
        </w:rPr>
        <w:t>PODL — postzygadiapophyseal lamina</w:t>
      </w:r>
    </w:p>
    <w:p>
      <w:pPr>
        <w:pStyle w:val="BodyText"/>
        <w:numPr>
          <w:ilvl w:val="0"/>
          <w:numId w:val="6"/>
        </w:numPr>
        <w:ind w:hanging="360" w:left="720" w:right="0"/>
        <w:rPr/>
      </w:pPr>
      <w:r>
        <w:rPr>
          <w:b w:val="false"/>
          <w:bCs w:val="false"/>
        </w:rPr>
        <w:t>SPRL — spinoprezygapophyseal lamina</w:t>
      </w:r>
    </w:p>
    <w:p>
      <w:pPr>
        <w:pStyle w:val="Heading2"/>
        <w:rPr/>
      </w:pPr>
      <w:bookmarkStart w:id="3" w:name="__RefHeading___Toc4815_68767826"/>
      <w:bookmarkEnd w:id="3"/>
      <w:r>
        <w:rPr/>
        <w:t>Note on specimen status</w:t>
      </w:r>
    </w:p>
    <w:p>
      <w:pPr>
        <w:pStyle w:val="BodyText"/>
        <w:rPr/>
      </w:pPr>
      <w:r>
        <w:rPr/>
        <w:t xml:space="preserve">The </w:t>
      </w:r>
      <w:r>
        <w:rPr>
          <w:i/>
          <w:iCs/>
        </w:rPr>
        <w:t>Barosaurus</w:t>
      </w:r>
      <w:r>
        <w:rPr/>
        <w:t xml:space="preserve"> specimen NAMAL 106 is held at the Museum of Ancient Life, which was originally established by the commercial paleontology company Western Paleo Labs. Various investors in the museum dropped out over time, and it is now owned by the Thanksgiving Point Institute, a non-profit organization. At the time of writing, the Museum of Ancient Life is not an accredited institution, but is in the process of gaining accreditation. Our experience and that of other researchers (e.g. Brian Curtice, pers. comm.) has been that the museum generously provides access to researchers, and so we have no reservations about referring to this specimen herein.</w:t>
      </w:r>
    </w:p>
    <w:p>
      <w:pPr>
        <w:pStyle w:val="Heading1"/>
        <w:numPr>
          <w:ilvl w:val="0"/>
          <w:numId w:val="3"/>
        </w:numPr>
        <w:ind w:hanging="0" w:left="0" w:right="0"/>
        <w:rPr/>
      </w:pPr>
      <w:bookmarkStart w:id="4" w:name="__RefHeading___Toc3397_68767826"/>
      <w:bookmarkEnd w:id="4"/>
      <w:r>
        <w:rPr/>
        <w:t>Materials and Methods</w:t>
      </w:r>
    </w:p>
    <w:p>
      <w:pPr>
        <w:pStyle w:val="Heading2"/>
        <w:rPr/>
      </w:pPr>
      <w:bookmarkStart w:id="5" w:name="__RefHeading___Toc6559_68767826"/>
      <w:bookmarkEnd w:id="5"/>
      <w:r>
        <w:rPr/>
        <w:t>Length of the neck of AMNH 6341</w:t>
      </w:r>
    </w:p>
    <w:p>
      <w:pPr>
        <w:pStyle w:val="BodyText"/>
        <w:rPr/>
      </w:pPr>
      <w:r>
        <w:rPr/>
        <w:t xml:space="preserve">AMNH 6341 has the best-preserved neck of any </w:t>
      </w:r>
      <w:r>
        <w:rPr>
          <w:i/>
          <w:iCs/>
        </w:rPr>
        <w:t>Barosaurus</w:t>
      </w:r>
      <w:r>
        <w:rPr/>
        <w:t xml:space="preserve"> specimen, but it suffers from two drawbacks.</w:t>
      </w:r>
    </w:p>
    <w:p>
      <w:pPr>
        <w:pStyle w:val="BodyText"/>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illustrations in Taylor and Wedel (2016:figure 10) were obtained by shooting down through the translucent glass, and extensively manipulating the resulting photographs digitally, and even then the resolution is poor. Neither can the vertebrae be meaningfully observed in lateral view, as the walkway that runs above them is immediately behind a mounted skeleton of </w:t>
      </w:r>
      <w:r>
        <w:rPr>
          <w:i/>
          <w:iCs/>
        </w:rPr>
        <w:t>Apatosaurus</w:t>
      </w:r>
      <w:r>
        <w:rPr/>
        <w:t xml:space="preserve"> and cannot be approached at ground level.</w:t>
      </w:r>
    </w:p>
    <w:p>
      <w:pPr>
        <w:pStyle w:val="BodyText"/>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BodyText"/>
        <w:rPr/>
      </w:pPr>
      <w:r>
        <w:rPr/>
        <w:t xml:space="preserve">The sum of the total lengths of the nine preserved centra (from McIntosh 2005:table 2.1) is 6933 mm. However, since the anterior condyle of each vertebra will have been to come degree embedded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of the length when summing the full centrum lengths. Which of these totals should be used? Evidence is equivocal. As shown by Taylor and Wedel (2013:table 4), the thickness of articular cartilage on cervical vertebrae relative to the bony centrum length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BodyText"/>
        <w:rPr/>
      </w:pPr>
      <w:r>
        <w:rPr/>
        <w:t>How, then, can we determine the lengths of the seven missing anterior vertebrae? We will use three methods.</w:t>
      </w:r>
    </w:p>
    <w:p>
      <w:pPr>
        <w:pStyle w:val="Heading3"/>
        <w:numPr>
          <w:ilvl w:val="2"/>
          <w:numId w:val="2"/>
        </w:numPr>
        <w:ind w:hanging="0" w:left="0" w:right="0"/>
        <w:rPr/>
      </w:pPr>
      <w:bookmarkStart w:id="6" w:name="__RefHeading___Toc6836_68767826"/>
      <w:bookmarkEnd w:id="6"/>
      <w:r>
        <w:rPr/>
        <w:t>Method 1. Scaling from juvenile ?</w:t>
      </w:r>
      <w:r>
        <w:rPr>
          <w:i/>
          <w:iCs/>
        </w:rPr>
        <w:t>Barosaurus</w:t>
      </w:r>
      <w:r>
        <w:rPr/>
        <w:t xml:space="preserve"> vertebrae</w:t>
      </w:r>
    </w:p>
    <w:p>
      <w:pPr>
        <w:pStyle w:val="BodyText"/>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w:t>
      </w:r>
      <w:r>
        <w:rPr>
          <w:i/>
          <w:iCs/>
        </w:rPr>
        <w:t>Barosaurus lentus</w:t>
      </w:r>
      <w:r>
        <w:rPr/>
        <w:t xml:space="preserve">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anterior cervical vertebrae.</w:t>
      </w:r>
    </w:p>
    <w:p>
      <w:pPr>
        <w:pStyle w:val="BodyText"/>
        <w:rPr/>
      </w:pPr>
      <w:r>
        <w:rPr/>
        <w:t>AMNH 7535 consists of skull fragments and cervicals 2–9. The atlas, C1, is missing, but it can be ignored here as the contribution of the atlas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BodyText"/>
        <w:rPr/>
      </w:pPr>
      <w:r>
        <w:rPr/>
        <w:t>With these caveats in mind, Table A shows the measurements of the eight preserved cervicals of AMNH 7535.</w:t>
      </w:r>
    </w:p>
    <w:p>
      <w:pPr>
        <w:pStyle w:val="BodyText"/>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We can therefore scale the total centrum length of AMNH 7535 C2–C7 up by a factor of 1.93 yielding a scaled total centrum length of 1903 mm. Similarly, in AMNH 6341 the functional lengths of C8 and C9 are 590 and 630 mm, which are 2.02 and 1.93 times the functional length of the corresponding vertebrae in AMNH 7535, for an average of 1.98; so we can scale the total functional length of AMNH 7535 C2–C7 up by a factor of 1.98, yielding a scaled total functional length of 1738 mm. The compromise value is intermediate between these, at 1821 mm.</w:t>
      </w:r>
    </w:p>
    <w:p>
      <w:pPr>
        <w:pStyle w:val="BodyText"/>
        <w:rPr/>
      </w:pPr>
      <w:r>
        <w:rPr/>
        <w:t>This approach then yields a total estimated neck length of 8896 mm (if using centrum lengths), 7904 mm (if using functional lengths), or 8371 mm (using compromise lengths). The average of these three estimates is 8390 mm.</w:t>
      </w:r>
    </w:p>
    <w:p>
      <w:pPr>
        <w:pStyle w:val="BodyText"/>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hanging="0" w:left="0" w:right="0"/>
        <w:rPr/>
      </w:pPr>
      <w:bookmarkStart w:id="7" w:name="__RefHeading___Toc6838_68767826"/>
      <w:bookmarkEnd w:id="7"/>
      <w:r>
        <w:rPr/>
        <w:t xml:space="preserve">Method 2. Extrapolation from anterior </w:t>
      </w:r>
      <w:r>
        <w:rPr>
          <w:i/>
          <w:iCs/>
        </w:rPr>
        <w:t>Diplodocus</w:t>
      </w:r>
      <w:r>
        <w:rPr/>
        <w:t xml:space="preserve"> vertebrae</w:t>
      </w:r>
    </w:p>
    <w:p>
      <w:pPr>
        <w:pStyle w:val="BodyText"/>
        <w:rPr/>
      </w:pPr>
      <w:r>
        <w:rPr/>
        <w:t xml:space="preserve">The neck of the CM 84, the holotype of </w:t>
      </w:r>
      <w:r>
        <w:rPr>
          <w:i/>
          <w:iCs/>
        </w:rPr>
        <w:t>Diplodocus carnegii</w:t>
      </w:r>
      <w:r>
        <w:rPr/>
        <w:t xml:space="preserve">, is among the most complete and best preserved necks of any diplodocine sauropod, and certainly the most studied —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BodyText"/>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BodyText"/>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w:t>
      </w:r>
      <w:r>
        <w:rPr>
          <w:i/>
          <w:iCs/>
        </w:rPr>
        <w:t>Barosaurus</w:t>
      </w:r>
      <w:r>
        <w:rPr/>
        <w:t xml:space="preserve">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BodyText"/>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hanging="0" w:left="0" w:right="0"/>
        <w:rPr/>
      </w:pPr>
      <w:bookmarkStart w:id="8" w:name="__RefHeading___Toc6840_68767826"/>
      <w:bookmarkEnd w:id="8"/>
      <w:r>
        <w:rPr/>
        <w:t>Method 3. Extension by artistic intuition</w:t>
      </w:r>
    </w:p>
    <w:p>
      <w:pPr>
        <w:pStyle w:val="BodyText"/>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sauropodomorphs and many more of other dinosaurs, and has undoubtedly developed a feel for how their cervical sequences tend to be composed. Skeletal reconstructions by such experienced artists represent a synthesis of many observations and extrapolations.</w:t>
      </w:r>
    </w:p>
    <w:p>
      <w:pPr>
        <w:pStyle w:val="BodyText"/>
        <w:rPr/>
      </w:pPr>
      <w:r>
        <w:rPr/>
        <w:t>In the reconstruction of Figure A, the sequence of C8–C16 (the vertebrae preserved in AMNH 6341) measures 1693 pixels, while the C1–C7 sequence measures 588 pixels — 34.7% of the lengths of the preserved sequence. Based on the candidate lengths 6933, 6166 and 6550 and for C8–C16, this would mean C1–C7 is 2427, 2140 or 2273 mm, for a total neck length of 8307, 8825 or 9341 mm.</w:t>
      </w:r>
    </w:p>
    <w:p>
      <w:pPr>
        <w:pStyle w:val="Heading3"/>
        <w:numPr>
          <w:ilvl w:val="2"/>
          <w:numId w:val="2"/>
        </w:numPr>
        <w:ind w:hanging="0" w:left="0" w:right="0"/>
        <w:rPr/>
      </w:pPr>
      <w:bookmarkStart w:id="9" w:name="__RefHeading___Toc7244_68767826"/>
      <w:bookmarkEnd w:id="9"/>
      <w:r>
        <w:rPr/>
        <w:t>Summary</w:t>
      </w:r>
    </w:p>
    <w:p>
      <w:pPr>
        <w:pStyle w:val="BodyText"/>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BodyText"/>
        <w:rPr/>
      </w:pPr>
      <w:r>
        <w:rPr/>
        <w:t>The average of the nine estimates made in this section is 8758 mm, and we will use this value as our best estimate.</w:t>
      </w:r>
    </w:p>
    <w:p>
      <w:pPr>
        <w:pStyle w:val="Heading2"/>
        <w:rPr/>
      </w:pPr>
      <w:bookmarkStart w:id="10" w:name="__RefHeading___Toc6561_68767826"/>
      <w:bookmarkEnd w:id="10"/>
      <w:r>
        <w:rPr/>
        <w:t xml:space="preserve">Diagnostic characters of </w:t>
      </w:r>
      <w:r>
        <w:rPr>
          <w:i/>
          <w:iCs/>
        </w:rPr>
        <w:t>Barosaurus</w:t>
      </w:r>
      <w:r>
        <w:rPr/>
        <w:t xml:space="preserve"> cervicals:</w:t>
      </w:r>
    </w:p>
    <w:p>
      <w:pPr>
        <w:pStyle w:val="BodyText"/>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BodyText"/>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BodyText"/>
        <w:rPr/>
      </w:pPr>
      <w:r>
        <w:rPr/>
        <w:t>These characters include:</w:t>
      </w:r>
    </w:p>
    <w:p>
      <w:pPr>
        <w:pStyle w:val="BodyText"/>
        <w:numPr>
          <w:ilvl w:val="0"/>
          <w:numId w:val="5"/>
        </w:numPr>
        <w:ind w:hanging="360" w:left="720" w:right="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BodyText"/>
        <w:numPr>
          <w:ilvl w:val="0"/>
          <w:numId w:val="5"/>
        </w:numPr>
        <w:ind w:hanging="360" w:left="720" w:right="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BodyText"/>
        <w:numPr>
          <w:ilvl w:val="0"/>
          <w:numId w:val="5"/>
        </w:numPr>
        <w:ind w:hanging="360" w:left="720" w:right="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BodyText"/>
        <w:numPr>
          <w:ilvl w:val="0"/>
          <w:numId w:val="5"/>
        </w:numPr>
        <w:ind w:hanging="360" w:left="720" w:right="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BodyText"/>
        <w:numPr>
          <w:ilvl w:val="0"/>
          <w:numId w:val="5"/>
        </w:numPr>
        <w:ind w:hanging="360" w:left="720" w:right="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BodyText"/>
        <w:numPr>
          <w:ilvl w:val="0"/>
          <w:numId w:val="5"/>
        </w:numPr>
        <w:ind w:hanging="360" w:left="720" w:right="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BodyText"/>
        <w:numPr>
          <w:ilvl w:val="0"/>
          <w:numId w:val="5"/>
        </w:numPr>
        <w:ind w:hanging="360" w:left="720" w:right="0"/>
        <w:rPr/>
      </w:pPr>
      <w:r>
        <w:rPr>
          <w:b/>
          <w:bCs/>
        </w:rPr>
        <w:t>Paired low-profile PCDLs</w:t>
      </w:r>
      <w:r>
        <w:rPr>
          <w:b w:val="false"/>
          <w:bCs w:val="false"/>
        </w:rPr>
        <w:t xml:space="preserve"> which radiate backwards and downwards from behind diapophysis.</w:t>
      </w:r>
    </w:p>
    <w:p>
      <w:pPr>
        <w:pStyle w:val="BodyText"/>
        <w:numPr>
          <w:ilvl w:val="0"/>
          <w:numId w:val="5"/>
        </w:numPr>
        <w:ind w:hanging="360" w:left="720" w:right="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BodyText"/>
        <w:numPr>
          <w:ilvl w:val="0"/>
          <w:numId w:val="5"/>
        </w:numPr>
        <w:ind w:hanging="360" w:left="720" w:right="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BodyText"/>
        <w:numPr>
          <w:ilvl w:val="0"/>
          <w:numId w:val="5"/>
        </w:numPr>
        <w:ind w:hanging="360" w:left="720" w:right="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BodyText"/>
        <w:numPr>
          <w:ilvl w:val="0"/>
          <w:numId w:val="5"/>
        </w:numPr>
        <w:ind w:hanging="360" w:left="720" w:right="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BodyText"/>
        <w:numPr>
          <w:ilvl w:val="0"/>
          <w:numId w:val="5"/>
        </w:numPr>
        <w:ind w:hanging="360" w:left="720" w:right="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BodyText"/>
        <w:numPr>
          <w:ilvl w:val="0"/>
          <w:numId w:val="5"/>
        </w:numPr>
        <w:ind w:hanging="360" w:left="720" w:right="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BodyText"/>
        <w:numPr>
          <w:ilvl w:val="0"/>
          <w:numId w:val="5"/>
        </w:numPr>
        <w:ind w:hanging="360" w:left="720" w:right="0"/>
        <w:rPr/>
      </w:pPr>
      <w:r>
        <w:rPr>
          <w:b/>
          <w:bCs/>
        </w:rPr>
        <w:t>U-shaped notch between prezygapophyseal rami in dorsal view.</w:t>
      </w:r>
      <w:r>
        <w:rPr/>
        <w:t xml:space="preserve"> XXX I think this one is a wash: see Taylor and Wedel (2016:figure 4) at </w:t>
      </w:r>
      <w:hyperlink r:id="rId4">
        <w:r>
          <w:rPr>
            <w:rStyle w:val="Hyperlink"/>
          </w:rPr>
          <w:t>https://svpow.files.wordpress.com/2013/09/figure4-diplodocid-posterior-cervicals-in-dorsal-view.jpeg</w:t>
        </w:r>
      </w:hyperlink>
    </w:p>
    <w:p>
      <w:pPr>
        <w:pStyle w:val="Heading2"/>
        <w:rPr/>
      </w:pPr>
      <w:bookmarkStart w:id="11" w:name="__RefHeading___Toc9191_68767826"/>
      <w:bookmarkEnd w:id="11"/>
      <w:r>
        <w:rPr/>
        <w:t xml:space="preserve">Three new </w:t>
      </w:r>
      <w:r>
        <w:rPr>
          <w:i/>
          <w:iCs/>
        </w:rPr>
        <w:t>Barosaurus</w:t>
      </w:r>
      <w:r>
        <w:rPr/>
        <w:t xml:space="preserve"> cervicals</w:t>
      </w:r>
    </w:p>
    <w:p>
      <w:pPr>
        <w:pStyle w:val="BodyText"/>
        <w:rPr/>
      </w:pPr>
      <w:r>
        <w:rPr/>
        <w:t>XXX Jensen’s Jensen/Jensen Quarry, Jensen</w:t>
      </w:r>
    </w:p>
    <w:p>
      <w:pPr>
        <w:pStyle w:val="BodyText"/>
        <w:rPr/>
      </w:pPr>
      <w:r>
        <w:rPr/>
        <w:t>XXX BYU field jacket 3GR, excavated 1966 from Jensen/Jensen</w:t>
      </w:r>
    </w:p>
    <w:p>
      <w:pPr>
        <w:pStyle w:val="BodyText"/>
        <w:rPr/>
      </w:pPr>
      <w:r>
        <w:rPr/>
        <w:t xml:space="preserve">XXX Contains three ?consecutive </w:t>
      </w:r>
      <w:r>
        <w:rPr>
          <w:i/>
          <w:iCs/>
        </w:rPr>
        <w:t>Barosaurus</w:t>
      </w:r>
      <w:r>
        <w:rPr/>
        <w:t xml:space="preserve"> cervicals, designated A, B and C.</w:t>
      </w:r>
    </w:p>
    <w:p>
      <w:pPr>
        <w:pStyle w:val="BodyText"/>
        <w:rPr/>
      </w:pPr>
      <w:r>
        <w:rPr/>
        <w:t xml:space="preserve">XXX Why this is </w:t>
      </w:r>
      <w:r>
        <w:rPr>
          <w:i/>
          <w:iCs/>
        </w:rPr>
        <w:t>Barosaurus</w:t>
      </w:r>
      <w:r>
        <w:rPr/>
        <w:t>.</w:t>
      </w:r>
    </w:p>
    <w:p>
      <w:pPr>
        <w:pStyle w:val="Heading2"/>
        <w:rPr/>
      </w:pPr>
      <w:bookmarkStart w:id="12" w:name="__RefHeading___Toc9193_68767826"/>
      <w:bookmarkEnd w:id="12"/>
      <w:r>
        <w:rPr/>
        <w:t xml:space="preserve">The </w:t>
      </w:r>
      <w:r>
        <w:rPr>
          <w:i/>
          <w:iCs/>
        </w:rPr>
        <w:t>Supersaurus</w:t>
      </w:r>
      <w:r>
        <w:rPr/>
        <w:t xml:space="preserve"> cervical</w:t>
      </w:r>
    </w:p>
    <w:p>
      <w:pPr>
        <w:pStyle w:val="BodyText"/>
        <w:rPr/>
      </w:pPr>
      <w:r>
        <w:rPr/>
        <w:t>XXX Difficulty of photographing large bones. Distance and perspective distortion. Photo of me up the ladder shooting down.</w:t>
      </w:r>
    </w:p>
    <w:p>
      <w:pPr>
        <w:pStyle w:val="BodyText"/>
        <w:rPr/>
      </w:pPr>
      <w:r>
        <w:rPr/>
        <w:t xml:space="preserve">XXX Why BYU 9024 is morphologically indistinguishable from </w:t>
      </w:r>
      <w:r>
        <w:rPr>
          <w:i/>
          <w:iCs/>
        </w:rPr>
        <w:t>Barosaurus</w:t>
      </w:r>
      <w:r>
        <w:rPr/>
        <w:t>.</w:t>
      </w:r>
    </w:p>
    <w:p>
      <w:pPr>
        <w:pStyle w:val="Heading1"/>
        <w:numPr>
          <w:ilvl w:val="0"/>
          <w:numId w:val="3"/>
        </w:numPr>
        <w:ind w:hanging="0" w:left="0" w:right="0"/>
        <w:rPr/>
      </w:pPr>
      <w:bookmarkStart w:id="13" w:name="__RefHeading___Toc3399_68767826"/>
      <w:bookmarkEnd w:id="13"/>
      <w:r>
        <w:rPr/>
        <w:t>Results</w:t>
      </w:r>
    </w:p>
    <w:p>
      <w:pPr>
        <w:pStyle w:val="BodyText"/>
        <w:rPr/>
      </w:pPr>
      <w:r>
        <w:rPr/>
        <w:t>XXX Sizes of A, B and C.</w:t>
      </w:r>
    </w:p>
    <w:p>
      <w:pPr>
        <w:pStyle w:val="BodyText"/>
        <w:rPr/>
      </w:pPr>
      <w:r>
        <w:rPr/>
        <w:t>XXX Serial position of A, B and C.</w:t>
      </w:r>
    </w:p>
    <w:p>
      <w:pPr>
        <w:pStyle w:val="BodyText"/>
        <w:rPr/>
      </w:pPr>
      <w:r>
        <w:rPr/>
        <w:t>XXX Size of the 3BJ animal</w:t>
      </w:r>
    </w:p>
    <w:p>
      <w:pPr>
        <w:pStyle w:val="BodyText"/>
        <w:rPr/>
      </w:pPr>
      <w:r>
        <w:rPr/>
        <w:t>XXX Size of BYU 9024</w:t>
      </w:r>
    </w:p>
    <w:p>
      <w:pPr>
        <w:pStyle w:val="BodyText"/>
        <w:rPr/>
      </w:pPr>
      <w:r>
        <w:rPr/>
        <w:t>XXX Serial position of BYU 9024</w:t>
      </w:r>
    </w:p>
    <w:p>
      <w:pPr>
        <w:pStyle w:val="Heading2"/>
        <w:rPr/>
      </w:pPr>
      <w:bookmarkStart w:id="14" w:name="__RefHeading___Toc6842_68767826"/>
      <w:bookmarkEnd w:id="14"/>
      <w:r>
        <w:rPr>
          <w:i/>
          <w:iCs/>
        </w:rPr>
        <w:t>Barosaurus</w:t>
      </w:r>
      <w:r>
        <w:rPr/>
        <w:t xml:space="preserve"> compared with </w:t>
      </w:r>
      <w:r>
        <w:rPr>
          <w:i/>
          <w:iCs/>
        </w:rPr>
        <w:t>Diplodocus</w:t>
      </w:r>
    </w:p>
    <w:p>
      <w:pPr>
        <w:pStyle w:val="BodyText"/>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BodyText"/>
        <w:ind w:hanging="0" w:left="0" w:right="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BodyText"/>
        <w:rPr/>
      </w:pPr>
      <w:r>
        <w:rPr/>
        <w:t>XXX Size of the BYU 9024 animal</w:t>
      </w:r>
    </w:p>
    <w:p>
      <w:pPr>
        <w:pStyle w:val="BodyText"/>
        <w:rPr/>
      </w:pPr>
      <w:r>
        <w:rPr/>
        <w:t>XXX Comparison of neck with total height of Berlin brachiosaur</w:t>
      </w:r>
    </w:p>
    <w:p>
      <w:pPr>
        <w:pStyle w:val="Heading1"/>
        <w:numPr>
          <w:ilvl w:val="0"/>
          <w:numId w:val="3"/>
        </w:numPr>
        <w:ind w:hanging="0" w:left="0" w:right="0"/>
        <w:rPr/>
      </w:pPr>
      <w:bookmarkStart w:id="15" w:name="__RefHeading___Toc3401_68767826"/>
      <w:bookmarkEnd w:id="15"/>
      <w:r>
        <w:rPr/>
        <w:t>Discussion</w:t>
      </w:r>
    </w:p>
    <w:p>
      <w:pPr>
        <w:pStyle w:val="BodyText"/>
        <w:rPr/>
      </w:pPr>
      <w:r>
        <w:rPr/>
        <w:t xml:space="preserve">XXX Does this mean that </w:t>
      </w:r>
      <w:r>
        <w:rPr>
          <w:i/>
          <w:iCs/>
        </w:rPr>
        <w:t>Supersaurus</w:t>
      </w:r>
      <w:r>
        <w:rPr/>
        <w:t xml:space="preserve"> is </w:t>
      </w:r>
      <w:r>
        <w:rPr>
          <w:i/>
          <w:iCs/>
        </w:rPr>
        <w:t>Barosaurus</w:t>
      </w:r>
      <w:r>
        <w:rPr/>
        <w:t>? No, it's not that easy.</w:t>
      </w:r>
    </w:p>
    <w:p>
      <w:pPr>
        <w:pStyle w:val="BodyText"/>
        <w:rPr/>
      </w:pPr>
      <w:r>
        <w:rPr/>
        <w:t>XXX Ecological implications of rare super-giant individuals</w:t>
      </w:r>
    </w:p>
    <w:p>
      <w:pPr>
        <w:pStyle w:val="Heading1"/>
        <w:numPr>
          <w:ilvl w:val="0"/>
          <w:numId w:val="3"/>
        </w:numPr>
        <w:ind w:hanging="0" w:left="0" w:right="0"/>
        <w:rPr/>
      </w:pPr>
      <w:bookmarkStart w:id="16" w:name="__RefHeading___Toc3403_68767826"/>
      <w:bookmarkEnd w:id="16"/>
      <w:r>
        <w:rPr/>
        <w:t>Acknowledgements</w:t>
      </w:r>
    </w:p>
    <w:p>
      <w:pPr>
        <w:pStyle w:val="BodyText"/>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BodyText"/>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BodyText"/>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BodyText"/>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BodyText"/>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hanging="0" w:left="0" w:right="0"/>
        <w:rPr/>
      </w:pPr>
      <w:bookmarkStart w:id="17" w:name="__RefHeading___Toc3405_68767826"/>
      <w:bookmarkEnd w:id="17"/>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Hyperlink"/>
          </w:rPr>
          <w:t>https://www.thestar.com/business/tech_news/2007/11/14/roms_random_bones_a_jurassic_perk.html</w:t>
        </w:r>
      </w:hyperlink>
      <w:r>
        <w:rPr/>
        <w:t xml:space="preserve">, accessed 9 March 2022. Archived at </w:t>
      </w:r>
      <w:r>
        <w:rPr>
          <w:rStyle w:val="Hyperlink"/>
        </w:rPr>
        <w:t>https://web.archive.org/web/20201211011357/https://www.thestar.com/business/tech_news/2007/11/14/roms_random_bones_a_jurassic_perk.html</w:t>
      </w:r>
      <w:r>
        <w:rPr/>
        <w:t xml:space="preserve"> and </w:t>
      </w:r>
      <w:hyperlink r:id="rId6">
        <w:r>
          <w:rPr>
            <w:rStyle w:val="Hyper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BodyText"/>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Hyperlink"/>
          </w:rPr>
          <w:t>https://www.rom.on.ca/en/about-us/newsroom/press-releases/massive-barosaurus-skeleton-discovered-at-the-rom</w:t>
        </w:r>
      </w:hyperlink>
      <w:r>
        <w:rPr/>
        <w:t xml:space="preserve">, accessed 9 March 2022. Archived at </w:t>
      </w:r>
      <w:hyperlink r:id="rId8">
        <w:r>
          <w:rPr>
            <w:rStyle w:val="Hyperlink"/>
          </w:rPr>
          <w:t>https://web.archive.org/web/20210421171257/https://www.rom.on.ca/en/about-us/newsroom/press-releases/massive-barosaurus-skeleton-discovered-at-the-rom</w:t>
        </w:r>
      </w:hyperlink>
      <w:r>
        <w:rPr/>
        <w:t xml:space="preserve"> and </w:t>
      </w:r>
      <w:hyperlink r:id="rId9">
        <w:r>
          <w:rPr>
            <w:rStyle w:val="Hyper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8" w:name="__DdeLink__3681_68767826"/>
      <w:r>
        <w:rPr/>
        <w:t>doi:10.1671/039.029.0309</w:t>
      </w:r>
      <w:bookmarkEnd w:id="18"/>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hanging="0" w:left="0" w:right="0"/>
        <w:rPr/>
      </w:pPr>
      <w:bookmarkStart w:id="19" w:name="__RefHeading___Toc3407_68767826"/>
      <w:bookmarkEnd w:id="19"/>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BodyText"/>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BodyText"/>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BodyText"/>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BodyText"/>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BodyText"/>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BodyText"/>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BodyText"/>
        <w:spacing w:before="0" w:after="140"/>
        <w:rPr/>
      </w:pPr>
      <w:r>
        <w:rPr>
          <w:b/>
          <w:bCs/>
        </w:rPr>
        <w:t>Figure H.</w:t>
      </w:r>
      <w:r>
        <w:rPr>
          <w:b w:val="false"/>
          <w:bCs w:val="false"/>
        </w:rPr>
        <w:t xml:space="preserve"> XXX Mike with BYU 9024.</w:t>
      </w:r>
    </w:p>
    <w:p>
      <w:pPr>
        <w:pStyle w:val="Heading1"/>
        <w:numPr>
          <w:ilvl w:val="0"/>
          <w:numId w:val="2"/>
        </w:numPr>
        <w:ind w:hanging="0" w:left="0" w:right="0"/>
        <w:rPr/>
      </w:pPr>
      <w:bookmarkStart w:id="20" w:name="__RefHeading___Toc7266_68767826"/>
      <w:bookmarkEnd w:id="20"/>
      <w:r>
        <w:rPr/>
        <w:t>Tables</w:t>
      </w:r>
    </w:p>
    <w:p>
      <w:pPr>
        <w:pStyle w:val="Heading2"/>
        <w:rPr/>
      </w:pPr>
      <w:bookmarkStart w:id="21" w:name="__RefHeading___Toc7275_68767826"/>
      <w:bookmarkEnd w:id="21"/>
      <w:r>
        <w:rPr/>
        <w:t>Table A</w:t>
      </w:r>
    </w:p>
    <w:p>
      <w:pPr>
        <w:pStyle w:val="BodyText"/>
        <w:rPr/>
      </w:pPr>
      <w:r>
        <w:rPr/>
        <w:t xml:space="preserve">Measurements of the cervical vertebrae of the small (possibly juvenile)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5"/>
        <w:gridCol w:w="1023"/>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ACH</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ACW</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5"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3"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BodyText"/>
        <w:spacing w:before="0" w:after="140"/>
        <w:rPr/>
      </w:pPr>
      <w:r>
        <w:rPr/>
      </w:r>
    </w:p>
    <w:p>
      <w:pPr>
        <w:pStyle w:val="Heading2"/>
        <w:rPr/>
      </w:pPr>
      <w:bookmarkStart w:id="22" w:name="__RefHeading___Toc7268_68767826"/>
      <w:bookmarkEnd w:id="22"/>
      <w:r>
        <w:rPr/>
        <w:t>Table B</w:t>
      </w:r>
    </w:p>
    <w:p>
      <w:pPr>
        <w:pStyle w:val="BodyText"/>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4"/>
        <w:gridCol w:w="1806"/>
        <w:gridCol w:w="1878"/>
        <w:gridCol w:w="1931"/>
        <w:gridCol w:w="1649"/>
      </w:tblGrid>
      <w:tr>
        <w:trPr/>
        <w:tc>
          <w:tcPr>
            <w:tcW w:w="2374"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Interpretation</w:t>
            </w:r>
          </w:p>
        </w:tc>
        <w:tc>
          <w:tcPr>
            <w:tcW w:w="1878"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C8–C16 length</w:t>
            </w:r>
          </w:p>
        </w:tc>
        <w:tc>
          <w:tcPr>
            <w:tcW w:w="1931"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C1–C7 estimate</w:t>
            </w:r>
          </w:p>
        </w:tc>
        <w:tc>
          <w:tcPr>
            <w:tcW w:w="1649"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Cs/>
              </w:rPr>
            </w:pPr>
            <w:r>
              <w:rPr>
                <w:b/>
                <w:bCs/>
              </w:rPr>
              <w:t>Total length</w:t>
            </w:r>
          </w:p>
        </w:tc>
      </w:tr>
      <w:tr>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Long</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6993</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1903</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8896</w:t>
            </w:r>
          </w:p>
        </w:tc>
      </w:tr>
      <w:tr>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4"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pPr>
            <w:r>
              <w:rPr/>
              <w:t>Medium</w:t>
            </w:r>
          </w:p>
        </w:tc>
        <w:tc>
          <w:tcPr>
            <w:tcW w:w="1878" w:type="dxa"/>
            <w:tcBorders>
              <w:left w:val="single" w:sz="4" w:space="0" w:color="DDDDDD"/>
              <w:bottom w:val="single" w:sz="4" w:space="0" w:color="DDDDDD"/>
            </w:tcBorders>
            <w:shd w:fill="auto" w:val="clear"/>
          </w:tcPr>
          <w:p>
            <w:pPr>
              <w:pStyle w:val="TableContents"/>
              <w:widowControl w:val="false"/>
              <w:rPr/>
            </w:pPr>
            <w:r>
              <w:rPr/>
              <w:t>6550</w:t>
            </w:r>
          </w:p>
        </w:tc>
        <w:tc>
          <w:tcPr>
            <w:tcW w:w="1931" w:type="dxa"/>
            <w:tcBorders>
              <w:left w:val="single" w:sz="4" w:space="0" w:color="DDDDDD"/>
              <w:bottom w:val="single" w:sz="4" w:space="0" w:color="DDDDDD"/>
            </w:tcBorders>
            <w:shd w:fill="auto" w:val="clear"/>
          </w:tcPr>
          <w:p>
            <w:pPr>
              <w:pStyle w:val="TableContents"/>
              <w:widowControl w:val="false"/>
              <w:rPr/>
            </w:pPr>
            <w:r>
              <w:rPr/>
              <w:t>1821</w:t>
            </w:r>
          </w:p>
        </w:tc>
        <w:tc>
          <w:tcPr>
            <w:tcW w:w="1649" w:type="dxa"/>
            <w:tcBorders>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4"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8" w:type="dxa"/>
            <w:tcBorders>
              <w:left w:val="single" w:sz="4" w:space="0" w:color="DDDDDD"/>
              <w:bottom w:val="single" w:sz="4" w:space="0" w:color="DDDDDD"/>
            </w:tcBorders>
            <w:shd w:fill="auto" w:val="clear"/>
          </w:tcPr>
          <w:p>
            <w:pPr>
              <w:pStyle w:val="TableContents"/>
              <w:widowControl w:val="false"/>
              <w:rPr/>
            </w:pPr>
            <w:r>
              <w:rPr/>
            </w:r>
          </w:p>
        </w:tc>
        <w:tc>
          <w:tcPr>
            <w:tcW w:w="1931" w:type="dxa"/>
            <w:tcBorders>
              <w:left w:val="single" w:sz="4" w:space="0" w:color="DDDDDD"/>
              <w:bottom w:val="single" w:sz="4" w:space="0" w:color="DDDDDD"/>
            </w:tcBorders>
            <w:shd w:fill="auto" w:val="clear"/>
          </w:tcPr>
          <w:p>
            <w:pPr>
              <w:pStyle w:val="TableContents"/>
              <w:widowControl w:val="false"/>
              <w:rPr/>
            </w:pPr>
            <w:r>
              <w:rPr/>
              <w:t>1821</w:t>
            </w:r>
          </w:p>
        </w:tc>
        <w:tc>
          <w:tcPr>
            <w:tcW w:w="1649" w:type="dxa"/>
            <w:tcBorders>
              <w:left w:val="single" w:sz="4" w:space="0" w:color="DDDDDD"/>
              <w:bottom w:val="single" w:sz="4" w:space="0" w:color="DDDDDD"/>
              <w:right w:val="single" w:sz="4" w:space="0" w:color="DDDDDD"/>
            </w:tcBorders>
            <w:shd w:fill="auto" w:val="clear"/>
          </w:tcPr>
          <w:p>
            <w:pPr>
              <w:pStyle w:val="TableContents"/>
              <w:widowControl w:val="false"/>
              <w:rPr/>
            </w:pPr>
            <w:r>
              <w:rPr/>
              <w:t>8390</w:t>
            </w:r>
          </w:p>
        </w:tc>
      </w:tr>
      <w:tr>
        <w:trPr/>
        <w:tc>
          <w:tcPr>
            <w:tcW w:w="2374"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8"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1"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9"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Scaled </w:t>
            </w:r>
            <w:r>
              <w:rPr>
                <w:i/>
                <w:iCs/>
              </w:rPr>
              <w:t>Diplodocus</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3" w:name="__DdeLink__7277_68767826"/>
            <w:r>
              <w:rPr/>
              <w:t>9056</w:t>
            </w:r>
            <w:bookmarkEnd w:id="23"/>
          </w:p>
        </w:tc>
      </w:tr>
      <w:tr>
        <w:trPr/>
        <w:tc>
          <w:tcPr>
            <w:tcW w:w="2374"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8" w:type="dxa"/>
            <w:tcBorders>
              <w:left w:val="single" w:sz="4" w:space="0" w:color="DDDDDD"/>
              <w:bottom w:val="single" w:sz="4" w:space="0" w:color="DDDDDD"/>
            </w:tcBorders>
            <w:shd w:fill="auto" w:val="clear"/>
          </w:tcPr>
          <w:p>
            <w:pPr>
              <w:pStyle w:val="TableContents"/>
              <w:widowControl w:val="false"/>
              <w:rPr/>
            </w:pPr>
            <w:r>
              <w:rPr/>
            </w:r>
          </w:p>
        </w:tc>
        <w:tc>
          <w:tcPr>
            <w:tcW w:w="1931" w:type="dxa"/>
            <w:tcBorders>
              <w:left w:val="single" w:sz="4" w:space="0" w:color="DDDDDD"/>
              <w:bottom w:val="single" w:sz="4" w:space="0" w:color="DDDDDD"/>
            </w:tcBorders>
            <w:shd w:fill="auto" w:val="clear"/>
          </w:tcPr>
          <w:p>
            <w:pPr>
              <w:pStyle w:val="TableContents"/>
              <w:widowControl w:val="false"/>
              <w:rPr/>
            </w:pPr>
            <w:r>
              <w:rPr/>
              <w:t>2506</w:t>
            </w:r>
          </w:p>
        </w:tc>
        <w:tc>
          <w:tcPr>
            <w:tcW w:w="1649" w:type="dxa"/>
            <w:tcBorders>
              <w:left w:val="single" w:sz="4" w:space="0" w:color="DDDDDD"/>
              <w:bottom w:val="single" w:sz="4" w:space="0" w:color="DDDDDD"/>
              <w:right w:val="single" w:sz="4" w:space="0" w:color="DDDDDD"/>
            </w:tcBorders>
            <w:shd w:fill="auto" w:val="clear"/>
          </w:tcPr>
          <w:p>
            <w:pPr>
              <w:pStyle w:val="TableContents"/>
              <w:widowControl w:val="false"/>
              <w:rPr/>
            </w:pPr>
            <w:r>
              <w:rPr/>
              <w:t>9055</w:t>
            </w:r>
          </w:p>
        </w:tc>
      </w:tr>
      <w:tr>
        <w:trPr/>
        <w:tc>
          <w:tcPr>
            <w:tcW w:w="2374"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8"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1" w:type="dxa"/>
            <w:tcBorders>
              <w:top w:val="single" w:sz="4" w:space="0" w:color="000000"/>
              <w:left w:val="single" w:sz="4" w:space="0" w:color="DDDDDD"/>
              <w:bottom w:val="single" w:sz="4" w:space="0" w:color="000000"/>
            </w:tcBorders>
            <w:shd w:fill="auto" w:val="clear"/>
          </w:tcPr>
          <w:p>
            <w:pPr>
              <w:pStyle w:val="TableContents"/>
              <w:widowControl w:val="false"/>
              <w:rPr/>
            </w:pPr>
            <w:r>
              <w:rPr/>
              <w:t>2427</w:t>
            </w:r>
          </w:p>
        </w:tc>
        <w:tc>
          <w:tcPr>
            <w:tcW w:w="1649"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9360</w:t>
            </w:r>
          </w:p>
        </w:tc>
      </w:tr>
      <w:tr>
        <w:trPr>
          <w:trHeight w:val="353" w:hRule="atLeast"/>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2140</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8306</w:t>
            </w:r>
          </w:p>
        </w:tc>
      </w:tr>
      <w:tr>
        <w:trPr/>
        <w:tc>
          <w:tcPr>
            <w:tcW w:w="2374"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8"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1" w:type="dxa"/>
            <w:tcBorders>
              <w:top w:val="single" w:sz="4" w:space="0" w:color="DDDDDD"/>
              <w:left w:val="single" w:sz="4" w:space="0" w:color="DDDDDD"/>
              <w:bottom w:val="single" w:sz="4" w:space="0" w:color="DDDDDD"/>
            </w:tcBorders>
            <w:shd w:fill="auto" w:val="clear"/>
          </w:tcPr>
          <w:p>
            <w:pPr>
              <w:pStyle w:val="TableContents"/>
              <w:widowControl w:val="false"/>
              <w:rPr/>
            </w:pPr>
            <w:r>
              <w:rPr/>
              <w:t>2273</w:t>
            </w:r>
          </w:p>
        </w:tc>
        <w:tc>
          <w:tcPr>
            <w:tcW w:w="1649"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8823</w:t>
            </w:r>
          </w:p>
        </w:tc>
      </w:tr>
      <w:tr>
        <w:trPr/>
        <w:tc>
          <w:tcPr>
            <w:tcW w:w="2374" w:type="dxa"/>
            <w:tcBorders>
              <w:left w:val="single" w:sz="4" w:space="0" w:color="DDDDDD"/>
              <w:bottom w:val="single" w:sz="4" w:space="0" w:color="DDDDDD"/>
            </w:tcBorders>
            <w:shd w:fill="auto" w:val="clear"/>
          </w:tcPr>
          <w:p>
            <w:pPr>
              <w:pStyle w:val="TableContents"/>
              <w:widowControl w:val="false"/>
              <w:rPr/>
            </w:pPr>
            <w:r>
              <w:rPr/>
            </w:r>
          </w:p>
        </w:tc>
        <w:tc>
          <w:tcPr>
            <w:tcW w:w="1806" w:type="dxa"/>
            <w:tcBorders>
              <w:left w:val="single" w:sz="4" w:space="0" w:color="DDDDDD"/>
              <w:bottom w:val="single" w:sz="4" w:space="0" w:color="DDDDDD"/>
            </w:tcBorders>
            <w:shd w:fill="auto" w:val="clear"/>
          </w:tcPr>
          <w:p>
            <w:pPr>
              <w:pStyle w:val="TableContents"/>
              <w:widowControl w:val="false"/>
              <w:rPr>
                <w:i/>
                <w:i/>
                <w:iCs/>
              </w:rPr>
            </w:pPr>
            <w:r>
              <w:rPr>
                <w:i/>
                <w:iCs/>
              </w:rPr>
              <w:t>Average</w:t>
            </w:r>
          </w:p>
        </w:tc>
        <w:tc>
          <w:tcPr>
            <w:tcW w:w="1878" w:type="dxa"/>
            <w:tcBorders>
              <w:left w:val="single" w:sz="4" w:space="0" w:color="DDDDDD"/>
              <w:bottom w:val="single" w:sz="4" w:space="0" w:color="DDDDDD"/>
            </w:tcBorders>
            <w:shd w:fill="auto" w:val="clear"/>
          </w:tcPr>
          <w:p>
            <w:pPr>
              <w:pStyle w:val="TableContents"/>
              <w:widowControl w:val="false"/>
              <w:rPr/>
            </w:pPr>
            <w:r>
              <w:rPr/>
            </w:r>
          </w:p>
        </w:tc>
        <w:tc>
          <w:tcPr>
            <w:tcW w:w="1931" w:type="dxa"/>
            <w:tcBorders>
              <w:left w:val="single" w:sz="4" w:space="0" w:color="DDDDDD"/>
              <w:bottom w:val="single" w:sz="4" w:space="0" w:color="DDDDDD"/>
            </w:tcBorders>
            <w:shd w:fill="auto" w:val="clear"/>
          </w:tcPr>
          <w:p>
            <w:pPr>
              <w:pStyle w:val="TableContents"/>
              <w:widowControl w:val="false"/>
              <w:rPr/>
            </w:pPr>
            <w:r>
              <w:rPr/>
              <w:t>2280</w:t>
            </w:r>
          </w:p>
        </w:tc>
        <w:tc>
          <w:tcPr>
            <w:tcW w:w="1649" w:type="dxa"/>
            <w:tcBorders>
              <w:left w:val="single" w:sz="4" w:space="0" w:color="DDDDDD"/>
              <w:bottom w:val="single" w:sz="4" w:space="0" w:color="DDDDDD"/>
              <w:right w:val="single" w:sz="4" w:space="0" w:color="DDDDDD"/>
            </w:tcBorders>
            <w:shd w:fill="auto" w:val="clear"/>
          </w:tcPr>
          <w:p>
            <w:pPr>
              <w:pStyle w:val="TableContents"/>
              <w:widowControl w:val="false"/>
              <w:rPr/>
            </w:pPr>
            <w:r>
              <w:rPr/>
              <w:t>8830</w:t>
            </w:r>
          </w:p>
        </w:tc>
      </w:tr>
      <w:tr>
        <w:trPr/>
        <w:tc>
          <w:tcPr>
            <w:tcW w:w="2374" w:type="dxa"/>
            <w:tcBorders>
              <w:top w:val="single" w:sz="4" w:space="0" w:color="000000"/>
              <w:left w:val="single" w:sz="4" w:space="0" w:color="DDDDDD"/>
              <w:bottom w:val="single" w:sz="4" w:space="0" w:color="000000"/>
            </w:tcBorders>
            <w:shd w:fill="auto" w:val="clear"/>
          </w:tcPr>
          <w:p>
            <w:pPr>
              <w:pStyle w:val="TableContents"/>
              <w:widowControl w:val="false"/>
              <w:rPr>
                <w:i/>
                <w:i/>
                <w:iCs/>
              </w:rPr>
            </w:pPr>
            <w:r>
              <w:rPr>
                <w:i/>
                <w:iCs/>
              </w:rPr>
              <w:t>Grand average</w:t>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i/>
                <w:i/>
                <w:iCs/>
              </w:rPr>
            </w:pPr>
            <w:r>
              <w:rPr>
                <w:i/>
                <w:iCs/>
              </w:rPr>
            </w:r>
          </w:p>
        </w:tc>
        <w:tc>
          <w:tcPr>
            <w:tcW w:w="1878"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931" w:type="dxa"/>
            <w:tcBorders>
              <w:top w:val="single" w:sz="4" w:space="0" w:color="000000"/>
              <w:left w:val="single" w:sz="4" w:space="0" w:color="DDDDDD"/>
              <w:bottom w:val="single" w:sz="4" w:space="0" w:color="000000"/>
            </w:tcBorders>
            <w:shd w:fill="auto" w:val="clear"/>
          </w:tcPr>
          <w:p>
            <w:pPr>
              <w:pStyle w:val="TableContents"/>
              <w:widowControl w:val="false"/>
              <w:rPr/>
            </w:pPr>
            <w:r>
              <w:rPr/>
              <w:t>2202</w:t>
            </w:r>
          </w:p>
        </w:tc>
        <w:tc>
          <w:tcPr>
            <w:tcW w:w="1649"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8758</w:t>
            </w:r>
          </w:p>
        </w:tc>
      </w:tr>
    </w:tbl>
    <w:p>
      <w:pPr>
        <w:pStyle w:val="BodyText"/>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Monaco">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numPr>
        <w:ilvl w:val="0"/>
        <w:numId w:val="1"/>
      </w:num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numPr>
        <w:ilvl w:val="2"/>
        <w:numId w:val="1"/>
      </w:numPr>
      <w:spacing w:before="140" w:after="120"/>
      <w:outlineLvl w:val="2"/>
    </w:pPr>
    <w:rPr>
      <w:b/>
      <w:bCs/>
      <w:sz w:val="20"/>
      <w:szCs w:val="2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40"/>
      <w:szCs w:val="56"/>
    </w:rPr>
  </w:style>
  <w:style w:type="paragraph" w:styleId="Author">
    <w:name w:val="Author"/>
    <w:basedOn w:val="BodyText"/>
    <w:qFormat/>
    <w:pPr>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13101</TotalTime>
  <Application>LibreOffice/24.8.2.1$MacOSX_X86_64 LibreOffice_project/0f794b6e29741098670a3b95d60478a65d05ef13</Application>
  <AppVersion>15.0000</AppVersion>
  <Pages>14</Pages>
  <Words>6047</Words>
  <Characters>32773</Characters>
  <CharactersWithSpaces>38452</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2024-11-25T23:19:20Z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