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i w:val="false"/>
          <w:i w:val="false"/>
          <w:iCs w:val="false"/>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395_68767826">
        <w:r>
          <w:rPr>
            <w:rStyle w:val="IndexLink"/>
          </w:rPr>
          <w:t>Introduction</w:t>
          <w:tab/>
          <w:t>2</w:t>
        </w:r>
      </w:hyperlink>
    </w:p>
    <w:p>
      <w:pPr>
        <w:pStyle w:val="Contents2"/>
        <w:tabs>
          <w:tab w:val="clear" w:pos="9355"/>
          <w:tab w:val="right" w:pos="9638" w:leader="dot"/>
        </w:tabs>
        <w:rPr/>
      </w:pPr>
      <w:hyperlink w:anchor="__RefHeading___Toc3414_68767826">
        <w:r>
          <w:rPr>
            <w:rStyle w:val="IndexLink"/>
          </w:rPr>
          <w:t>Institutional Abbreviations</w:t>
          <w:tab/>
          <w:t>2</w:t>
        </w:r>
      </w:hyperlink>
    </w:p>
    <w:p>
      <w:pPr>
        <w:pStyle w:val="Contents1"/>
        <w:tabs>
          <w:tab w:val="right" w:pos="9638" w:leader="dot"/>
        </w:tabs>
        <w:rPr/>
      </w:pPr>
      <w:hyperlink w:anchor="__RefHeading___Toc3397_68767826">
        <w:r>
          <w:rPr>
            <w:rStyle w:val="IndexLink"/>
          </w:rPr>
          <w:t>Materials and Methods</w:t>
          <w:tab/>
          <w:t>2</w:t>
        </w:r>
      </w:hyperlink>
    </w:p>
    <w:p>
      <w:pPr>
        <w:pStyle w:val="Contents1"/>
        <w:tabs>
          <w:tab w:val="right" w:pos="9638" w:leader="dot"/>
        </w:tabs>
        <w:rPr/>
      </w:pPr>
      <w:hyperlink w:anchor="__RefHeading___Toc3399_68767826">
        <w:r>
          <w:rPr>
            <w:rStyle w:val="IndexLink"/>
          </w:rPr>
          <w:t>Results</w:t>
          <w:tab/>
          <w:t>2</w:t>
        </w:r>
      </w:hyperlink>
    </w:p>
    <w:p>
      <w:pPr>
        <w:pStyle w:val="Contents1"/>
        <w:tabs>
          <w:tab w:val="right" w:pos="9638" w:leader="dot"/>
        </w:tabs>
        <w:rPr/>
      </w:pPr>
      <w:hyperlink w:anchor="__RefHeading___Toc3401_68767826">
        <w:r>
          <w:rPr>
            <w:rStyle w:val="IndexLink"/>
          </w:rPr>
          <w:t>Discussion</w:t>
          <w:tab/>
          <w:t>3</w:t>
        </w:r>
      </w:hyperlink>
    </w:p>
    <w:p>
      <w:pPr>
        <w:pStyle w:val="Contents1"/>
        <w:tabs>
          <w:tab w:val="right" w:pos="9638" w:leader="dot"/>
        </w:tabs>
        <w:rPr/>
      </w:pPr>
      <w:hyperlink w:anchor="__RefHeading___Toc3403_68767826">
        <w:r>
          <w:rPr>
            <w:rStyle w:val="IndexLink"/>
          </w:rPr>
          <w:t>Acknowledgements</w:t>
          <w:tab/>
          <w:t>3</w:t>
        </w:r>
      </w:hyperlink>
    </w:p>
    <w:p>
      <w:pPr>
        <w:pStyle w:val="Contents1"/>
        <w:tabs>
          <w:tab w:val="right" w:pos="9638" w:leader="dot"/>
        </w:tabs>
        <w:rPr/>
      </w:pPr>
      <w:hyperlink w:anchor="__RefHeading___Toc3405_68767826">
        <w:r>
          <w:rPr>
            <w:rStyle w:val="IndexLink"/>
          </w:rPr>
          <w:t>References</w:t>
          <w:tab/>
          <w:t>3</w:t>
        </w:r>
      </w:hyperlink>
    </w:p>
    <w:p>
      <w:pPr>
        <w:pStyle w:val="Contents1"/>
        <w:tabs>
          <w:tab w:val="right" w:pos="9638" w:leader="dot"/>
        </w:tabs>
        <w:rPr/>
      </w:pPr>
      <w:hyperlink w:anchor="__RefHeading___Toc3407_68767826">
        <w:r>
          <w:rPr>
            <w:rStyle w:val="IndexLink"/>
          </w:rPr>
          <w:t>Figure Captions</w:t>
          <w:tab/>
          <w:t>3</w:t>
        </w:r>
      </w:hyperlink>
    </w:p>
    <w:p>
      <w:pPr>
        <w:pStyle w:val="TextBody"/>
        <w:rPr/>
      </w:pPr>
      <w:r>
        <w:rPr/>
      </w:r>
      <w:r>
        <w:rPr/>
        <w:fldChar w:fldCharType="end"/>
      </w:r>
    </w:p>
    <w:p>
      <w:pPr>
        <w:pStyle w:val="TextBody"/>
        <w:rPr/>
      </w:pPr>
      <w:r>
        <w:rPr/>
      </w:r>
    </w:p>
    <w:p>
      <w:pPr>
        <w:pStyle w:val="Heading1"/>
        <w:numPr>
          <w:ilvl w:val="0"/>
          <w:numId w:val="2"/>
        </w:numPr>
        <w:ind w:left="0" w:right="0" w:hanging="0"/>
        <w:rPr/>
      </w:pPr>
      <w:bookmarkStart w:id="0" w:name="__RefHeading___Toc3395_68767826"/>
      <w:bookmarkEnd w:id="0"/>
      <w:r>
        <w:rPr/>
        <w:t>Introduction</w:t>
      </w:r>
    </w:p>
    <w:p>
      <w:pPr>
        <w:pStyle w:val="TextBody"/>
        <w:rPr/>
      </w:pPr>
      <w:r>
        <w:rPr>
          <w:i/>
          <w:iCs/>
        </w:rPr>
        <w:t>Barosaurus</w:t>
      </w:r>
      <w:r>
        <w:rPr/>
        <w:t xml:space="preserve"> is a diplodocid sauropod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a substantial partial specimen, YPM 492. More of this was subsequently excavated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w:t>
      </w:r>
    </w:p>
    <w:p>
      <w:pPr>
        <w:pStyle w:val="TextBody"/>
        <w:rPr/>
      </w:pPr>
      <w:r>
        <w:rPr/>
        <w:t xml:space="preserve">Since Lull’s monograph, </w:t>
      </w:r>
      <w:r>
        <w:rPr>
          <w:i/>
          <w:iCs/>
        </w:rPr>
        <w:t>Barosaurus</w:t>
      </w:r>
      <w:r>
        <w:rPr/>
        <w:t xml:space="preserve"> has become known from more complete specimens, </w:t>
      </w:r>
      <w:r>
        <w:rPr/>
        <w:t xml:space="preserve">including several </w:t>
      </w:r>
      <w:r>
        <w:rPr/>
        <w:t xml:space="preserve">mounted </w:t>
      </w:r>
      <w:r>
        <w:rPr/>
        <w:t>skeletons</w:t>
      </w:r>
      <w:r>
        <w:rPr/>
        <w:t xml:space="preserve"> in public galleries (either as real bone or as casts), but </w:t>
      </w:r>
      <w:r>
        <w:rPr/>
        <w:t xml:space="preserve">none of these </w:t>
      </w:r>
      <w:r>
        <w:rPr/>
        <w:t>ha</w:t>
      </w:r>
      <w:r>
        <w:rPr/>
        <w:t xml:space="preserve">ve </w:t>
      </w:r>
      <w:r>
        <w:rPr/>
        <w:t>yet been formally described in any detail. The most influential of these is AMNH 6341, the iconic rearing mount in the rotunda of the American Museum of Natural History (</w:t>
      </w:r>
      <w:r>
        <w:rPr/>
        <w:t>Figure B</w:t>
      </w:r>
      <w:r>
        <w:rPr/>
        <w:t xml:space="preserve">), which was briefly described in McIntosh’s (2005) revision of the genus </w:t>
      </w:r>
      <w:r>
        <w:rPr>
          <w:i/>
          <w:iCs/>
        </w:rPr>
        <w:t>Barosaurus</w:t>
      </w:r>
      <w:r>
        <w:rPr/>
        <w:t xml:space="preserve">; More recently, a rediscovered specimen (ROM 3670) was mounted at the Royal Ontario Museum, having been overlooked in collections for decades, </w:t>
      </w:r>
      <w:r>
        <w:rPr/>
        <w:t>but signage in the public gallery indicates that only three cervicals — probably 12, 13 and 16 — are real fossil material, the rest presumably having been replaced by casts of the AMNH specimen</w:t>
      </w:r>
      <w:r>
        <w:rPr/>
        <w:t xml:space="preserve">. </w:t>
      </w:r>
      <w:r>
        <w:rPr/>
        <w:t xml:space="preserve">In the public gallery of </w:t>
      </w:r>
      <w:r>
        <w:rPr/>
        <w:t xml:space="preserve">the Natural History Museum of Utah, </w:t>
      </w:r>
      <w:r>
        <w:rPr/>
        <w:t>t</w:t>
      </w:r>
      <w:r>
        <w:rPr/>
        <w:t xml:space="preserve">here is a </w:t>
      </w:r>
      <w:r>
        <w:rPr>
          <w:i/>
          <w:iCs/>
        </w:rPr>
        <w:t>Barosaurus</w:t>
      </w:r>
      <w:r>
        <w:rPr/>
        <w:t xml:space="preserve"> mount in a crouching pose with a raised neck,</w:t>
      </w:r>
      <w:r>
        <w:rPr/>
        <w:t xml:space="preserve"> based in part on real fossils; but the </w:t>
      </w:r>
      <w:r>
        <w:rPr/>
        <w:t xml:space="preserve">neck is cast from the ROM material </w:t>
      </w:r>
      <w:r>
        <w:rPr/>
        <w:t>(Randy Irmis, pers. Comm., 2022), so offers no new information</w:t>
      </w:r>
      <w:r>
        <w:rPr/>
        <w:t>. (</w:t>
      </w:r>
      <w:r>
        <w:rPr/>
        <w:t xml:space="preserve">The Utah </w:t>
      </w:r>
      <w:r>
        <w:rPr>
          <w:i/>
          <w:iCs/>
        </w:rPr>
        <w:t>Barosaurus</w:t>
      </w:r>
      <w:r>
        <w:rPr/>
        <w:t xml:space="preserve"> mount </w:t>
      </w:r>
      <w:r>
        <w:rPr/>
        <w:t xml:space="preserve">has no single specimen number of its own, being a composite of many specimens.) </w:t>
      </w:r>
      <w:r>
        <w:rPr/>
        <w:t xml:space="preserve">It seems then, that all three mounted </w:t>
      </w:r>
      <w:r>
        <w:rPr>
          <w:i/>
          <w:iCs/>
        </w:rPr>
        <w:t>Barosaurus</w:t>
      </w:r>
      <w:r>
        <w:rPr/>
        <w:t xml:space="preserve"> skeletons are based on substantially the same neck material.</w:t>
      </w:r>
    </w:p>
    <w:p>
      <w:pPr>
        <w:pStyle w:val="TextBody"/>
        <w:rPr/>
      </w:pPr>
      <w:r>
        <w:rPr/>
        <w:t xml:space="preserve">Although the AMNH specimen has not been described in detail, it has been enormously significant culturally, and </w:t>
      </w:r>
      <w:r>
        <w:rPr>
          <w:i/>
          <w:iCs/>
        </w:rPr>
        <w:t>Barosaurus</w:t>
      </w:r>
      <w:r>
        <w:rPr/>
        <w:t xml:space="preserve"> is universally recognised a</w:t>
      </w:r>
      <w:r>
        <w:rPr/>
        <w:t>s</w:t>
      </w:r>
      <w:r>
        <w:rPr/>
        <w:t xml:space="preserve"> proportionally long necked, even by sauropod standards (e.g. Bartram et al. 1983, Lindsay 1992, Lambert 2000). The exact length of the neck is difficult to determine, however, as no complete neck is known. AMNH 6341 preserves the last nine cervical vertebrae, which McIntosh (2005:45) considers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Only one known </w:t>
      </w:r>
      <w:r>
        <w:rPr>
          <w:i/>
          <w:iCs/>
        </w:rPr>
        <w:t>Barosaurus</w:t>
      </w:r>
      <w:r>
        <w:rPr/>
        <w:t xml:space="preserve"> individual preserves the anterior cervicals: AMNH 7535 is a juvenile, referred by Tschopp et al. (2015:220) to </w:t>
      </w:r>
      <w:r>
        <w:rPr>
          <w:i/>
          <w:iCs/>
        </w:rPr>
        <w:t>Barosaurus</w:t>
      </w:r>
      <w:r>
        <w:rPr/>
        <w:t xml:space="preserve"> sp., and consisting of cervicals 2–8. By scaling these vertebrae up to match those of AMNH 6341 (C8 is preserved in both specimens), Wedel (2007:207) estimated the total neck length at 8.5 m.</w:t>
      </w:r>
    </w:p>
    <w:p>
      <w:pPr>
        <w:pStyle w:val="TextBody"/>
        <w:rPr/>
      </w:pPr>
      <w:r>
        <w:rPr>
          <w:i/>
          <w:iCs/>
        </w:rPr>
        <w:t>Barosaurus</w:t>
      </w:r>
      <w:r>
        <w:rPr/>
        <w:t xml:space="preserve"> closely resembles its near relative </w:t>
      </w:r>
      <w:r>
        <w:rPr>
          <w:i/>
          <w:iCs/>
        </w:rPr>
        <w:t>Diplodocus</w:t>
      </w:r>
      <w:r>
        <w:rPr/>
        <w:t xml:space="preserve"> in its postcervical skeleton, differ</w:t>
      </w:r>
      <w:r>
        <w:rPr/>
        <w:t xml:space="preserve">ing </w:t>
      </w:r>
      <w:r>
        <w:rPr/>
        <w:t xml:space="preserve">primarily in cervical characters. </w:t>
      </w:r>
      <w:r>
        <w:rPr/>
        <w:t xml:space="preserve">This is most notable </w:t>
      </w:r>
      <w:r>
        <w:rPr/>
        <w:t xml:space="preserve">in the elongation of the neck: </w:t>
      </w:r>
      <w:r>
        <w:rPr/>
        <w:t xml:space="preserve">it </w:t>
      </w:r>
      <w:r>
        <w:rPr/>
        <w:t xml:space="preserve">is 40% longer than the 6.1 m neck of the </w:t>
      </w:r>
      <w:r>
        <w:rPr/>
        <w:t>well known</w:t>
      </w:r>
      <w:r>
        <w:rPr/>
        <w:t xml:space="preserve"> </w:t>
      </w:r>
      <w:r>
        <w:rPr>
          <w:i/>
          <w:iCs/>
        </w:rPr>
        <w:t>Diplodocus carnegii</w:t>
      </w:r>
      <w:r>
        <w:rPr/>
        <w:t xml:space="preserve"> holo</w:t>
      </w:r>
      <w:r>
        <w:rPr/>
        <w:t>t</w:t>
      </w:r>
      <w:r>
        <w:rPr/>
        <w:t xml:space="preserve">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heir torso and limbs, differing only in that the former has a longer neck and the latter a longer tail (Figure A). </w:t>
      </w:r>
      <w:r>
        <w:rPr/>
        <w:t xml:space="preserve">Otherwise proportional differences are minor: </w:t>
      </w:r>
      <w:r>
        <w:rPr>
          <w:i/>
          <w:iCs/>
        </w:rPr>
        <w:t>Barosaurus</w:t>
      </w:r>
      <w:r>
        <w:rPr/>
        <w:t xml:space="preserve"> is slightly taller at the shoulders and slightly less tall at the hips.</w:t>
      </w:r>
    </w:p>
    <w:p>
      <w:pPr>
        <w:pStyle w:val="Heading2"/>
        <w:rPr/>
      </w:pPr>
      <w:r>
        <w:rPr/>
        <w:t>Privately held material</w:t>
      </w:r>
    </w:p>
    <w:p>
      <w:pPr>
        <w:pStyle w:val="TextBody"/>
        <w:rPr/>
      </w:pPr>
      <w:r>
        <w:rPr/>
        <w:t>XXX What to say about Western Paleo Labs?</w:t>
      </w:r>
    </w:p>
    <w:p>
      <w:pPr>
        <w:pStyle w:val="Heading2"/>
        <w:rPr/>
      </w:pPr>
      <w:bookmarkStart w:id="1" w:name="__RefHeading___Toc3414_68767826"/>
      <w:bookmarkEnd w:id="1"/>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ROM — Royal Ontario Museum, Toronto, Canada.</w:t>
      </w:r>
    </w:p>
    <w:p>
      <w:pPr>
        <w:pStyle w:val="Heading2"/>
        <w:rPr/>
      </w:pPr>
      <w:r>
        <w:rPr/>
        <w:t>Anatomical abbreviations</w:t>
      </w:r>
    </w:p>
    <w:p>
      <w:pPr>
        <w:pStyle w:val="TextBody"/>
        <w:rPr/>
      </w:pPr>
      <w:r>
        <w:rPr/>
        <w:t>XXX</w:t>
      </w:r>
    </w:p>
    <w:p>
      <w:pPr>
        <w:pStyle w:val="Heading1"/>
        <w:numPr>
          <w:ilvl w:val="0"/>
          <w:numId w:val="2"/>
        </w:numPr>
        <w:ind w:left="0" w:right="0" w:hanging="0"/>
        <w:rPr/>
      </w:pPr>
      <w:bookmarkStart w:id="2" w:name="__RefHeading___Toc3397_68767826"/>
      <w:bookmarkEnd w:id="2"/>
      <w:r>
        <w:rPr/>
        <w:t>Materials and Methods</w:t>
      </w:r>
    </w:p>
    <w:p>
      <w:pPr>
        <w:pStyle w:val="TextBody"/>
        <w:rPr/>
      </w:pPr>
      <w:r>
        <w:rPr/>
        <w:t>XXX</w:t>
      </w:r>
    </w:p>
    <w:p>
      <w:pPr>
        <w:pStyle w:val="Heading1"/>
        <w:numPr>
          <w:ilvl w:val="0"/>
          <w:numId w:val="2"/>
        </w:numPr>
        <w:ind w:left="0" w:right="0" w:hanging="0"/>
        <w:rPr/>
      </w:pPr>
      <w:bookmarkStart w:id="3" w:name="__RefHeading___Toc3399_68767826"/>
      <w:bookmarkEnd w:id="3"/>
      <w:r>
        <w:rPr/>
        <w:t>Results</w:t>
      </w:r>
    </w:p>
    <w:p>
      <w:pPr>
        <w:pStyle w:val="TextBody"/>
        <w:rPr/>
      </w:pPr>
      <w:r>
        <w:rPr/>
        <w:t>XXX</w:t>
      </w:r>
    </w:p>
    <w:p>
      <w:pPr>
        <w:pStyle w:val="Heading1"/>
        <w:numPr>
          <w:ilvl w:val="0"/>
          <w:numId w:val="2"/>
        </w:numPr>
        <w:ind w:left="0" w:right="0" w:hanging="0"/>
        <w:rPr/>
      </w:pPr>
      <w:bookmarkStart w:id="4" w:name="__RefHeading___Toc3401_68767826"/>
      <w:bookmarkEnd w:id="4"/>
      <w:r>
        <w:rPr/>
        <w:t>Discussion</w:t>
      </w:r>
    </w:p>
    <w:p>
      <w:pPr>
        <w:pStyle w:val="TextBody"/>
        <w:rPr/>
      </w:pPr>
      <w:r>
        <w:rPr/>
        <w:t xml:space="preserve">XXX compare our diagnostic characters with those in the Revised Diagnosis of </w:t>
      </w:r>
      <w:r>
        <w:rPr>
          <w:i/>
          <w:iCs/>
        </w:rPr>
        <w:t>Barosaurus</w:t>
      </w:r>
      <w:r>
        <w:rPr/>
        <w:t xml:space="preserve"> in Tschopp et al.</w:t>
      </w:r>
    </w:p>
    <w:p>
      <w:pPr>
        <w:pStyle w:val="Heading1"/>
        <w:numPr>
          <w:ilvl w:val="0"/>
          <w:numId w:val="2"/>
        </w:numPr>
        <w:ind w:left="0" w:right="0" w:hanging="0"/>
        <w:rPr/>
      </w:pPr>
      <w:bookmarkStart w:id="5" w:name="__RefHeading___Toc3403_68767826"/>
      <w:bookmarkEnd w:id="5"/>
      <w:r>
        <w:rPr/>
        <w:t>Acknowledgements</w:t>
      </w:r>
    </w:p>
    <w:p>
      <w:pPr>
        <w:pStyle w:val="TextBody"/>
        <w:rPr/>
      </w:pPr>
      <w:r>
        <w:rPr/>
        <w:t>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w:t>
      </w:r>
      <w:r>
        <w:rPr/>
        <w:t>and for permission to cite personal communication.</w:t>
      </w:r>
    </w:p>
    <w:p>
      <w:pPr>
        <w:pStyle w:val="Heading1"/>
        <w:numPr>
          <w:ilvl w:val="0"/>
          <w:numId w:val="2"/>
        </w:numPr>
        <w:ind w:left="0" w:right="0" w:hanging="0"/>
        <w:rPr/>
      </w:pPr>
      <w:bookmarkStart w:id="6" w:name="__RefHeading___Toc3405_68767826"/>
      <w:bookmarkEnd w:id="6"/>
      <w:r>
        <w:rPr/>
        <w:t>References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7" w:name="__DdeLink__3681_68767826"/>
      <w:r>
        <w:rPr/>
        <w:t>doi:10.1671/039.029.0309</w:t>
      </w:r>
      <w:bookmarkEnd w:id="7"/>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2"/>
        </w:numPr>
        <w:ind w:left="0" w:right="0" w:hanging="0"/>
        <w:rPr/>
      </w:pPr>
      <w:bookmarkStart w:id="8" w:name="__RefHeading___Toc3407_68767826"/>
      <w:bookmarkEnd w:id="8"/>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notably longer neck than </w:t>
      </w:r>
      <w:r>
        <w:rPr>
          <w:i/>
          <w:iCs/>
        </w:rPr>
        <w:t>Diplodocus</w:t>
      </w:r>
      <w:r>
        <w:rPr/>
        <w:t xml:space="preserve"> and a shorter tail. It is also somewhat taller at the shoulders and less so at the hips. Otherwise their size and proportions are very similar. Since the neck and tail typically accounts for no more than 20% of the mass of a sauropod (see e.g. Taylor 2009: table 4), these two individuals likely weighed almost exactly the same.</w:t>
      </w:r>
    </w:p>
    <w:p>
      <w:pPr>
        <w:pStyle w:val="TextBody"/>
        <w:spacing w:before="0" w:after="140"/>
        <w:rPr/>
      </w:pPr>
      <w:r>
        <w:rPr>
          <w:b/>
          <w:bCs/>
        </w:rPr>
        <w:t>Figure B.</w:t>
      </w:r>
      <w:r>
        <w:rPr/>
        <w:t xml:space="preserve"> XXX a photograph of the AMNH mount.</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83"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7697</TotalTime>
  <Application>LibreOffice/6.1.3.2$MacOSX_X86_64 LibreOffice_project/86daf60bf00efa86ad547e59e09d6bb77c699acb</Application>
  <Pages>5</Pages>
  <Words>1621</Words>
  <Characters>8854</Characters>
  <CharactersWithSpaces>10409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2022-02-27T11:50:37Z</dcterms:modified>
  <cp:revision>67</cp:revision>
  <dc:subject/>
  <dc:title/>
</cp:coreProperties>
</file>