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tru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w:t>
      </w:r>
      <w:r>
        <w:rPr/>
        <w:t xml:space="preserve">our own (Taylor and Wedel 2013b) </w:t>
      </w:r>
      <w:r>
        <w:rPr/>
        <w:t xml:space="preserve">illustration of the </w:t>
      </w:r>
      <w:r>
        <w:rPr/>
        <w:t xml:space="preserve">cervical </w:t>
      </w:r>
      <w:r>
        <w:rPr/>
        <w:t xml:space="preserve">vertebrae of </w:t>
      </w:r>
      <w:r>
        <w:rPr/>
        <w:t xml:space="preserve">a turkey and of </w:t>
      </w:r>
      <w:r>
        <w:rPr>
          <w:i/>
          <w:iCs/>
        </w:rPr>
        <w:t>Giraffatitan brancai</w:t>
      </w:r>
      <w:r>
        <w:rPr/>
        <w:t xml:space="preserve"> </w:t>
      </w:r>
      <w:r>
        <w:rPr/>
        <w:t>(reproduced here as Figure 2).</w:t>
      </w:r>
    </w:p>
    <w:p>
      <w:pPr>
        <w:pStyle w:val="TextBody"/>
        <w:rPr/>
      </w:pPr>
      <w:r>
        <w:rPr/>
        <w:t>[Figure 2 here]</w:t>
      </w:r>
    </w:p>
    <w:p>
      <w:pPr>
        <w:pStyle w:val="TextBody"/>
        <w:rPr/>
      </w:pPr>
      <w:r>
        <w:rPr/>
        <w:t xml:space="preserve">We have been similarly inconsistent in our own </w:t>
      </w:r>
      <w:r>
        <w:rPr/>
        <w:t xml:space="preserve">other </w:t>
      </w:r>
      <w:r>
        <w:rPr/>
        <w:t xml:space="preserve">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4C.</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giraffe, turkey and </w:t>
      </w:r>
      <w:r>
        <w:rPr>
          <w:i/>
          <w:iCs/>
        </w:rPr>
        <w:t>Giraffatitan</w:t>
      </w:r>
      <w:r>
        <w:rPr/>
        <w:t xml:space="preserve"> cervicals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w:t>
      </w:r>
      <w:r>
        <w:rPr/>
        <w:t>a</w:t>
      </w:r>
      <w:r>
        <w:rPr/>
        <w:t>: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Figure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Taylor, Michael P., and Mathew J. Wedel. 2013</w:t>
      </w:r>
      <w:r>
        <w:rPr/>
        <w:t>a</w:t>
      </w:r>
      <w:r>
        <w:rPr/>
        <w:t xml:space="preserve">.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Taylor, Michael P., and Mathew J. Wedel. 2013</w:t>
      </w:r>
      <w:r>
        <w:rPr/>
        <w:t>b</w:t>
      </w:r>
      <w:r>
        <w:rPr/>
        <w:t xml:space="preserve">.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t xml:space="preserve">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w:t>
      </w:r>
      <w:r>
        <w:rPr/>
        <w:t>Reproduced under the CC By licen</w:t>
      </w:r>
      <w:r>
        <w:rPr/>
        <w:t>s</w:t>
      </w:r>
      <w:r>
        <w:rPr/>
        <w:t>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13</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LibreOffice/6.1.3.2$MacOSX_X86_64 LibreOffice_project/86daf60bf00efa86ad547e59e09d6bb77c699acb</Application>
  <Pages>18</Pages>
  <Words>8021</Words>
  <Characters>43575</Characters>
  <CharactersWithSpaces>51393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2022-01-26T21:18:19Z</dcterms:modified>
  <cp:revision>53</cp:revision>
  <dc:subject/>
  <dc:title/>
</cp:coreProperties>
</file>