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When describing and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6</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10</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1"/>
        <w:tabs>
          <w:tab w:val="right" w:pos="9360" w:leader="dot"/>
        </w:tabs>
        <w:rPr/>
      </w:pPr>
      <w:hyperlink w:anchor="__RefHeading___Toc3774_1143798326">
        <w:r>
          <w:rPr>
            <w:rStyle w:val="IndexLink"/>
          </w:rPr>
          <w:t>Acknowledgements</w:t>
          <w:tab/>
          <w:t>12</w:t>
        </w:r>
      </w:hyperlink>
    </w:p>
    <w:p>
      <w:pPr>
        <w:pStyle w:val="Contents2"/>
        <w:tabs>
          <w:tab w:val="clear" w:pos="9077"/>
          <w:tab w:val="right" w:pos="9360" w:leader="dot"/>
        </w:tabs>
        <w:rPr/>
      </w:pPr>
      <w:hyperlink w:anchor="__RefHeading___Toc158869_156573581">
        <w:r>
          <w:rPr>
            <w:rStyle w:val="IndexLink"/>
          </w:rPr>
          <w:t>Open peer review</w:t>
          <w:tab/>
          <w:t>13</w:t>
        </w:r>
      </w:hyperlink>
    </w:p>
    <w:p>
      <w:pPr>
        <w:pStyle w:val="Contents1"/>
        <w:tabs>
          <w:tab w:val="right" w:pos="9360" w:leader="dot"/>
        </w:tabs>
        <w:rPr/>
      </w:pPr>
      <w:hyperlink w:anchor="__RefHeading___Toc3776_1143798326">
        <w:r>
          <w:rPr>
            <w:rStyle w:val="IndexLink"/>
          </w:rPr>
          <w:t>References</w:t>
          <w:tab/>
          <w:t>14</w:t>
        </w:r>
      </w:hyperlink>
    </w:p>
    <w:p>
      <w:pPr>
        <w:pStyle w:val="Contents1"/>
        <w:tabs>
          <w:tab w:val="right" w:pos="9360" w:leader="dot"/>
        </w:tabs>
        <w:rPr/>
      </w:pPr>
      <w:hyperlink w:anchor="__RefHeading___Toc165_2419612945">
        <w:r>
          <w:rPr>
            <w:rStyle w:val="IndexLink"/>
          </w:rPr>
          <w:t>Figure Captions</w:t>
          <w:tab/>
          <w:t>17</w:t>
        </w:r>
      </w:hyperlink>
    </w:p>
    <w:p>
      <w:pPr>
        <w:pStyle w:val="Heading1"/>
        <w:numPr>
          <w:ilvl w:val="0"/>
          <w:numId w:val="3"/>
        </w:numPr>
        <w:rPr/>
      </w:pPr>
      <w:bookmarkStart w:id="0" w:name="__RefHeading___Toc5523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character 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 Similarly, morphometric analyses use landmark descriptions such as “anterior ventral mid-point of centrum” and “posterior left lateral-most point of centrum” (Randau et al. 2017:supplementary file ESM2:table S2, homologous dataset landmarks 1 and 12). Such landmark descriptions must be interpreted in the context of a specific orientation of the vertebra being measured: in the absence of an explicit baseline, observations and measurements cannot be independently replicated.</w:t>
      </w:r>
    </w:p>
    <w:p>
      <w:pPr>
        <w:pStyle w:val="TextBody"/>
        <w:rPr/>
      </w:pPr>
      <w:r>
        <w:rPr/>
        <w:t>[Figure 1 here]</w:t>
      </w:r>
    </w:p>
    <w:p>
      <w:pPr>
        <w:pStyle w:val="TextBody"/>
        <w:rPr/>
      </w:pPr>
      <w:r>
        <w:rPr/>
        <w:t>There are also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(Giffin 1990).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when determining this from photographs, as is often necessary when access to the specimens is not convenient, the apparent area depends on how the vertebra is oriented in the available images. In most cases, sighting directly along the neural canal will maximize the apparent cross-sectional area of the neural canal as seen in cranial or caudal view. If the neural canal and articular surfaces of the centrum are not orthogonal, using an image in which the vertebra is oriented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 (e.g. Christian 2002),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 in modified form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and describe the anatomical properties of vertebrae in a repeatable manner.</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apply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 or access to the specimen or a 3D model, does it become apparent that the upper two lines in the lower group mark breakages in the cotyle rim rather than a legitimate ventral margin.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All of 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the current definition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7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 in lateral view.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TextBody"/>
        <w:rPr/>
      </w:pPr>
      <w:r>
        <w:rPr/>
        <w:t xml:space="preserve">In principle the toothpick method can also be used to find the trajectory of the roof of the neural canal. For the </w:t>
      </w:r>
      <w:r>
        <w:rPr>
          <w:i/>
          <w:iCs/>
        </w:rPr>
        <w:t>Xenoposeidon</w:t>
      </w:r>
      <w:r>
        <w:rPr/>
        <w:t xml:space="preserve"> vertebra, however, this would not yield helpful results, at it has a very large, teardrop-shaped anterior fossa (character #4 in the revised diagnosis of Taylor 2018a:5; see Figure 12). The matrix has not been prepared out of this fossa, so the anterior margin of the neural canal cannot be identified. But even were the matrix fully removed, it is likely that there </w:t>
      </w:r>
      <w:r>
        <w:rPr>
          <w:rFonts w:eastAsia="Lucida Sans Unicode" w:cs="Tahoma"/>
          <w:color w:val="auto"/>
          <w:kern w:val="2"/>
          <w:sz w:val="24"/>
          <w:szCs w:val="24"/>
          <w:lang w:val="en-US" w:eastAsia="zxx" w:bidi="zxx"/>
        </w:rPr>
        <w:t>would be</w:t>
      </w:r>
      <w:r>
        <w:rPr/>
        <w:t xml:space="preserve"> no clear delineation between the neural canal and the fossa into which it emerges anteriorly, making NHMUK PV R2095 an extreme example of the ambiguity illustrated in Figure 8. This example corroborates the sense that, for orientation purposes, the floor of the neural canal should in most cases be preferred to the roof.</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When describing vertebral anatomy,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closely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character 460 of Mannion et al. (2019)’s analysis.</w:t>
      </w:r>
    </w:p>
    <w:p>
      <w:pPr>
        <w:pStyle w:val="Heading1"/>
        <w:numPr>
          <w:ilvl w:val="0"/>
          <w:numId w:val="5"/>
        </w:numPr>
        <w:rPr/>
      </w:pPr>
      <w:bookmarkStart w:id="17" w:name="__RefHeading___Toc3774_1143798326"/>
      <w:bookmarkEnd w:id="17"/>
      <w:r>
        <w:rPr/>
        <w:t>Acknowledgements</w:t>
      </w:r>
    </w:p>
    <w:p>
      <w:pPr>
        <w:pStyle w:val="TextBody"/>
        <w:rPr/>
      </w:pPr>
      <w:r>
        <w:rPr/>
        <w:t>We thank Marc Vincent for permission to reproduce his photograph in Figure 4,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multiple versions of this manuscript that helped it towards its final form.</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2"/>
        <w:numPr>
          <w:ilvl w:val="1"/>
          <w:numId w:val="5"/>
        </w:numPr>
        <w:rPr/>
      </w:pPr>
      <w:bookmarkStart w:id="18" w:name="__RefHeading___Toc158869_156573581"/>
      <w:bookmarkEnd w:id="18"/>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xml:space="preserve">,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 We thank Phil Mannion (University College London) both for his multiple rounds of review of the </w:t>
      </w:r>
      <w:r>
        <w:rPr>
          <w:i/>
          <w:iCs/>
        </w:rPr>
        <w:t>Xenoposeidon</w:t>
      </w:r>
      <w:r>
        <w:rPr/>
        <w:t xml:space="preserve"> manuscript and for giving us permission to quote relevant excepts in the current paper.</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Christian, Andreas. 2002. Neck posture and overall body design in sauropods. </w:t>
      </w:r>
      <w:r>
        <w:rPr>
          <w:i/>
          <w:iCs/>
        </w:rPr>
        <w:t>Mitteilungen aus dem Museum für Naturkunde, Berlin, Geowissenschaften</w:t>
      </w:r>
      <w:r>
        <w:rPr/>
        <w:t xml:space="preserve"> </w:t>
      </w:r>
      <w:r>
        <w:rPr>
          <w:b/>
          <w:bCs/>
        </w:rPr>
        <w:t>5</w:t>
      </w:r>
      <w:r>
        <w:rPr/>
        <w:t>:271–281. doi:10.1002/mmng.20020050116</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Randau, Marcela, Andrew R. Cuff, John R. Hutchinson, Stephanie E. Pierce and Anjali Goswami. 2017. Regional differentiation of felid vertebral column evolution: a study of 3D shape trajectories. </w:t>
      </w:r>
      <w:r>
        <w:rPr>
          <w:i/>
          <w:iCs/>
        </w:rPr>
        <w:t>Organisms Diversity and Evolution</w:t>
      </w:r>
      <w:r>
        <w:rPr/>
        <w:t xml:space="preserve"> </w:t>
      </w:r>
      <w:r>
        <w:rPr>
          <w:b/>
          <w:bCs/>
        </w:rPr>
        <w:t>17</w:t>
      </w:r>
      <w:r>
        <w:rPr/>
        <w:t>:305–319. doi:10.1007/s13127-016-0304-4</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Cranial views in two different orientations. </w:t>
      </w:r>
      <w:r>
        <w:rPr>
          <w:b/>
          <w:bCs/>
        </w:rPr>
        <w:t>B and D.</w:t>
      </w:r>
      <w:r>
        <w:rPr/>
        <w:t xml:space="preserve"> Right lateral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 Thick black lines show the line of view through the neural canal in each orientation, emphasizing that it appears taller in the orientation of parts </w:t>
      </w:r>
      <w:r>
        <w:rPr>
          <w:b/>
          <w:bCs/>
        </w:rPr>
        <w:t>C</w:t>
      </w:r>
      <w:r>
        <w:rPr/>
        <w:t xml:space="preserve"> and </w:t>
      </w:r>
      <w:r>
        <w:rPr>
          <w:b/>
          <w:bCs/>
        </w:rPr>
        <w:t>D</w:t>
      </w:r>
      <w:r>
        <w:rPr/>
        <w:t>.</w:t>
      </w:r>
    </w:p>
    <w:p>
      <w:pPr>
        <w:pStyle w:val="FigureCaption"/>
        <w:numPr>
          <w:ilvl w:val="0"/>
          <w:numId w:val="0"/>
        </w:numPr>
        <w:ind w:left="283" w:right="0" w:hanging="283"/>
        <w:rPr/>
      </w:pPr>
      <w:r>
        <w:rPr>
          <w:b/>
          <w:bCs/>
        </w:rPr>
        <w:t>Figure 3.</w:t>
      </w:r>
      <w:r>
        <w:rPr/>
        <w:t xml:space="preserve"> Inconsistent vertebral orientation in our own work (Taylor and Wedel 2013: figure 2, reversed). Representative mid-cervical vertebrae from a turkey (top, parts </w:t>
      </w:r>
      <w:r>
        <w:rPr>
          <w:b/>
          <w:bCs/>
        </w:rPr>
        <w:t>A</w:t>
      </w:r>
      <w:r>
        <w:rPr/>
        <w:t xml:space="preserve"> and </w:t>
      </w:r>
      <w:r>
        <w:rPr>
          <w:b/>
          <w:bCs/>
        </w:rPr>
        <w:t>B</w:t>
      </w:r>
      <w:r>
        <w:rPr/>
        <w:t xml:space="preserve">) and the sauropod </w:t>
      </w:r>
      <w:r>
        <w:rPr>
          <w:i/>
          <w:iCs/>
        </w:rPr>
        <w:t>Giraffatitan brancai</w:t>
      </w:r>
      <w:r>
        <w:rPr/>
        <w:t xml:space="preserve"> (bottom, parts </w:t>
      </w:r>
      <w:r>
        <w:rPr>
          <w:b/>
          <w:bCs/>
        </w:rPr>
        <w:t>C</w:t>
      </w:r>
      <w:r>
        <w:rPr/>
        <w:t xml:space="preserve"> and </w:t>
      </w:r>
      <w:r>
        <w:rPr>
          <w:b/>
          <w:bCs/>
        </w:rPr>
        <w:t>D</w:t>
      </w:r>
      <w:r>
        <w:rPr/>
        <w:t xml:space="preserve">), not to scale. Each vertebra is shown in caudal view (on the left, parts </w:t>
      </w:r>
      <w:r>
        <w:rPr>
          <w:b/>
          <w:bCs/>
        </w:rPr>
        <w:t>A</w:t>
      </w:r>
      <w:r>
        <w:rPr/>
        <w:t xml:space="preserve"> and </w:t>
      </w:r>
      <w:r>
        <w:rPr>
          <w:b/>
          <w:bCs/>
        </w:rPr>
        <w:t>C</w:t>
      </w:r>
      <w:r>
        <w:rPr/>
        <w:t xml:space="preserve">) and left lateral view, reversed (on the right, parts </w:t>
      </w:r>
      <w:r>
        <w:rPr>
          <w:b/>
          <w:bCs/>
        </w:rPr>
        <w:t>B</w:t>
      </w:r>
      <w:r>
        <w:rPr/>
        <w:t xml:space="preserve"> and </w:t>
      </w:r>
      <w:r>
        <w:rPr>
          <w:b/>
          <w:bCs/>
        </w:rPr>
        <w:t>D</w:t>
      </w:r>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by Jess Miller-Camp, used with permission.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are depicted in the same orientation. </w:t>
      </w:r>
      <w:r>
        <w:rPr>
          <w:b/>
          <w:bCs/>
        </w:rPr>
        <w:t>B.</w:t>
      </w:r>
      <w:r>
        <w:rPr/>
        <w:t xml:space="preserve"> The two copies are brought into the best whole-vertebra articulation that can be achieved by translation without rotating either. </w:t>
      </w:r>
      <w:r>
        <w:rPr>
          <w:b/>
          <w:bCs/>
        </w:rPr>
        <w:t>C.</w:t>
      </w:r>
      <w:r>
        <w:rPr/>
        <w:t xml:space="preserve"> The articulated pair are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character" w:styleId="ListLabel291">
    <w:name w:val="ListLabel 291"/>
    <w:qFormat/>
    <w:rPr>
      <w:rFonts w:cs="StarSymbol;Arial Unicode MS"/>
      <w:sz w:val="18"/>
      <w:szCs w:val="18"/>
    </w:rPr>
  </w:style>
  <w:style w:type="character" w:styleId="ListLabel292">
    <w:name w:val="ListLabel 292"/>
    <w:qFormat/>
    <w:rPr>
      <w:rFonts w:cs="StarSymbol;Arial Unicode MS"/>
      <w:sz w:val="18"/>
      <w:szCs w:val="18"/>
    </w:rPr>
  </w:style>
  <w:style w:type="character" w:styleId="ListLabel293">
    <w:name w:val="ListLabel 293"/>
    <w:qFormat/>
    <w:rPr>
      <w:rFonts w:cs="StarSymbol;Arial Unicode MS"/>
      <w:sz w:val="18"/>
      <w:szCs w:val="18"/>
    </w:rPr>
  </w:style>
  <w:style w:type="character" w:styleId="ListLabel294">
    <w:name w:val="ListLabel 294"/>
    <w:qFormat/>
    <w:rPr>
      <w:rFonts w:cs="StarSymbol;Arial Unicode MS"/>
      <w:sz w:val="18"/>
      <w:szCs w:val="18"/>
    </w:rPr>
  </w:style>
  <w:style w:type="character" w:styleId="ListLabel295">
    <w:name w:val="ListLabel 295"/>
    <w:qFormat/>
    <w:rPr>
      <w:rFonts w:cs="StarSymbol;Arial Unicode MS"/>
      <w:sz w:val="18"/>
      <w:szCs w:val="18"/>
    </w:rPr>
  </w:style>
  <w:style w:type="character" w:styleId="ListLabel296">
    <w:name w:val="ListLabel 296"/>
    <w:qFormat/>
    <w:rPr>
      <w:rFonts w:cs="StarSymbol;Arial Unicode MS"/>
      <w:sz w:val="18"/>
      <w:szCs w:val="18"/>
    </w:rPr>
  </w:style>
  <w:style w:type="character" w:styleId="ListLabel297">
    <w:name w:val="ListLabel 297"/>
    <w:qFormat/>
    <w:rPr>
      <w:rFonts w:cs="StarSymbol;Arial Unicode MS"/>
      <w:sz w:val="18"/>
      <w:szCs w:val="18"/>
    </w:rPr>
  </w:style>
  <w:style w:type="character" w:styleId="ListLabel298">
    <w:name w:val="ListLabel 298"/>
    <w:qFormat/>
    <w:rPr>
      <w:rFonts w:cs="StarSymbol;Arial Unicode MS"/>
      <w:sz w:val="18"/>
      <w:szCs w:val="18"/>
    </w:rPr>
  </w:style>
  <w:style w:type="character" w:styleId="ListLabel299">
    <w:name w:val="ListLabel 299"/>
    <w:qFormat/>
    <w:rPr>
      <w:rFonts w:cs="StarSymbol;Arial Unicode MS"/>
      <w:sz w:val="18"/>
      <w:szCs w:val="18"/>
    </w:rPr>
  </w:style>
  <w:style w:type="character" w:styleId="ListLabel300">
    <w:name w:val="ListLabel 300"/>
    <w:qFormat/>
    <w:rPr>
      <w:rFonts w:cs="StarSymbol;Arial Unicode MS"/>
      <w:sz w:val="18"/>
      <w:szCs w:val="18"/>
    </w:rPr>
  </w:style>
  <w:style w:type="character" w:styleId="ListLabel301">
    <w:name w:val="ListLabel 301"/>
    <w:qFormat/>
    <w:rPr>
      <w:rFonts w:cs="StarSymbol;Arial Unicode MS"/>
      <w:sz w:val="18"/>
      <w:szCs w:val="18"/>
    </w:rPr>
  </w:style>
  <w:style w:type="character" w:styleId="ListLabel302">
    <w:name w:val="ListLabel 302"/>
    <w:qFormat/>
    <w:rPr>
      <w:rFonts w:cs="StarSymbol;Arial Unicode MS"/>
      <w:sz w:val="18"/>
      <w:szCs w:val="18"/>
    </w:rPr>
  </w:style>
  <w:style w:type="character" w:styleId="ListLabel303">
    <w:name w:val="ListLabel 303"/>
    <w:qFormat/>
    <w:rPr>
      <w:rFonts w:cs="StarSymbol;Arial Unicode MS"/>
      <w:sz w:val="18"/>
      <w:szCs w:val="18"/>
    </w:rPr>
  </w:style>
  <w:style w:type="character" w:styleId="ListLabel304">
    <w:name w:val="ListLabel 304"/>
    <w:qFormat/>
    <w:rPr>
      <w:rFonts w:cs="StarSymbol;Arial Unicode MS"/>
      <w:sz w:val="18"/>
      <w:szCs w:val="18"/>
    </w:rPr>
  </w:style>
  <w:style w:type="character" w:styleId="ListLabel305">
    <w:name w:val="ListLabel 305"/>
    <w:qFormat/>
    <w:rPr>
      <w:rFonts w:cs="StarSymbol;Arial Unicode MS"/>
      <w:sz w:val="18"/>
      <w:szCs w:val="18"/>
    </w:rPr>
  </w:style>
  <w:style w:type="character" w:styleId="ListLabel306">
    <w:name w:val="ListLabel 306"/>
    <w:qFormat/>
    <w:rPr>
      <w:rFonts w:cs="StarSymbol;Arial Unicode MS"/>
      <w:sz w:val="18"/>
      <w:szCs w:val="18"/>
    </w:rPr>
  </w:style>
  <w:style w:type="character" w:styleId="ListLabel307">
    <w:name w:val="ListLabel 307"/>
    <w:qFormat/>
    <w:rPr>
      <w:rFonts w:cs="StarSymbol;Arial Unicode MS"/>
      <w:sz w:val="18"/>
      <w:szCs w:val="18"/>
    </w:rPr>
  </w:style>
  <w:style w:type="character" w:styleId="ListLabel308">
    <w:name w:val="ListLabel 308"/>
    <w:qFormat/>
    <w:rPr>
      <w:rFonts w:cs="StarSymbol;Arial Unicode MS"/>
      <w:sz w:val="18"/>
      <w:szCs w:val="18"/>
    </w:rPr>
  </w:style>
  <w:style w:type="character" w:styleId="ListLabel309">
    <w:name w:val="ListLabel 309"/>
    <w:qFormat/>
    <w:rPr/>
  </w:style>
  <w:style w:type="character" w:styleId="ListLabel310">
    <w:name w:val="ListLabel 310"/>
    <w:qFormat/>
    <w:rPr/>
  </w:style>
  <w:style w:type="character" w:styleId="ListLabel311">
    <w:name w:val="ListLabel 311"/>
    <w:qFormat/>
    <w:rPr>
      <w:rFonts w:cs="StarSymbol;Arial Unicode MS"/>
      <w:sz w:val="18"/>
      <w:szCs w:val="18"/>
    </w:rPr>
  </w:style>
  <w:style w:type="character" w:styleId="ListLabel312">
    <w:name w:val="ListLabel 312"/>
    <w:qFormat/>
    <w:rPr>
      <w:rFonts w:cs="StarSymbol;Arial Unicode MS"/>
      <w:sz w:val="18"/>
      <w:szCs w:val="18"/>
    </w:rPr>
  </w:style>
  <w:style w:type="character" w:styleId="ListLabel313">
    <w:name w:val="ListLabel 313"/>
    <w:qFormat/>
    <w:rPr>
      <w:rFonts w:cs="StarSymbol;Arial Unicode MS"/>
      <w:sz w:val="18"/>
      <w:szCs w:val="18"/>
    </w:rPr>
  </w:style>
  <w:style w:type="character" w:styleId="ListLabel314">
    <w:name w:val="ListLabel 314"/>
    <w:qFormat/>
    <w:rPr>
      <w:rFonts w:cs="StarSymbol;Arial Unicode MS"/>
      <w:sz w:val="18"/>
      <w:szCs w:val="18"/>
    </w:rPr>
  </w:style>
  <w:style w:type="character" w:styleId="ListLabel315">
    <w:name w:val="ListLabel 315"/>
    <w:qFormat/>
    <w:rPr>
      <w:rFonts w:cs="StarSymbol;Arial Unicode MS"/>
      <w:sz w:val="18"/>
      <w:szCs w:val="18"/>
    </w:rPr>
  </w:style>
  <w:style w:type="character" w:styleId="ListLabel316">
    <w:name w:val="ListLabel 316"/>
    <w:qFormat/>
    <w:rPr>
      <w:rFonts w:cs="StarSymbol;Arial Unicode MS"/>
      <w:sz w:val="18"/>
      <w:szCs w:val="18"/>
    </w:rPr>
  </w:style>
  <w:style w:type="character" w:styleId="ListLabel317">
    <w:name w:val="ListLabel 317"/>
    <w:qFormat/>
    <w:rPr>
      <w:rFonts w:cs="StarSymbol;Arial Unicode MS"/>
      <w:sz w:val="18"/>
      <w:szCs w:val="18"/>
    </w:rPr>
  </w:style>
  <w:style w:type="character" w:styleId="ListLabel318">
    <w:name w:val="ListLabel 318"/>
    <w:qFormat/>
    <w:rPr>
      <w:rFonts w:cs="StarSymbol;Arial Unicode MS"/>
      <w:sz w:val="18"/>
      <w:szCs w:val="18"/>
    </w:rPr>
  </w:style>
  <w:style w:type="character" w:styleId="ListLabel319">
    <w:name w:val="ListLabel 319"/>
    <w:qFormat/>
    <w:rPr>
      <w:rFonts w:cs="StarSymbol;Arial Unicode MS"/>
      <w:sz w:val="18"/>
      <w:szCs w:val="18"/>
    </w:rPr>
  </w:style>
  <w:style w:type="character" w:styleId="ListLabel320">
    <w:name w:val="ListLabel 320"/>
    <w:qFormat/>
    <w:rPr>
      <w:rFonts w:cs="StarSymbol;Arial Unicode MS"/>
      <w:sz w:val="18"/>
      <w:szCs w:val="18"/>
    </w:rPr>
  </w:style>
  <w:style w:type="character" w:styleId="ListLabel321">
    <w:name w:val="ListLabel 321"/>
    <w:qFormat/>
    <w:rPr>
      <w:rFonts w:cs="StarSymbol;Arial Unicode MS"/>
      <w:sz w:val="18"/>
      <w:szCs w:val="18"/>
    </w:rPr>
  </w:style>
  <w:style w:type="character" w:styleId="ListLabel322">
    <w:name w:val="ListLabel 322"/>
    <w:qFormat/>
    <w:rPr>
      <w:rFonts w:cs="StarSymbol;Arial Unicode MS"/>
      <w:sz w:val="18"/>
      <w:szCs w:val="18"/>
    </w:rPr>
  </w:style>
  <w:style w:type="character" w:styleId="ListLabel323">
    <w:name w:val="ListLabel 323"/>
    <w:qFormat/>
    <w:rPr>
      <w:rFonts w:cs="StarSymbol;Arial Unicode MS"/>
      <w:sz w:val="18"/>
      <w:szCs w:val="18"/>
    </w:rPr>
  </w:style>
  <w:style w:type="character" w:styleId="ListLabel324">
    <w:name w:val="ListLabel 324"/>
    <w:qFormat/>
    <w:rPr>
      <w:rFonts w:cs="StarSymbol;Arial Unicode MS"/>
      <w:sz w:val="18"/>
      <w:szCs w:val="18"/>
    </w:rPr>
  </w:style>
  <w:style w:type="character" w:styleId="ListLabel325">
    <w:name w:val="ListLabel 325"/>
    <w:qFormat/>
    <w:rPr>
      <w:rFonts w:cs="StarSymbol;Arial Unicode MS"/>
      <w:sz w:val="18"/>
      <w:szCs w:val="18"/>
    </w:rPr>
  </w:style>
  <w:style w:type="character" w:styleId="ListLabel326">
    <w:name w:val="ListLabel 326"/>
    <w:qFormat/>
    <w:rPr>
      <w:rFonts w:cs="StarSymbol;Arial Unicode MS"/>
      <w:sz w:val="18"/>
      <w:szCs w:val="18"/>
    </w:rPr>
  </w:style>
  <w:style w:type="character" w:styleId="ListLabel327">
    <w:name w:val="ListLabel 327"/>
    <w:qFormat/>
    <w:rPr>
      <w:rFonts w:cs="StarSymbol;Arial Unicode MS"/>
      <w:sz w:val="18"/>
      <w:szCs w:val="18"/>
    </w:rPr>
  </w:style>
  <w:style w:type="character" w:styleId="ListLabel328">
    <w:name w:val="ListLabel 328"/>
    <w:qFormat/>
    <w:rPr>
      <w:rFonts w:cs="StarSymbol;Arial Unicode MS"/>
      <w:sz w:val="18"/>
      <w:szCs w:val="18"/>
    </w:rPr>
  </w:style>
  <w:style w:type="character" w:styleId="ListLabel329">
    <w:name w:val="ListLabel 329"/>
    <w:qFormat/>
    <w:rPr/>
  </w:style>
  <w:style w:type="character" w:styleId="ListLabel330">
    <w:name w:val="ListLabel 330"/>
    <w:qFormat/>
    <w:rPr/>
  </w:style>
  <w:style w:type="character" w:styleId="ListLabel331">
    <w:name w:val="ListLabel 331"/>
    <w:qFormat/>
    <w:rPr>
      <w:rFonts w:cs="StarSymbol;Arial Unicode MS"/>
      <w:sz w:val="18"/>
      <w:szCs w:val="18"/>
    </w:rPr>
  </w:style>
  <w:style w:type="character" w:styleId="ListLabel332">
    <w:name w:val="ListLabel 332"/>
    <w:qFormat/>
    <w:rPr>
      <w:rFonts w:cs="StarSymbol;Arial Unicode MS"/>
      <w:sz w:val="18"/>
      <w:szCs w:val="18"/>
    </w:rPr>
  </w:style>
  <w:style w:type="character" w:styleId="ListLabel333">
    <w:name w:val="ListLabel 333"/>
    <w:qFormat/>
    <w:rPr>
      <w:rFonts w:cs="StarSymbol;Arial Unicode MS"/>
      <w:sz w:val="18"/>
      <w:szCs w:val="18"/>
    </w:rPr>
  </w:style>
  <w:style w:type="character" w:styleId="ListLabel334">
    <w:name w:val="ListLabel 334"/>
    <w:qFormat/>
    <w:rPr>
      <w:rFonts w:cs="StarSymbol;Arial Unicode MS"/>
      <w:sz w:val="18"/>
      <w:szCs w:val="18"/>
    </w:rPr>
  </w:style>
  <w:style w:type="character" w:styleId="ListLabel335">
    <w:name w:val="ListLabel 335"/>
    <w:qFormat/>
    <w:rPr>
      <w:rFonts w:cs="StarSymbol;Arial Unicode MS"/>
      <w:sz w:val="18"/>
      <w:szCs w:val="18"/>
    </w:rPr>
  </w:style>
  <w:style w:type="character" w:styleId="ListLabel336">
    <w:name w:val="ListLabel 336"/>
    <w:qFormat/>
    <w:rPr>
      <w:rFonts w:cs="StarSymbol;Arial Unicode MS"/>
      <w:sz w:val="18"/>
      <w:szCs w:val="18"/>
    </w:rPr>
  </w:style>
  <w:style w:type="character" w:styleId="ListLabel337">
    <w:name w:val="ListLabel 337"/>
    <w:qFormat/>
    <w:rPr>
      <w:rFonts w:cs="StarSymbol;Arial Unicode MS"/>
      <w:sz w:val="18"/>
      <w:szCs w:val="18"/>
    </w:rPr>
  </w:style>
  <w:style w:type="character" w:styleId="ListLabel338">
    <w:name w:val="ListLabel 338"/>
    <w:qFormat/>
    <w:rPr>
      <w:rFonts w:cs="StarSymbol;Arial Unicode MS"/>
      <w:sz w:val="18"/>
      <w:szCs w:val="18"/>
    </w:rPr>
  </w:style>
  <w:style w:type="character" w:styleId="ListLabel339">
    <w:name w:val="ListLabel 339"/>
    <w:qFormat/>
    <w:rPr>
      <w:rFonts w:cs="StarSymbol;Arial Unicode MS"/>
      <w:sz w:val="18"/>
      <w:szCs w:val="18"/>
    </w:rPr>
  </w:style>
  <w:style w:type="character" w:styleId="ListLabel340">
    <w:name w:val="ListLabel 340"/>
    <w:qFormat/>
    <w:rPr>
      <w:rFonts w:cs="StarSymbol;Arial Unicode MS"/>
      <w:sz w:val="18"/>
      <w:szCs w:val="18"/>
    </w:rPr>
  </w:style>
  <w:style w:type="character" w:styleId="ListLabel341">
    <w:name w:val="ListLabel 341"/>
    <w:qFormat/>
    <w:rPr>
      <w:rFonts w:cs="StarSymbol;Arial Unicode MS"/>
      <w:sz w:val="18"/>
      <w:szCs w:val="18"/>
    </w:rPr>
  </w:style>
  <w:style w:type="character" w:styleId="ListLabel342">
    <w:name w:val="ListLabel 342"/>
    <w:qFormat/>
    <w:rPr>
      <w:rFonts w:cs="StarSymbol;Arial Unicode MS"/>
      <w:sz w:val="18"/>
      <w:szCs w:val="18"/>
    </w:rPr>
  </w:style>
  <w:style w:type="character" w:styleId="ListLabel343">
    <w:name w:val="ListLabel 343"/>
    <w:qFormat/>
    <w:rPr>
      <w:rFonts w:cs="StarSymbol;Arial Unicode MS"/>
      <w:sz w:val="18"/>
      <w:szCs w:val="18"/>
    </w:rPr>
  </w:style>
  <w:style w:type="character" w:styleId="ListLabel344">
    <w:name w:val="ListLabel 344"/>
    <w:qFormat/>
    <w:rPr>
      <w:rFonts w:cs="StarSymbol;Arial Unicode MS"/>
      <w:sz w:val="18"/>
      <w:szCs w:val="18"/>
    </w:rPr>
  </w:style>
  <w:style w:type="character" w:styleId="ListLabel345">
    <w:name w:val="ListLabel 345"/>
    <w:qFormat/>
    <w:rPr>
      <w:rFonts w:cs="StarSymbol;Arial Unicode MS"/>
      <w:sz w:val="18"/>
      <w:szCs w:val="18"/>
    </w:rPr>
  </w:style>
  <w:style w:type="character" w:styleId="ListLabel346">
    <w:name w:val="ListLabel 346"/>
    <w:qFormat/>
    <w:rPr>
      <w:rFonts w:cs="StarSymbol;Arial Unicode MS"/>
      <w:sz w:val="18"/>
      <w:szCs w:val="18"/>
    </w:rPr>
  </w:style>
  <w:style w:type="character" w:styleId="ListLabel347">
    <w:name w:val="ListLabel 347"/>
    <w:qFormat/>
    <w:rPr>
      <w:rFonts w:cs="StarSymbol;Arial Unicode MS"/>
      <w:sz w:val="18"/>
      <w:szCs w:val="18"/>
    </w:rPr>
  </w:style>
  <w:style w:type="character" w:styleId="ListLabel348">
    <w:name w:val="ListLabel 348"/>
    <w:qFormat/>
    <w:rPr>
      <w:rFonts w:cs="StarSymbol;Arial Unicode MS"/>
      <w:sz w:val="18"/>
      <w:szCs w:val="18"/>
    </w:rPr>
  </w:style>
  <w:style w:type="character" w:styleId="ListLabel349">
    <w:name w:val="ListLabel 349"/>
    <w:qFormat/>
    <w:rPr/>
  </w:style>
  <w:style w:type="character" w:styleId="ListLabel350">
    <w:name w:val="ListLabel 3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9698</TotalTime>
  <Application>LibreOffice/6.1.3.2$MacOSX_X86_64 LibreOffice_project/86daf60bf00efa86ad547e59e09d6bb77c699acb</Application>
  <Pages>20</Pages>
  <Words>9441</Words>
  <Characters>51595</Characters>
  <CharactersWithSpaces>60813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2022-04-13T10:00:55Z</dcterms:modified>
  <cp:revision>165</cp:revision>
  <dc:subject/>
  <dc:title/>
</cp:coreProperties>
</file>