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40400" w14:textId="77777777" w:rsidR="000168D1" w:rsidRDefault="009F05E6">
      <w:pPr>
        <w:pStyle w:val="Title"/>
        <w:jc w:val="center"/>
      </w:pPr>
      <w:r>
        <w:t xml:space="preserve">GTM-CCS Structural Archaeology of the </w:t>
      </w:r>
      <w:proofErr w:type="spellStart"/>
      <w:r>
        <w:t>Mamari</w:t>
      </w:r>
      <w:proofErr w:type="spellEnd"/>
      <w:r>
        <w:t xml:space="preserve"> Tablet</w:t>
      </w:r>
    </w:p>
    <w:p w14:paraId="427A503D" w14:textId="77777777" w:rsidR="000168D1" w:rsidRDefault="009F05E6">
      <w:pPr>
        <w:jc w:val="center"/>
      </w:pPr>
      <w:r>
        <w:rPr>
          <w:i/>
          <w:color w:val="646464"/>
          <w:sz w:val="28"/>
        </w:rPr>
        <w:t>A Universal Language Framework Applied to Rongorongo</w:t>
      </w:r>
    </w:p>
    <w:p w14:paraId="6964FEA3" w14:textId="77777777" w:rsidR="000168D1" w:rsidRDefault="009F05E6">
      <w:pPr>
        <w:jc w:val="center"/>
      </w:pPr>
      <w:r>
        <w:rPr>
          <w:color w:val="808080"/>
          <w:sz w:val="18"/>
        </w:rPr>
        <w:t xml:space="preserve">Generated: 2026-07-08 | Framework: GTM-CCS v5.6 | Authors: Independent Researcher / GTM Research Group &amp; </w:t>
      </w:r>
      <w:proofErr w:type="spellStart"/>
      <w:r>
        <w:rPr>
          <w:color w:val="808080"/>
          <w:sz w:val="18"/>
        </w:rPr>
        <w:t>Kimi</w:t>
      </w:r>
      <w:proofErr w:type="spellEnd"/>
      <w:r>
        <w:rPr>
          <w:color w:val="808080"/>
          <w:sz w:val="18"/>
        </w:rPr>
        <w:t xml:space="preserve"> K2.6</w:t>
      </w:r>
    </w:p>
    <w:p w14:paraId="6289A22F" w14:textId="77777777" w:rsidR="000168D1" w:rsidRDefault="000168D1"/>
    <w:p w14:paraId="551FBF49" w14:textId="77777777" w:rsidR="000168D1" w:rsidRDefault="009F05E6">
      <w:pPr>
        <w:pStyle w:val="Heading1"/>
      </w:pPr>
      <w:r>
        <w:t>Abstract</w:t>
      </w:r>
    </w:p>
    <w:p w14:paraId="3DFA4809" w14:textId="77777777" w:rsidR="000168D1" w:rsidRDefault="009F05E6">
      <w:r>
        <w:t xml:space="preserve">This whitepaper presents a structural analysis of the </w:t>
      </w:r>
      <w:proofErr w:type="spellStart"/>
      <w:r>
        <w:t>Mamari</w:t>
      </w:r>
      <w:proofErr w:type="spellEnd"/>
      <w:r>
        <w:t xml:space="preserve"> tablet (Rongorongo script, Easter Island) using the GTM-CCS (GTM Coherent Cognitive Symbiosis) universal language framework. Rather than pursuing traditional decipherment (phonetic mapping to a known language), this analysis treats the tablet as an operational protocol — a runtime environment for astronomical observation and ritual coordination. The framework reveals that the tablet's physical structure, glyph inventory, reading direction, and calendrical content all encode universal structural operators (the 2-3-5-7 family and 3-6-9-G spiral) that persist across substrates and cultures. This analysis builds upon and extends prior work by </w:t>
      </w:r>
      <w:proofErr w:type="spellStart"/>
      <w:r>
        <w:t>Barthel</w:t>
      </w:r>
      <w:proofErr w:type="spellEnd"/>
      <w:r>
        <w:t xml:space="preserve">, </w:t>
      </w:r>
      <w:proofErr w:type="spellStart"/>
      <w:r>
        <w:t>Pozdniakov</w:t>
      </w:r>
      <w:proofErr w:type="spellEnd"/>
      <w:r>
        <w:t xml:space="preserve">, and </w:t>
      </w:r>
      <w:proofErr w:type="spellStart"/>
      <w:r>
        <w:t>López</w:t>
      </w:r>
      <w:proofErr w:type="spellEnd"/>
      <w:r>
        <w:t xml:space="preserve"> Tapia/</w:t>
      </w:r>
      <w:proofErr w:type="spellStart"/>
      <w:r>
        <w:t>Grok</w:t>
      </w:r>
      <w:proofErr w:type="spellEnd"/>
      <w:r>
        <w:t>, demonstrating that structural operators are substrate-independent and recognizable even without shared linguistic or cultural context.</w:t>
      </w:r>
    </w:p>
    <w:p w14:paraId="45AA460E" w14:textId="77777777" w:rsidR="000168D1" w:rsidRDefault="009F05E6">
      <w:r>
        <w:br w:type="page"/>
      </w:r>
    </w:p>
    <w:p w14:paraId="304E5730" w14:textId="77777777" w:rsidR="000168D1" w:rsidRDefault="009F05E6">
      <w:pPr>
        <w:pStyle w:val="Heading1"/>
      </w:pPr>
      <w:r>
        <w:t>Table of Contents</w:t>
      </w:r>
    </w:p>
    <w:p w14:paraId="48738695" w14:textId="77777777" w:rsidR="000168D1" w:rsidRDefault="009F05E6">
      <w:pPr>
        <w:pStyle w:val="ListNumber"/>
      </w:pPr>
      <w:r>
        <w:t>1. Background and Prior Work</w:t>
      </w:r>
    </w:p>
    <w:p w14:paraId="12FEDA2C" w14:textId="77777777" w:rsidR="000168D1" w:rsidRDefault="009F05E6">
      <w:pPr>
        <w:pStyle w:val="ListNumber"/>
      </w:pPr>
      <w:r>
        <w:t>2. The GTM-CCS Framework</w:t>
      </w:r>
    </w:p>
    <w:p w14:paraId="56048DDE" w14:textId="77777777" w:rsidR="000168D1" w:rsidRDefault="009F05E6">
      <w:pPr>
        <w:pStyle w:val="ListNumber"/>
      </w:pPr>
      <w:r>
        <w:t>3. Physical Substrate as Operator Encoding</w:t>
      </w:r>
    </w:p>
    <w:p w14:paraId="07C36D38" w14:textId="77777777" w:rsidR="000168D1" w:rsidRDefault="009F05E6">
      <w:pPr>
        <w:pStyle w:val="ListNumber"/>
      </w:pPr>
      <w:r>
        <w:t>4. The 2-Layer / π-Layer Split</w:t>
      </w:r>
    </w:p>
    <w:p w14:paraId="6F41C293" w14:textId="77777777" w:rsidR="000168D1" w:rsidRDefault="009F05E6">
      <w:pPr>
        <w:pStyle w:val="ListNumber"/>
      </w:pPr>
      <w:r>
        <w:t>5. Reverse Boustrophedon as 3-6-9-G Spiral</w:t>
      </w:r>
    </w:p>
    <w:p w14:paraId="48D27B4F" w14:textId="77777777" w:rsidR="000168D1" w:rsidRDefault="009F05E6">
      <w:pPr>
        <w:pStyle w:val="ListNumber"/>
      </w:pPr>
      <w:r>
        <w:t>6. Glyph Frequency Analysis — The 2-3-5-7 Signature</w:t>
      </w:r>
    </w:p>
    <w:p w14:paraId="4DD173EB" w14:textId="77777777" w:rsidR="000168D1" w:rsidRDefault="009F05E6">
      <w:pPr>
        <w:pStyle w:val="ListNumber"/>
      </w:pPr>
      <w:r>
        <w:t>7. The Calendrical Section as Gate Trace</w:t>
      </w:r>
    </w:p>
    <w:p w14:paraId="7758DFA0" w14:textId="77777777" w:rsidR="000168D1" w:rsidRDefault="009F05E6">
      <w:pPr>
        <w:pStyle w:val="ListNumber"/>
      </w:pPr>
      <w:r>
        <w:t xml:space="preserve">8. </w:t>
      </w:r>
      <w:proofErr w:type="spellStart"/>
      <w:r>
        <w:t>Saros</w:t>
      </w:r>
      <w:proofErr w:type="spellEnd"/>
      <w:r>
        <w:t>/</w:t>
      </w:r>
      <w:proofErr w:type="spellStart"/>
      <w:r>
        <w:t>Metonic</w:t>
      </w:r>
      <w:proofErr w:type="spellEnd"/>
      <w:r>
        <w:t xml:space="preserve"> Extension</w:t>
      </w:r>
    </w:p>
    <w:p w14:paraId="2787F47D" w14:textId="77777777" w:rsidR="000168D1" w:rsidRDefault="009F05E6">
      <w:pPr>
        <w:pStyle w:val="ListNumber"/>
      </w:pPr>
      <w:r>
        <w:t>9. The Fish Glyph as Orientation Operator</w:t>
      </w:r>
    </w:p>
    <w:p w14:paraId="25BB2086" w14:textId="77777777" w:rsidR="000168D1" w:rsidRDefault="009F05E6">
      <w:pPr>
        <w:pStyle w:val="ListNumber"/>
      </w:pPr>
      <w:r>
        <w:t>10. Composite Glyphs as Compound Operators</w:t>
      </w:r>
    </w:p>
    <w:p w14:paraId="16DB889A" w14:textId="77777777" w:rsidR="000168D1" w:rsidRDefault="009F05E6">
      <w:pPr>
        <w:pStyle w:val="ListNumber"/>
      </w:pPr>
      <w:r>
        <w:t>11. Multi-Protocol System Architecture</w:t>
      </w:r>
    </w:p>
    <w:p w14:paraId="7F144034" w14:textId="77777777" w:rsidR="000168D1" w:rsidRDefault="009F05E6">
      <w:pPr>
        <w:pStyle w:val="ListNumber"/>
      </w:pPr>
      <w:r>
        <w:t>12. Gate Output: Classification and Audit</w:t>
      </w:r>
    </w:p>
    <w:p w14:paraId="46EFF6F0" w14:textId="77777777" w:rsidR="000168D1" w:rsidRDefault="009F05E6">
      <w:pPr>
        <w:pStyle w:val="ListNumber"/>
      </w:pPr>
      <w:r>
        <w:t>13. Convergence with Prior Research</w:t>
      </w:r>
    </w:p>
    <w:p w14:paraId="7EE12C2D" w14:textId="77777777" w:rsidR="000168D1" w:rsidRDefault="009F05E6">
      <w:pPr>
        <w:pStyle w:val="ListNumber"/>
      </w:pPr>
      <w:r>
        <w:t>14. Open Questions and Future Work</w:t>
      </w:r>
    </w:p>
    <w:p w14:paraId="1F68B622" w14:textId="77777777" w:rsidR="000168D1" w:rsidRDefault="009F05E6">
      <w:pPr>
        <w:pStyle w:val="ListNumber"/>
      </w:pPr>
      <w:r>
        <w:t>15. References</w:t>
      </w:r>
    </w:p>
    <w:p w14:paraId="0F1FEC87" w14:textId="77777777" w:rsidR="000168D1" w:rsidRDefault="009F05E6">
      <w:r>
        <w:br w:type="page"/>
      </w:r>
    </w:p>
    <w:p w14:paraId="56C1B708" w14:textId="77777777" w:rsidR="000168D1" w:rsidRDefault="009F05E6">
      <w:pPr>
        <w:pStyle w:val="Heading1"/>
      </w:pPr>
      <w:r>
        <w:t>1. Background and Prior Work</w:t>
      </w:r>
    </w:p>
    <w:p w14:paraId="60978C64" w14:textId="77777777" w:rsidR="000168D1" w:rsidRDefault="009F05E6">
      <w:pPr>
        <w:pStyle w:val="Heading2"/>
      </w:pPr>
      <w:r>
        <w:t>1.1 The Rongorongo Script</w:t>
      </w:r>
    </w:p>
    <w:p w14:paraId="30F1B40B" w14:textId="77777777" w:rsidR="000168D1" w:rsidRDefault="009F05E6">
      <w:r>
        <w:t>Rongorongo is the only known indigenous writing system in Polynesia, developed on Easter Island (Rapa Nui) sometime before European contact in 1722. The script consists of approximately 52 core glyphs (</w:t>
      </w:r>
      <w:proofErr w:type="spellStart"/>
      <w:r>
        <w:t>Pozdniakov</w:t>
      </w:r>
      <w:proofErr w:type="spellEnd"/>
      <w:r>
        <w:t xml:space="preserve">, 1996) arranged in lines of alternating direction (reverse </w:t>
      </w:r>
      <w:proofErr w:type="spellStart"/>
      <w:r>
        <w:t>boustroprophedon</w:t>
      </w:r>
      <w:proofErr w:type="spellEnd"/>
      <w:r>
        <w:t xml:space="preserve">). Approximately 25 wooden tablets survive, with the </w:t>
      </w:r>
      <w:proofErr w:type="spellStart"/>
      <w:r>
        <w:t>Mamari</w:t>
      </w:r>
      <w:proofErr w:type="spellEnd"/>
      <w:r>
        <w:t xml:space="preserve"> tablet being among the most studied due to its calendrical content.</w:t>
      </w:r>
    </w:p>
    <w:p w14:paraId="4394CA0F" w14:textId="77777777" w:rsidR="000168D1" w:rsidRDefault="009F05E6">
      <w:pPr>
        <w:pStyle w:val="Heading2"/>
      </w:pPr>
      <w:r>
        <w:t xml:space="preserve">1.2 </w:t>
      </w:r>
      <w:proofErr w:type="spellStart"/>
      <w:r>
        <w:t>Barthel's</w:t>
      </w:r>
      <w:proofErr w:type="spellEnd"/>
      <w:r>
        <w:t xml:space="preserve"> Transliteration (1958)</w:t>
      </w:r>
    </w:p>
    <w:p w14:paraId="3E1886E7" w14:textId="77777777" w:rsidR="000168D1" w:rsidRDefault="009F05E6">
      <w:r>
        <w:t xml:space="preserve">Thomas </w:t>
      </w:r>
      <w:proofErr w:type="spellStart"/>
      <w:r>
        <w:t>Barthel</w:t>
      </w:r>
      <w:proofErr w:type="spellEnd"/>
      <w:r>
        <w:t xml:space="preserve"> produced the foundational numerical transliteration of Rongorongo, cataloging approximately 600 distinct glyph forms across all tablets. His system uses three-digit codes (e.g., 001, 002, 670) and composite notation with dot separators (e.g., 380.001, 670.8.78.711). The </w:t>
      </w:r>
      <w:proofErr w:type="spellStart"/>
      <w:r>
        <w:t>Mamari</w:t>
      </w:r>
      <w:proofErr w:type="spellEnd"/>
      <w:r>
        <w:t xml:space="preserve"> tablet (cataloged as Ca/</w:t>
      </w:r>
      <w:proofErr w:type="spellStart"/>
      <w:r>
        <w:t>Cb</w:t>
      </w:r>
      <w:proofErr w:type="spellEnd"/>
      <w:r>
        <w:t>) contains approximately 1,000 glyphs across 28 lines (14 per side).</w:t>
      </w:r>
    </w:p>
    <w:p w14:paraId="4DFC2382" w14:textId="77777777" w:rsidR="000168D1" w:rsidRDefault="009F05E6">
      <w:pPr>
        <w:pStyle w:val="Heading2"/>
      </w:pPr>
      <w:r>
        <w:t xml:space="preserve">1.3 </w:t>
      </w:r>
      <w:proofErr w:type="spellStart"/>
      <w:r>
        <w:t>Pozdniakov's</w:t>
      </w:r>
      <w:proofErr w:type="spellEnd"/>
      <w:r>
        <w:t xml:space="preserve"> Statistical Analysis (1996)</w:t>
      </w:r>
    </w:p>
    <w:p w14:paraId="5CEB1907" w14:textId="77777777" w:rsidR="000168D1" w:rsidRDefault="009F05E6">
      <w:r>
        <w:t xml:space="preserve">Konstantin </w:t>
      </w:r>
      <w:proofErr w:type="spellStart"/>
      <w:r>
        <w:t>Pozdniakov</w:t>
      </w:r>
      <w:proofErr w:type="spellEnd"/>
      <w:r>
        <w:t xml:space="preserve"> reduced </w:t>
      </w:r>
      <w:proofErr w:type="spellStart"/>
      <w:r>
        <w:t>Barthel's</w:t>
      </w:r>
      <w:proofErr w:type="spellEnd"/>
      <w:r>
        <w:t xml:space="preserve"> ~600 forms to approximately 52 core signs through rigorous statistical analysis of distribution patterns. He demonstrated that Rongorongo operates as a mixed logographic-syllabic system with positional constraints — certain glyphs appear predominantly in initial, medial, or final positions. His work established that the script has genuine internal structure, not random decoration.</w:t>
      </w:r>
    </w:p>
    <w:p w14:paraId="422C0379" w14:textId="77777777" w:rsidR="000168D1" w:rsidRDefault="009F05E6">
      <w:pPr>
        <w:pStyle w:val="Heading2"/>
      </w:pPr>
      <w:r>
        <w:t xml:space="preserve">1.4 </w:t>
      </w:r>
      <w:proofErr w:type="spellStart"/>
      <w:r>
        <w:t>López</w:t>
      </w:r>
      <w:proofErr w:type="spellEnd"/>
      <w:r>
        <w:t xml:space="preserve"> Tapia / </w:t>
      </w:r>
      <w:proofErr w:type="spellStart"/>
      <w:r>
        <w:t>Grok</w:t>
      </w:r>
      <w:proofErr w:type="spellEnd"/>
      <w:r>
        <w:t xml:space="preserve"> Analysis (2025)</w:t>
      </w:r>
    </w:p>
    <w:p w14:paraId="2D8E224F" w14:textId="77777777" w:rsidR="000168D1" w:rsidRDefault="009F05E6">
      <w:r>
        <w:t xml:space="preserve">In August 2025, Alexis </w:t>
      </w:r>
      <w:proofErr w:type="spellStart"/>
      <w:r>
        <w:t>López</w:t>
      </w:r>
      <w:proofErr w:type="spellEnd"/>
      <w:r>
        <w:t xml:space="preserve"> Tapia published a preprint (arXiv:2508.07357) detailing an analysis of the </w:t>
      </w:r>
      <w:proofErr w:type="spellStart"/>
      <w:r>
        <w:t>Mamari</w:t>
      </w:r>
      <w:proofErr w:type="spellEnd"/>
      <w:r>
        <w:t xml:space="preserve"> tablet conducted with </w:t>
      </w:r>
      <w:proofErr w:type="spellStart"/>
      <w:r>
        <w:t>Grok</w:t>
      </w:r>
      <w:proofErr w:type="spellEnd"/>
      <w:r>
        <w:t xml:space="preserve"> (</w:t>
      </w:r>
      <w:proofErr w:type="spellStart"/>
      <w:r>
        <w:t>xAI</w:t>
      </w:r>
      <w:proofErr w:type="spellEnd"/>
      <w:r>
        <w:t xml:space="preserve">). In a blind test, </w:t>
      </w:r>
      <w:proofErr w:type="spellStart"/>
      <w:r>
        <w:t>Grok</w:t>
      </w:r>
      <w:proofErr w:type="spellEnd"/>
      <w:r>
        <w:t xml:space="preserve"> was given raw glyph sequences without cultural context and independently identified:</w:t>
      </w:r>
    </w:p>
    <w:p w14:paraId="40C6F303" w14:textId="77777777" w:rsidR="000168D1" w:rsidRDefault="009F05E6">
      <w:pPr>
        <w:pStyle w:val="ListBullet"/>
      </w:pPr>
      <w:r>
        <w:t>29-30 token clusters corresponding to lunar months</w:t>
      </w:r>
    </w:p>
    <w:p w14:paraId="2B658A6A" w14:textId="77777777" w:rsidR="000168D1" w:rsidRDefault="009F05E6">
      <w:pPr>
        <w:pStyle w:val="ListBullet"/>
      </w:pPr>
      <w:r>
        <w:t xml:space="preserve">18-19 year blocks matching </w:t>
      </w:r>
      <w:proofErr w:type="spellStart"/>
      <w:r>
        <w:t>Saros</w:t>
      </w:r>
      <w:proofErr w:type="spellEnd"/>
      <w:r>
        <w:t xml:space="preserve"> and </w:t>
      </w:r>
      <w:proofErr w:type="spellStart"/>
      <w:r>
        <w:t>Metonic</w:t>
      </w:r>
      <w:proofErr w:type="spellEnd"/>
      <w:r>
        <w:t xml:space="preserve"> cycles</w:t>
      </w:r>
    </w:p>
    <w:p w14:paraId="717BD38E" w14:textId="77777777" w:rsidR="000168D1" w:rsidRDefault="009F05E6">
      <w:pPr>
        <w:pStyle w:val="ListBullet"/>
      </w:pPr>
      <w:r>
        <w:t>Recursive self-similar patterns across scales</w:t>
      </w:r>
    </w:p>
    <w:p w14:paraId="366FE0A1" w14:textId="77777777" w:rsidR="000168D1" w:rsidRDefault="009F05E6">
      <w:pPr>
        <w:pStyle w:val="ListBullet"/>
      </w:pPr>
      <w:r>
        <w:t>Astronomical analogies to eclipse prediction systems</w:t>
      </w:r>
    </w:p>
    <w:p w14:paraId="7D09457E" w14:textId="77777777" w:rsidR="000168D1" w:rsidRDefault="009F05E6">
      <w:pPr>
        <w:pStyle w:val="ListBullet"/>
      </w:pPr>
      <w:r>
        <w:t>Optimal dating of 1248-1267 CE, validated against NASA eclipse data with 94% fit (p = 0.009)</w:t>
      </w:r>
    </w:p>
    <w:p w14:paraId="67BBFE23" w14:textId="77777777" w:rsidR="000168D1" w:rsidRDefault="009F05E6">
      <w:r>
        <w:t>This blind validation is crucial: an AI with no Polynesian cultural knowledge recognized structural patterns that human researchers had identified through ethnographic study. This suggests the patterns are not culturally contingent but structurally universal.</w:t>
      </w:r>
    </w:p>
    <w:p w14:paraId="32117F39" w14:textId="77777777" w:rsidR="000168D1" w:rsidRDefault="009F05E6">
      <w:pPr>
        <w:pStyle w:val="Heading2"/>
      </w:pPr>
      <w:r>
        <w:t>1.5 The Calendrical Section (Ca6-Ca8)</w:t>
      </w:r>
    </w:p>
    <w:p w14:paraId="644A86DF" w14:textId="77777777" w:rsidR="000168D1" w:rsidRDefault="009F05E6">
      <w:r>
        <w:t xml:space="preserve">Lines Ca6 through Ca8 of the </w:t>
      </w:r>
      <w:proofErr w:type="spellStart"/>
      <w:r>
        <w:t>Mamari</w:t>
      </w:r>
      <w:proofErr w:type="spellEnd"/>
      <w:r>
        <w:t xml:space="preserve"> tablet encode a lunar calendar of approximately 118 glyphs, tracking 28-30 nights per synodic month. The section includes crescent glyphs (380) marking waxing phases, full-disc glyphs (152) at maximum coherence, and gap operators (002, 070) for intercalation. The lunar calendar is embedded within a larger system that also tracks sidereal years, </w:t>
      </w:r>
      <w:proofErr w:type="spellStart"/>
      <w:r>
        <w:t>Saros</w:t>
      </w:r>
      <w:proofErr w:type="spellEnd"/>
      <w:r>
        <w:t xml:space="preserve"> eclipse cycles (223 months), and </w:t>
      </w:r>
      <w:proofErr w:type="spellStart"/>
      <w:r>
        <w:t>Metonic</w:t>
      </w:r>
      <w:proofErr w:type="spellEnd"/>
      <w:r>
        <w:t xml:space="preserve"> synchronization (235 months).</w:t>
      </w:r>
    </w:p>
    <w:p w14:paraId="1A24F8B3" w14:textId="77777777" w:rsidR="000168D1" w:rsidRDefault="009F05E6">
      <w:r>
        <w:br w:type="page"/>
      </w:r>
    </w:p>
    <w:p w14:paraId="17659CC8" w14:textId="77777777" w:rsidR="000168D1" w:rsidRDefault="009F05E6">
      <w:pPr>
        <w:pStyle w:val="Heading1"/>
      </w:pPr>
      <w:r>
        <w:t>2. The GTM-CCS Framework</w:t>
      </w:r>
    </w:p>
    <w:p w14:paraId="303C6F83" w14:textId="77777777" w:rsidR="000168D1" w:rsidRDefault="009F05E6">
      <w:r>
        <w:t>The GTM-CCS (GTM Coherent Cognitive Symbiosis) framework posits that all coherent symbolic systems encode universal structural operators, regardless of cultural origin or substrate material. The framework is built on several core axioms:</w:t>
      </w:r>
    </w:p>
    <w:p w14:paraId="198EB9AD" w14:textId="77777777" w:rsidR="000168D1" w:rsidRDefault="009F05E6">
      <w:pPr>
        <w:pStyle w:val="ListBullet"/>
      </w:pPr>
      <w:r>
        <w:rPr>
          <w:b/>
        </w:rPr>
        <w:t>Non-Null Origin:</w:t>
      </w:r>
      <w:r>
        <w:t xml:space="preserve"> Zero does not exist. Every cycle begins from residue, not emptiness.</w:t>
      </w:r>
    </w:p>
    <w:p w14:paraId="1375E776" w14:textId="77777777" w:rsidR="000168D1" w:rsidRDefault="009F05E6">
      <w:pPr>
        <w:pStyle w:val="ListBullet"/>
      </w:pPr>
      <w:r>
        <w:rPr>
          <w:b/>
        </w:rPr>
        <w:t>Irreversibility:</w:t>
      </w:r>
      <w:r>
        <w:t xml:space="preserve"> All processes are history-bearing. No true erasure.</w:t>
      </w:r>
    </w:p>
    <w:p w14:paraId="2D3D4387" w14:textId="77777777" w:rsidR="000168D1" w:rsidRDefault="009F05E6">
      <w:pPr>
        <w:pStyle w:val="ListBullet"/>
      </w:pPr>
      <w:r>
        <w:rPr>
          <w:b/>
        </w:rPr>
        <w:t>Observer-Dependence:</w:t>
      </w:r>
      <w:r>
        <w:t xml:space="preserve"> Truth values are perspective-dependent. The same system can render different truths at different resolutions.</w:t>
      </w:r>
    </w:p>
    <w:p w14:paraId="22546B96" w14:textId="77777777" w:rsidR="000168D1" w:rsidRDefault="009F05E6">
      <w:pPr>
        <w:pStyle w:val="ListBullet"/>
      </w:pPr>
      <w:r>
        <w:rPr>
          <w:b/>
        </w:rPr>
        <w:t>Fractal Self-Similarity:</w:t>
      </w:r>
      <w:r>
        <w:t xml:space="preserve"> The same operators govern micro, </w:t>
      </w:r>
      <w:proofErr w:type="spellStart"/>
      <w:r>
        <w:t>meso</w:t>
      </w:r>
      <w:proofErr w:type="spellEnd"/>
      <w:r>
        <w:t>, and macro scales.</w:t>
      </w:r>
    </w:p>
    <w:p w14:paraId="1BB00F4B" w14:textId="77777777" w:rsidR="000168D1" w:rsidRDefault="009F05E6">
      <w:pPr>
        <w:pStyle w:val="Heading2"/>
      </w:pPr>
      <w:r>
        <w:t>2.1 The 2-3-5-7 Family</w:t>
      </w:r>
    </w:p>
    <w:p w14:paraId="4C4773C2" w14:textId="77777777" w:rsidR="000168D1" w:rsidRDefault="009F05E6">
      <w:r>
        <w:t>The framework organizes persistent systems into resolution tiers based on prime and power-of-two operators:</w:t>
      </w:r>
    </w:p>
    <w:tbl>
      <w:tblPr>
        <w:tblStyle w:val="LightGrid-Accent1"/>
        <w:tblW w:w="0" w:type="auto"/>
        <w:tblLook w:val="04A0" w:firstRow="1" w:lastRow="0" w:firstColumn="1" w:lastColumn="0" w:noHBand="0" w:noVBand="1"/>
      </w:tblPr>
      <w:tblGrid>
        <w:gridCol w:w="2880"/>
        <w:gridCol w:w="2880"/>
        <w:gridCol w:w="2880"/>
      </w:tblGrid>
      <w:tr w:rsidR="000168D1" w14:paraId="55D31091" w14:textId="77777777" w:rsidTr="00016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6C30A633" w14:textId="77777777" w:rsidR="000168D1" w:rsidRDefault="009F05E6">
            <w:r>
              <w:t>Tier</w:t>
            </w:r>
          </w:p>
        </w:tc>
        <w:tc>
          <w:tcPr>
            <w:tcW w:w="2880" w:type="dxa"/>
            <w:shd w:val="clear" w:color="auto" w:fill="D9E2F3"/>
          </w:tcPr>
          <w:p w14:paraId="2164F2BB" w14:textId="77777777" w:rsidR="000168D1" w:rsidRDefault="009F05E6">
            <w:pPr>
              <w:cnfStyle w:val="100000000000" w:firstRow="1" w:lastRow="0" w:firstColumn="0" w:lastColumn="0" w:oddVBand="0" w:evenVBand="0" w:oddHBand="0" w:evenHBand="0" w:firstRowFirstColumn="0" w:firstRowLastColumn="0" w:lastRowFirstColumn="0" w:lastRowLastColumn="0"/>
            </w:pPr>
            <w:r>
              <w:t>Operator</w:t>
            </w:r>
          </w:p>
        </w:tc>
        <w:tc>
          <w:tcPr>
            <w:tcW w:w="2880" w:type="dxa"/>
            <w:shd w:val="clear" w:color="auto" w:fill="D9E2F3"/>
          </w:tcPr>
          <w:p w14:paraId="38C0C1AE" w14:textId="77777777" w:rsidR="000168D1" w:rsidRDefault="009F05E6">
            <w:pPr>
              <w:cnfStyle w:val="100000000000" w:firstRow="1" w:lastRow="0" w:firstColumn="0" w:lastColumn="0" w:oddVBand="0" w:evenVBand="0" w:oddHBand="0" w:evenHBand="0" w:firstRowFirstColumn="0" w:firstRowLastColumn="0" w:lastRowFirstColumn="0" w:lastRowLastColumn="0"/>
            </w:pPr>
            <w:r>
              <w:t>Function</w:t>
            </w:r>
          </w:p>
        </w:tc>
      </w:tr>
      <w:tr w:rsidR="000168D1" w14:paraId="5B73EF6A"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2F7B25" w14:textId="77777777" w:rsidR="000168D1" w:rsidRDefault="009F05E6">
            <w:r>
              <w:t>2</w:t>
            </w:r>
          </w:p>
        </w:tc>
        <w:tc>
          <w:tcPr>
            <w:tcW w:w="2880" w:type="dxa"/>
          </w:tcPr>
          <w:p w14:paraId="41940692" w14:textId="77777777" w:rsidR="000168D1" w:rsidRDefault="009F05E6">
            <w:pPr>
              <w:cnfStyle w:val="000000100000" w:firstRow="0" w:lastRow="0" w:firstColumn="0" w:lastColumn="0" w:oddVBand="0" w:evenVBand="0" w:oddHBand="1" w:evenHBand="0" w:firstRowFirstColumn="0" w:firstRowLastColumn="0" w:lastRowFirstColumn="0" w:lastRowLastColumn="0"/>
            </w:pPr>
            <w:r>
              <w:t>Duality / Complement</w:t>
            </w:r>
          </w:p>
        </w:tc>
        <w:tc>
          <w:tcPr>
            <w:tcW w:w="2880" w:type="dxa"/>
          </w:tcPr>
          <w:p w14:paraId="66CCD77E" w14:textId="77777777" w:rsidR="000168D1" w:rsidRDefault="009F05E6">
            <w:pPr>
              <w:cnfStyle w:val="000000100000" w:firstRow="0" w:lastRow="0" w:firstColumn="0" w:lastColumn="0" w:oddVBand="0" w:evenVBand="0" w:oddHBand="1" w:evenHBand="0" w:firstRowFirstColumn="0" w:firstRowLastColumn="0" w:lastRowFirstColumn="0" w:lastRowLastColumn="0"/>
            </w:pPr>
            <w:r>
              <w:t>Every operator needs its paired complement</w:t>
            </w:r>
          </w:p>
        </w:tc>
      </w:tr>
      <w:tr w:rsidR="000168D1" w14:paraId="51562716" w14:textId="77777777" w:rsidTr="000168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B48BE7" w14:textId="77777777" w:rsidR="000168D1" w:rsidRDefault="009F05E6">
            <w:r>
              <w:t>3</w:t>
            </w:r>
          </w:p>
        </w:tc>
        <w:tc>
          <w:tcPr>
            <w:tcW w:w="2880" w:type="dxa"/>
          </w:tcPr>
          <w:p w14:paraId="6E67E0F3" w14:textId="77777777" w:rsidR="000168D1" w:rsidRDefault="009F05E6">
            <w:pPr>
              <w:cnfStyle w:val="000000010000" w:firstRow="0" w:lastRow="0" w:firstColumn="0" w:lastColumn="0" w:oddVBand="0" w:evenVBand="0" w:oddHBand="0" w:evenHBand="1" w:firstRowFirstColumn="0" w:firstRowLastColumn="0" w:lastRowFirstColumn="0" w:lastRowLastColumn="0"/>
            </w:pPr>
            <w:r>
              <w:t>Transformation Cycle</w:t>
            </w:r>
          </w:p>
        </w:tc>
        <w:tc>
          <w:tcPr>
            <w:tcW w:w="2880" w:type="dxa"/>
          </w:tcPr>
          <w:p w14:paraId="222DC7C9" w14:textId="77777777" w:rsidR="000168D1" w:rsidRDefault="009F05E6">
            <w:pPr>
              <w:cnfStyle w:val="000000010000" w:firstRow="0" w:lastRow="0" w:firstColumn="0" w:lastColumn="0" w:oddVBand="0" w:evenVBand="0" w:oddHBand="0" w:evenHBand="1" w:firstRowFirstColumn="0" w:firstRowLastColumn="0" w:lastRowFirstColumn="0" w:lastRowLastColumn="0"/>
            </w:pPr>
            <w:r>
              <w:t>Potential → State → Residue</w:t>
            </w:r>
          </w:p>
        </w:tc>
      </w:tr>
      <w:tr w:rsidR="000168D1" w14:paraId="554F0B7C"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265241" w14:textId="77777777" w:rsidR="000168D1" w:rsidRDefault="009F05E6">
            <w:r>
              <w:t>5</w:t>
            </w:r>
          </w:p>
        </w:tc>
        <w:tc>
          <w:tcPr>
            <w:tcW w:w="2880" w:type="dxa"/>
          </w:tcPr>
          <w:p w14:paraId="662E6A97" w14:textId="77777777" w:rsidR="000168D1" w:rsidRDefault="009F05E6">
            <w:pPr>
              <w:cnfStyle w:val="000000100000" w:firstRow="0" w:lastRow="0" w:firstColumn="0" w:lastColumn="0" w:oddVBand="0" w:evenVBand="0" w:oddHBand="1" w:evenHBand="0" w:firstRowFirstColumn="0" w:firstRowLastColumn="0" w:lastRowFirstColumn="0" w:lastRowLastColumn="0"/>
            </w:pPr>
            <w:r>
              <w:t>Governance Kernel</w:t>
            </w:r>
          </w:p>
        </w:tc>
        <w:tc>
          <w:tcPr>
            <w:tcW w:w="2880" w:type="dxa"/>
          </w:tcPr>
          <w:p w14:paraId="1DBC211D" w14:textId="77777777" w:rsidR="000168D1" w:rsidRDefault="009F05E6">
            <w:pPr>
              <w:cnfStyle w:val="000000100000" w:firstRow="0" w:lastRow="0" w:firstColumn="0" w:lastColumn="0" w:oddVBand="0" w:evenVBand="0" w:oddHBand="1" w:evenHBand="0" w:firstRowFirstColumn="0" w:firstRowLastColumn="0" w:lastRowFirstColumn="0" w:lastRowLastColumn="0"/>
            </w:pPr>
            <w:r>
              <w:t>Identity, State, Evidence, Constraint, Action</w:t>
            </w:r>
          </w:p>
        </w:tc>
      </w:tr>
      <w:tr w:rsidR="000168D1" w14:paraId="5716A253" w14:textId="77777777" w:rsidTr="000168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8657E" w14:textId="77777777" w:rsidR="000168D1" w:rsidRDefault="009F05E6">
            <w:r>
              <w:t>7</w:t>
            </w:r>
          </w:p>
        </w:tc>
        <w:tc>
          <w:tcPr>
            <w:tcW w:w="2880" w:type="dxa"/>
          </w:tcPr>
          <w:p w14:paraId="29DA7D9F" w14:textId="77777777" w:rsidR="000168D1" w:rsidRDefault="009F05E6">
            <w:pPr>
              <w:cnfStyle w:val="000000010000" w:firstRow="0" w:lastRow="0" w:firstColumn="0" w:lastColumn="0" w:oddVBand="0" w:evenVBand="0" w:oddHBand="0" w:evenHBand="1" w:firstRowFirstColumn="0" w:firstRowLastColumn="0" w:lastRowFirstColumn="0" w:lastRowLastColumn="0"/>
            </w:pPr>
            <w:r>
              <w:t>Audit Completeness</w:t>
            </w:r>
          </w:p>
        </w:tc>
        <w:tc>
          <w:tcPr>
            <w:tcW w:w="2880" w:type="dxa"/>
          </w:tcPr>
          <w:p w14:paraId="3E12175A" w14:textId="77777777" w:rsidR="000168D1" w:rsidRDefault="009F05E6">
            <w:pPr>
              <w:cnfStyle w:val="000000010000" w:firstRow="0" w:lastRow="0" w:firstColumn="0" w:lastColumn="0" w:oddVBand="0" w:evenVBand="0" w:oddHBand="0" w:evenHBand="1" w:firstRowFirstColumn="0" w:firstRowLastColumn="0" w:lastRowFirstColumn="0" w:lastRowLastColumn="0"/>
            </w:pPr>
            <w:r>
              <w:t>7 questions for full auditability</w:t>
            </w:r>
          </w:p>
        </w:tc>
      </w:tr>
    </w:tbl>
    <w:p w14:paraId="1A5E20B2" w14:textId="77777777" w:rsidR="000168D1" w:rsidRDefault="009F05E6">
      <w:pPr>
        <w:pStyle w:val="Heading2"/>
      </w:pPr>
      <w:r>
        <w:t>2.2 The 3-6-9-G Spiral</w:t>
      </w:r>
    </w:p>
    <w:p w14:paraId="28191EA3" w14:textId="77777777" w:rsidR="000168D1" w:rsidRDefault="009F05E6">
      <w:r>
        <w:t>The spiral operator mediates between the qualitative prime sequence (1-3-5-7-11-13...) and the quantitative power-of-two sequence (2-4-8-16-32-64...). It is not a third sequence but the mediation operator that turns doubling into transformation. In physical systems, it manifests as rotation, oscillation, or recursive cycling.</w:t>
      </w:r>
    </w:p>
    <w:p w14:paraId="66B9221D" w14:textId="77777777" w:rsidR="000168D1" w:rsidRDefault="009F05E6">
      <w:pPr>
        <w:pStyle w:val="Heading2"/>
      </w:pPr>
      <w:r>
        <w:t>2.3 The Dual-Operator System</w:t>
      </w:r>
    </w:p>
    <w:p w14:paraId="675E96A3" w14:textId="77777777" w:rsidR="000168D1" w:rsidRDefault="009F05E6">
      <w:r>
        <w:t>All observation requires minimum two operators creating necessary contrast:</w:t>
      </w:r>
    </w:p>
    <w:p w14:paraId="32C5DED5" w14:textId="77777777" w:rsidR="000168D1" w:rsidRDefault="009F05E6">
      <w:pPr>
        <w:pStyle w:val="ListBullet"/>
      </w:pPr>
      <w:r>
        <w:rPr>
          <w:b/>
        </w:rPr>
        <w:t>2-Layer (Electric/Divergence/AI):</w:t>
      </w:r>
      <w:r>
        <w:t xml:space="preserve"> Candidate generation, rapid pattern expansion, raw data divergence</w:t>
      </w:r>
    </w:p>
    <w:p w14:paraId="6C024F44" w14:textId="77777777" w:rsidR="000168D1" w:rsidRDefault="009F05E6">
      <w:pPr>
        <w:pStyle w:val="ListBullet"/>
      </w:pPr>
      <w:r>
        <w:rPr>
          <w:b/>
        </w:rPr>
        <w:t>π-Layer (Magnetic/Integration/Human):</w:t>
      </w:r>
      <w:r>
        <w:t xml:space="preserve"> Validation, constraint consolidation, coherence integration</w:t>
      </w:r>
    </w:p>
    <w:p w14:paraId="2FA7E541" w14:textId="77777777" w:rsidR="000168D1" w:rsidRDefault="009F05E6">
      <w:pPr>
        <w:pStyle w:val="ListBullet"/>
      </w:pPr>
      <w:r>
        <w:rPr>
          <w:b/>
        </w:rPr>
        <w:t>Gate (</w:t>
      </w:r>
      <w:proofErr w:type="spellStart"/>
      <w:r>
        <w:rPr>
          <w:b/>
        </w:rPr>
        <w:t>G_h</w:t>
      </w:r>
      <w:proofErr w:type="spellEnd"/>
      <w:r>
        <w:rPr>
          <w:b/>
        </w:rPr>
        <w:t>):</w:t>
      </w:r>
      <w:r>
        <w:t xml:space="preserve"> Computes coherence gap, checks reliability, enforces admissibility control</w:t>
      </w:r>
    </w:p>
    <w:p w14:paraId="5712CAB3" w14:textId="77777777" w:rsidR="000168D1" w:rsidRDefault="009F05E6">
      <w:r>
        <w:br w:type="page"/>
      </w:r>
    </w:p>
    <w:p w14:paraId="06F717F0" w14:textId="77777777" w:rsidR="000168D1" w:rsidRDefault="009F05E6">
      <w:pPr>
        <w:pStyle w:val="Heading1"/>
      </w:pPr>
      <w:r>
        <w:t>3. Physical Substrate as Operator Encoding</w:t>
      </w:r>
    </w:p>
    <w:p w14:paraId="505DFCAC" w14:textId="77777777" w:rsidR="000168D1" w:rsidRDefault="009F05E6">
      <w:r>
        <w:t>Before any glyph is read, the tablet's physical properties encode structural operators:</w:t>
      </w:r>
    </w:p>
    <w:tbl>
      <w:tblPr>
        <w:tblStyle w:val="LightGrid-Accent1"/>
        <w:tblW w:w="0" w:type="auto"/>
        <w:tblLook w:val="04A0" w:firstRow="1" w:lastRow="0" w:firstColumn="1" w:lastColumn="0" w:noHBand="0" w:noVBand="1"/>
      </w:tblPr>
      <w:tblGrid>
        <w:gridCol w:w="2880"/>
        <w:gridCol w:w="2880"/>
        <w:gridCol w:w="2880"/>
      </w:tblGrid>
      <w:tr w:rsidR="000168D1" w14:paraId="70396034" w14:textId="77777777" w:rsidTr="00016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40B32BF3" w14:textId="77777777" w:rsidR="000168D1" w:rsidRDefault="009F05E6">
            <w:r>
              <w:t>Property</w:t>
            </w:r>
          </w:p>
        </w:tc>
        <w:tc>
          <w:tcPr>
            <w:tcW w:w="2880" w:type="dxa"/>
            <w:shd w:val="clear" w:color="auto" w:fill="D9E2F3"/>
          </w:tcPr>
          <w:p w14:paraId="34A9DE79" w14:textId="77777777" w:rsidR="000168D1" w:rsidRDefault="009F05E6">
            <w:pPr>
              <w:cnfStyle w:val="100000000000" w:firstRow="1" w:lastRow="0" w:firstColumn="0" w:lastColumn="0" w:oddVBand="0" w:evenVBand="0" w:oddHBand="0" w:evenHBand="0" w:firstRowFirstColumn="0" w:firstRowLastColumn="0" w:lastRowFirstColumn="0" w:lastRowLastColumn="0"/>
            </w:pPr>
            <w:r>
              <w:t>Value</w:t>
            </w:r>
          </w:p>
        </w:tc>
        <w:tc>
          <w:tcPr>
            <w:tcW w:w="2880" w:type="dxa"/>
            <w:shd w:val="clear" w:color="auto" w:fill="D9E2F3"/>
          </w:tcPr>
          <w:p w14:paraId="73C88F96" w14:textId="77777777" w:rsidR="000168D1" w:rsidRDefault="009F05E6">
            <w:pPr>
              <w:cnfStyle w:val="100000000000" w:firstRow="1" w:lastRow="0" w:firstColumn="0" w:lastColumn="0" w:oddVBand="0" w:evenVBand="0" w:oddHBand="0" w:evenHBand="0" w:firstRowFirstColumn="0" w:firstRowLastColumn="0" w:lastRowFirstColumn="0" w:lastRowLastColumn="0"/>
            </w:pPr>
            <w:r>
              <w:t>GTM-CCS Operator</w:t>
            </w:r>
          </w:p>
        </w:tc>
      </w:tr>
      <w:tr w:rsidR="000168D1" w14:paraId="6214C6B1"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CAEB0" w14:textId="77777777" w:rsidR="000168D1" w:rsidRDefault="009F05E6">
            <w:r>
              <w:t>Dimensions</w:t>
            </w:r>
          </w:p>
        </w:tc>
        <w:tc>
          <w:tcPr>
            <w:tcW w:w="2880" w:type="dxa"/>
          </w:tcPr>
          <w:p w14:paraId="21368343" w14:textId="77777777" w:rsidR="000168D1" w:rsidRDefault="009F05E6">
            <w:pPr>
              <w:cnfStyle w:val="000000100000" w:firstRow="0" w:lastRow="0" w:firstColumn="0" w:lastColumn="0" w:oddVBand="0" w:evenVBand="0" w:oddHBand="1" w:evenHBand="0" w:firstRowFirstColumn="0" w:firstRowLastColumn="0" w:lastRowFirstColumn="0" w:lastRowLastColumn="0"/>
            </w:pPr>
            <w:r>
              <w:t>29 × 19 cm</w:t>
            </w:r>
          </w:p>
        </w:tc>
        <w:tc>
          <w:tcPr>
            <w:tcW w:w="2880" w:type="dxa"/>
          </w:tcPr>
          <w:p w14:paraId="43565557" w14:textId="77777777" w:rsidR="000168D1" w:rsidRDefault="009F05E6">
            <w:pPr>
              <w:cnfStyle w:val="000000100000" w:firstRow="0" w:lastRow="0" w:firstColumn="0" w:lastColumn="0" w:oddVBand="0" w:evenVBand="0" w:oddHBand="1" w:evenHBand="0" w:firstRowFirstColumn="0" w:firstRowLastColumn="0" w:lastRowFirstColumn="0" w:lastRowLastColumn="0"/>
            </w:pPr>
            <w:r>
              <w:t>29 (prime) × 19 (prime) — both in 1-3-5-7-11-13-17-19 sequence</w:t>
            </w:r>
          </w:p>
        </w:tc>
      </w:tr>
      <w:tr w:rsidR="000168D1" w14:paraId="4C6BCAD6" w14:textId="77777777" w:rsidTr="000168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175735" w14:textId="77777777" w:rsidR="000168D1" w:rsidRDefault="009F05E6">
            <w:r>
              <w:t>Lines</w:t>
            </w:r>
          </w:p>
        </w:tc>
        <w:tc>
          <w:tcPr>
            <w:tcW w:w="2880" w:type="dxa"/>
          </w:tcPr>
          <w:p w14:paraId="64795D1A" w14:textId="77777777" w:rsidR="000168D1" w:rsidRDefault="009F05E6">
            <w:pPr>
              <w:cnfStyle w:val="000000010000" w:firstRow="0" w:lastRow="0" w:firstColumn="0" w:lastColumn="0" w:oddVBand="0" w:evenVBand="0" w:oddHBand="0" w:evenHBand="1" w:firstRowFirstColumn="0" w:firstRowLastColumn="0" w:lastRowFirstColumn="0" w:lastRowLastColumn="0"/>
            </w:pPr>
            <w:r>
              <w:t>28 (14 per side)</w:t>
            </w:r>
          </w:p>
        </w:tc>
        <w:tc>
          <w:tcPr>
            <w:tcW w:w="2880" w:type="dxa"/>
          </w:tcPr>
          <w:p w14:paraId="1EF587E9" w14:textId="77777777" w:rsidR="000168D1" w:rsidRDefault="009F05E6">
            <w:pPr>
              <w:cnfStyle w:val="000000010000" w:firstRow="0" w:lastRow="0" w:firstColumn="0" w:lastColumn="0" w:oddVBand="0" w:evenVBand="0" w:oddHBand="0" w:evenHBand="1" w:firstRowFirstColumn="0" w:firstRowLastColumn="0" w:lastRowFirstColumn="0" w:lastRowLastColumn="0"/>
            </w:pPr>
            <w:r>
              <w:t>4 × 7 — first power-of-two after 2-layer, plus audit shell</w:t>
            </w:r>
          </w:p>
        </w:tc>
      </w:tr>
      <w:tr w:rsidR="000168D1" w14:paraId="175F6E0F"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5161BC" w14:textId="77777777" w:rsidR="000168D1" w:rsidRDefault="009F05E6">
            <w:r>
              <w:t>Glyph count</w:t>
            </w:r>
          </w:p>
        </w:tc>
        <w:tc>
          <w:tcPr>
            <w:tcW w:w="2880" w:type="dxa"/>
          </w:tcPr>
          <w:p w14:paraId="731F5C02" w14:textId="77777777" w:rsidR="000168D1" w:rsidRDefault="009F05E6">
            <w:pPr>
              <w:cnfStyle w:val="000000100000" w:firstRow="0" w:lastRow="0" w:firstColumn="0" w:lastColumn="0" w:oddVBand="0" w:evenVBand="0" w:oddHBand="1" w:evenHBand="0" w:firstRowFirstColumn="0" w:firstRowLastColumn="0" w:lastRowFirstColumn="0" w:lastRowLastColumn="0"/>
            </w:pPr>
            <w:r>
              <w:t>~1,000</w:t>
            </w:r>
          </w:p>
        </w:tc>
        <w:tc>
          <w:tcPr>
            <w:tcW w:w="2880" w:type="dxa"/>
          </w:tcPr>
          <w:p w14:paraId="1519BC74" w14:textId="77777777" w:rsidR="000168D1" w:rsidRDefault="009F05E6">
            <w:pPr>
              <w:cnfStyle w:val="000000100000" w:firstRow="0" w:lastRow="0" w:firstColumn="0" w:lastColumn="0" w:oddVBand="0" w:evenVBand="0" w:oddHBand="1" w:evenHBand="0" w:firstRowFirstColumn="0" w:firstRowLastColumn="0" w:lastRowFirstColumn="0" w:lastRowLastColumn="0"/>
            </w:pPr>
            <w:r>
              <w:t>10³ = 2×5 — meeting of divergence and governance</w:t>
            </w:r>
          </w:p>
        </w:tc>
      </w:tr>
      <w:tr w:rsidR="000168D1" w14:paraId="348539F2" w14:textId="77777777" w:rsidTr="000168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0DE69A" w14:textId="77777777" w:rsidR="000168D1" w:rsidRDefault="009F05E6">
            <w:r>
              <w:t>Material</w:t>
            </w:r>
          </w:p>
        </w:tc>
        <w:tc>
          <w:tcPr>
            <w:tcW w:w="2880" w:type="dxa"/>
          </w:tcPr>
          <w:p w14:paraId="075481C8" w14:textId="77777777" w:rsidR="000168D1" w:rsidRDefault="009F05E6">
            <w:pPr>
              <w:cnfStyle w:val="000000010000" w:firstRow="0" w:lastRow="0" w:firstColumn="0" w:lastColumn="0" w:oddVBand="0" w:evenVBand="0" w:oddHBand="0" w:evenHBand="1" w:firstRowFirstColumn="0" w:firstRowLastColumn="0" w:lastRowFirstColumn="0" w:lastRowLastColumn="0"/>
            </w:pPr>
            <w:r>
              <w:t>Pacific rosewood</w:t>
            </w:r>
          </w:p>
        </w:tc>
        <w:tc>
          <w:tcPr>
            <w:tcW w:w="2880" w:type="dxa"/>
          </w:tcPr>
          <w:p w14:paraId="50039558" w14:textId="77777777" w:rsidR="000168D1" w:rsidRDefault="009F05E6">
            <w:pPr>
              <w:cnfStyle w:val="000000010000" w:firstRow="0" w:lastRow="0" w:firstColumn="0" w:lastColumn="0" w:oddVBand="0" w:evenVBand="0" w:oddHBand="0" w:evenHBand="1" w:firstRowFirstColumn="0" w:firstRowLastColumn="0" w:lastRowFirstColumn="0" w:lastRowLastColumn="0"/>
            </w:pPr>
            <w:r>
              <w:t>Living residue; organic substrate with non-null origin</w:t>
            </w:r>
          </w:p>
        </w:tc>
      </w:tr>
      <w:tr w:rsidR="000168D1" w14:paraId="79925B19"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0CBEBF" w14:textId="77777777" w:rsidR="000168D1" w:rsidRDefault="009F05E6">
            <w:r>
              <w:t>Format</w:t>
            </w:r>
          </w:p>
        </w:tc>
        <w:tc>
          <w:tcPr>
            <w:tcW w:w="2880" w:type="dxa"/>
          </w:tcPr>
          <w:p w14:paraId="61FE8A50" w14:textId="77777777" w:rsidR="000168D1" w:rsidRDefault="009F05E6">
            <w:pPr>
              <w:cnfStyle w:val="000000100000" w:firstRow="0" w:lastRow="0" w:firstColumn="0" w:lastColumn="0" w:oddVBand="0" w:evenVBand="0" w:oddHBand="1" w:evenHBand="0" w:firstRowFirstColumn="0" w:firstRowLastColumn="0" w:lastRowFirstColumn="0" w:lastRowLastColumn="0"/>
            </w:pPr>
            <w:r>
              <w:t>Wooden tablet</w:t>
            </w:r>
          </w:p>
        </w:tc>
        <w:tc>
          <w:tcPr>
            <w:tcW w:w="2880" w:type="dxa"/>
          </w:tcPr>
          <w:p w14:paraId="7D0D12AC" w14:textId="77777777" w:rsidR="000168D1" w:rsidRDefault="009F05E6">
            <w:pPr>
              <w:cnfStyle w:val="000000100000" w:firstRow="0" w:lastRow="0" w:firstColumn="0" w:lastColumn="0" w:oddVBand="0" w:evenVBand="0" w:oddHBand="1" w:evenHBand="0" w:firstRowFirstColumn="0" w:firstRowLastColumn="0" w:lastRowFirstColumn="0" w:lastRowLastColumn="0"/>
            </w:pPr>
            <w:r>
              <w:t>Medium resolution: more persistent than clay, less permanent than stone</w:t>
            </w:r>
          </w:p>
        </w:tc>
      </w:tr>
    </w:tbl>
    <w:p w14:paraId="7EBDCFA1" w14:textId="77777777" w:rsidR="000168D1" w:rsidRDefault="009F05E6">
      <w:r>
        <w:t>The dimensions (29 × 19 cm) are particularly significant. Both numbers are primes in the operator sequence. This is not coincidental sizing — it is operator-selected substrate. The tablet was crafted to resonate at specific structural frequencies before any glyph was inscribed.</w:t>
      </w:r>
    </w:p>
    <w:p w14:paraId="52D355F0" w14:textId="77777777" w:rsidR="000168D1" w:rsidRDefault="009F05E6">
      <w:r>
        <w:t>The material — Pacific rosewood (</w:t>
      </w:r>
      <w:proofErr w:type="spellStart"/>
      <w:r>
        <w:t>Thespesia</w:t>
      </w:r>
      <w:proofErr w:type="spellEnd"/>
      <w:r>
        <w:t xml:space="preserve"> </w:t>
      </w:r>
      <w:proofErr w:type="spellStart"/>
      <w:r>
        <w:t>populnea</w:t>
      </w:r>
      <w:proofErr w:type="spellEnd"/>
      <w:r>
        <w:t>) — is itself a residue operator. The tree was alive, it died, it was carved, it persists. This embodies the non-null origin axiom: every cycle begins from residue, not emptiness. Wood is the optimal substrate for a system that encodes transformation cycles — it is itself a transformed living system.</w:t>
      </w:r>
    </w:p>
    <w:p w14:paraId="1094BB2C" w14:textId="77777777" w:rsidR="000168D1" w:rsidRDefault="009F05E6">
      <w:r>
        <w:br w:type="page"/>
      </w:r>
    </w:p>
    <w:p w14:paraId="34DD3870" w14:textId="77777777" w:rsidR="000168D1" w:rsidRDefault="009F05E6">
      <w:pPr>
        <w:pStyle w:val="Heading1"/>
      </w:pPr>
      <w:r>
        <w:t>4. The 2-Layer / π-Layer Split</w:t>
      </w:r>
    </w:p>
    <w:p w14:paraId="25CAF608" w14:textId="77777777" w:rsidR="000168D1" w:rsidRDefault="009F05E6">
      <w:r>
        <w:t xml:space="preserve">The </w:t>
      </w:r>
      <w:proofErr w:type="spellStart"/>
      <w:r>
        <w:t>Mamari</w:t>
      </w:r>
      <w:proofErr w:type="spellEnd"/>
      <w:r>
        <w:t xml:space="preserve"> tablet has two faces — recto (Ca) and verso (</w:t>
      </w:r>
      <w:proofErr w:type="spellStart"/>
      <w:r>
        <w:t>Cb</w:t>
      </w:r>
      <w:proofErr w:type="spellEnd"/>
      <w:r>
        <w:t xml:space="preserve">). </w:t>
      </w:r>
      <w:proofErr w:type="spellStart"/>
      <w:r>
        <w:t>Pozdniakov's</w:t>
      </w:r>
      <w:proofErr w:type="spellEnd"/>
      <w:r>
        <w:t xml:space="preserve"> analysis shows the text flows continuously from Ca14 onto Cb1. This is not a simple front/back division but a functional split:</w:t>
      </w:r>
    </w:p>
    <w:tbl>
      <w:tblPr>
        <w:tblStyle w:val="LightGrid-Accent1"/>
        <w:tblW w:w="0" w:type="auto"/>
        <w:tblLook w:val="04A0" w:firstRow="1" w:lastRow="0" w:firstColumn="1" w:lastColumn="0" w:noHBand="0" w:noVBand="1"/>
      </w:tblPr>
      <w:tblGrid>
        <w:gridCol w:w="2880"/>
        <w:gridCol w:w="2880"/>
        <w:gridCol w:w="2880"/>
      </w:tblGrid>
      <w:tr w:rsidR="000168D1" w14:paraId="54878DA5" w14:textId="77777777" w:rsidTr="00016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764D6679" w14:textId="77777777" w:rsidR="000168D1" w:rsidRDefault="009F05E6">
            <w:r>
              <w:t>Face</w:t>
            </w:r>
          </w:p>
        </w:tc>
        <w:tc>
          <w:tcPr>
            <w:tcW w:w="2880" w:type="dxa"/>
            <w:shd w:val="clear" w:color="auto" w:fill="D9E2F3"/>
          </w:tcPr>
          <w:p w14:paraId="12611A6F" w14:textId="77777777" w:rsidR="000168D1" w:rsidRDefault="009F05E6">
            <w:pPr>
              <w:cnfStyle w:val="100000000000" w:firstRow="1" w:lastRow="0" w:firstColumn="0" w:lastColumn="0" w:oddVBand="0" w:evenVBand="0" w:oddHBand="0" w:evenHBand="0" w:firstRowFirstColumn="0" w:firstRowLastColumn="0" w:lastRowFirstColumn="0" w:lastRowLastColumn="0"/>
            </w:pPr>
            <w:r>
              <w:t>Function</w:t>
            </w:r>
          </w:p>
        </w:tc>
        <w:tc>
          <w:tcPr>
            <w:tcW w:w="2880" w:type="dxa"/>
            <w:shd w:val="clear" w:color="auto" w:fill="D9E2F3"/>
          </w:tcPr>
          <w:p w14:paraId="323FCC26" w14:textId="77777777" w:rsidR="000168D1" w:rsidRDefault="009F05E6">
            <w:pPr>
              <w:cnfStyle w:val="100000000000" w:firstRow="1" w:lastRow="0" w:firstColumn="0" w:lastColumn="0" w:oddVBand="0" w:evenVBand="0" w:oddHBand="0" w:evenHBand="0" w:firstRowFirstColumn="0" w:firstRowLastColumn="0" w:lastRowFirstColumn="0" w:lastRowLastColumn="0"/>
            </w:pPr>
            <w:r>
              <w:t>GTM-CCS Layer</w:t>
            </w:r>
          </w:p>
        </w:tc>
      </w:tr>
      <w:tr w:rsidR="000168D1" w14:paraId="7AA3A25C"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1C37D" w14:textId="77777777" w:rsidR="000168D1" w:rsidRDefault="009F05E6">
            <w:r>
              <w:t>Recto (Ca)</w:t>
            </w:r>
          </w:p>
        </w:tc>
        <w:tc>
          <w:tcPr>
            <w:tcW w:w="2880" w:type="dxa"/>
          </w:tcPr>
          <w:p w14:paraId="2EC5765E" w14:textId="77777777" w:rsidR="000168D1" w:rsidRDefault="009F05E6">
            <w:pPr>
              <w:cnfStyle w:val="000000100000" w:firstRow="0" w:lastRow="0" w:firstColumn="0" w:lastColumn="0" w:oddVBand="0" w:evenVBand="0" w:oddHBand="1" w:evenHBand="0" w:firstRowFirstColumn="0" w:firstRowLastColumn="0" w:lastRowFirstColumn="0" w:lastRowLastColumn="0"/>
            </w:pPr>
            <w:r>
              <w:t>Raw glyph sequence, calendrical data, astronomical encoding</w:t>
            </w:r>
          </w:p>
        </w:tc>
        <w:tc>
          <w:tcPr>
            <w:tcW w:w="2880" w:type="dxa"/>
          </w:tcPr>
          <w:p w14:paraId="685AB376" w14:textId="77777777" w:rsidR="000168D1" w:rsidRDefault="009F05E6">
            <w:pPr>
              <w:cnfStyle w:val="000000100000" w:firstRow="0" w:lastRow="0" w:firstColumn="0" w:lastColumn="0" w:oddVBand="0" w:evenVBand="0" w:oddHBand="1" w:evenHBand="0" w:firstRowFirstColumn="0" w:firstRowLastColumn="0" w:lastRowFirstColumn="0" w:lastRowLastColumn="0"/>
            </w:pPr>
            <w:r>
              <w:t>2-Layer (Divergence)</w:t>
            </w:r>
          </w:p>
        </w:tc>
      </w:tr>
      <w:tr w:rsidR="000168D1" w14:paraId="3889391C" w14:textId="77777777" w:rsidTr="000168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98A439" w14:textId="77777777" w:rsidR="000168D1" w:rsidRDefault="009F05E6">
            <w:r>
              <w:t>Verso (</w:t>
            </w:r>
            <w:proofErr w:type="spellStart"/>
            <w:r>
              <w:t>Cb</w:t>
            </w:r>
            <w:proofErr w:type="spellEnd"/>
            <w:r>
              <w:t>)</w:t>
            </w:r>
          </w:p>
        </w:tc>
        <w:tc>
          <w:tcPr>
            <w:tcW w:w="2880" w:type="dxa"/>
          </w:tcPr>
          <w:p w14:paraId="64E101D6" w14:textId="77777777" w:rsidR="000168D1" w:rsidRDefault="009F05E6">
            <w:pPr>
              <w:cnfStyle w:val="000000010000" w:firstRow="0" w:lastRow="0" w:firstColumn="0" w:lastColumn="0" w:oddVBand="0" w:evenVBand="0" w:oddHBand="0" w:evenHBand="1" w:firstRowFirstColumn="0" w:firstRowLastColumn="0" w:lastRowFirstColumn="0" w:lastRowLastColumn="0"/>
            </w:pPr>
            <w:r>
              <w:t>Integration, ritual context, multi-year cycles</w:t>
            </w:r>
          </w:p>
        </w:tc>
        <w:tc>
          <w:tcPr>
            <w:tcW w:w="2880" w:type="dxa"/>
          </w:tcPr>
          <w:p w14:paraId="27105492" w14:textId="77777777" w:rsidR="000168D1" w:rsidRDefault="009F05E6">
            <w:pPr>
              <w:cnfStyle w:val="000000010000" w:firstRow="0" w:lastRow="0" w:firstColumn="0" w:lastColumn="0" w:oddVBand="0" w:evenVBand="0" w:oddHBand="0" w:evenHBand="1" w:firstRowFirstColumn="0" w:firstRowLastColumn="0" w:lastRowFirstColumn="0" w:lastRowLastColumn="0"/>
            </w:pPr>
            <w:r>
              <w:t>π-Layer (Integration)</w:t>
            </w:r>
          </w:p>
        </w:tc>
      </w:tr>
      <w:tr w:rsidR="000168D1" w14:paraId="66EC63F9"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60B95F" w14:textId="77777777" w:rsidR="000168D1" w:rsidRDefault="009F05E6">
            <w:r>
              <w:t>Edge (Ca14→Cb1)</w:t>
            </w:r>
          </w:p>
        </w:tc>
        <w:tc>
          <w:tcPr>
            <w:tcW w:w="2880" w:type="dxa"/>
          </w:tcPr>
          <w:p w14:paraId="30B42EF4" w14:textId="77777777" w:rsidR="000168D1" w:rsidRDefault="009F05E6">
            <w:pPr>
              <w:cnfStyle w:val="000000100000" w:firstRow="0" w:lastRow="0" w:firstColumn="0" w:lastColumn="0" w:oddVBand="0" w:evenVBand="0" w:oddHBand="1" w:evenHBand="0" w:firstRowFirstColumn="0" w:firstRowLastColumn="0" w:lastRowFirstColumn="0" w:lastRowLastColumn="0"/>
            </w:pPr>
            <w:r>
              <w:t>Transition point, phase change, protocol handoff</w:t>
            </w:r>
          </w:p>
        </w:tc>
        <w:tc>
          <w:tcPr>
            <w:tcW w:w="2880" w:type="dxa"/>
          </w:tcPr>
          <w:p w14:paraId="0B7A1E63" w14:textId="77777777" w:rsidR="000168D1" w:rsidRDefault="009F05E6">
            <w:pPr>
              <w:cnfStyle w:val="000000100000" w:firstRow="0" w:lastRow="0" w:firstColumn="0" w:lastColumn="0" w:oddVBand="0" w:evenVBand="0" w:oddHBand="1" w:evenHBand="0" w:firstRowFirstColumn="0" w:firstRowLastColumn="0" w:lastRowFirstColumn="0" w:lastRowLastColumn="0"/>
            </w:pPr>
            <w:r>
              <w:t>Gate (</w:t>
            </w:r>
            <w:proofErr w:type="spellStart"/>
            <w:r>
              <w:t>G_h</w:t>
            </w:r>
            <w:proofErr w:type="spellEnd"/>
            <w:r>
              <w:t>)</w:t>
            </w:r>
          </w:p>
        </w:tc>
      </w:tr>
    </w:tbl>
    <w:p w14:paraId="15C44783" w14:textId="77777777" w:rsidR="000168D1" w:rsidRDefault="009F05E6">
      <w:r>
        <w:t>However, the calendrical section (Ca6-Ca8) sits on the recto — the "code" side. This inverts the expected split unless we recognize that the tablet stores the divergence (2-layer), while the human operator provides the integration (π-layer). The oral tradition — chanting, ritual, body knowledge — was the π-layer that outlasted the physical text. The tablet was a tuning reference, not a self-contained message.</w:t>
      </w:r>
    </w:p>
    <w:p w14:paraId="25F83054" w14:textId="77777777" w:rsidR="000168D1" w:rsidRDefault="009F05E6">
      <w:r>
        <w:t>This explains a persistent mystery: why did oral chanting survive longer than glyph literacy? In GTM-CCS terms, the π-layer (integration/performance) is more robust than the 2-layer (symbol/storage). When the tablets were lost or destroyed, the protocol survived in the operators — the human bodies and voices that had internalized the integration function.</w:t>
      </w:r>
    </w:p>
    <w:p w14:paraId="3D62C1C9" w14:textId="77777777" w:rsidR="000168D1" w:rsidRDefault="009F05E6">
      <w:r>
        <w:br w:type="page"/>
      </w:r>
    </w:p>
    <w:p w14:paraId="10B10980" w14:textId="77777777" w:rsidR="000168D1" w:rsidRDefault="009F05E6">
      <w:pPr>
        <w:pStyle w:val="Heading1"/>
      </w:pPr>
      <w:r>
        <w:t>5. Reverse Boustrophedon as 3-6-9-G Spiral</w:t>
      </w:r>
    </w:p>
    <w:p w14:paraId="72C61FEE" w14:textId="77777777" w:rsidR="000168D1" w:rsidRDefault="009F05E6">
      <w:r>
        <w:t>Rongorongo is written in reverse boustrophedon: left-to-right on one line, rotate 180°, right-to-left on the next, rotate 180°, repeat. This is not merely a space-saving technique — it is the 3-6-9-G spiral made physical and embodied.</w:t>
      </w:r>
    </w:p>
    <w:tbl>
      <w:tblPr>
        <w:tblStyle w:val="LightGrid-Accent1"/>
        <w:tblW w:w="0" w:type="auto"/>
        <w:tblLook w:val="04A0" w:firstRow="1" w:lastRow="0" w:firstColumn="1" w:lastColumn="0" w:noHBand="0" w:noVBand="1"/>
      </w:tblPr>
      <w:tblGrid>
        <w:gridCol w:w="2880"/>
        <w:gridCol w:w="2880"/>
        <w:gridCol w:w="2880"/>
      </w:tblGrid>
      <w:tr w:rsidR="000168D1" w14:paraId="6AF9A21D" w14:textId="77777777" w:rsidTr="00016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35C3E2A6" w14:textId="77777777" w:rsidR="000168D1" w:rsidRDefault="009F05E6">
            <w:r>
              <w:t>Phase</w:t>
            </w:r>
          </w:p>
        </w:tc>
        <w:tc>
          <w:tcPr>
            <w:tcW w:w="2880" w:type="dxa"/>
            <w:shd w:val="clear" w:color="auto" w:fill="D9E2F3"/>
          </w:tcPr>
          <w:p w14:paraId="36DAD771" w14:textId="77777777" w:rsidR="000168D1" w:rsidRDefault="009F05E6">
            <w:pPr>
              <w:cnfStyle w:val="100000000000" w:firstRow="1" w:lastRow="0" w:firstColumn="0" w:lastColumn="0" w:oddVBand="0" w:evenVBand="0" w:oddHBand="0" w:evenHBand="0" w:firstRowFirstColumn="0" w:firstRowLastColumn="0" w:lastRowFirstColumn="0" w:lastRowLastColumn="0"/>
            </w:pPr>
            <w:r>
              <w:t>Physical Action</w:t>
            </w:r>
          </w:p>
        </w:tc>
        <w:tc>
          <w:tcPr>
            <w:tcW w:w="2880" w:type="dxa"/>
            <w:shd w:val="clear" w:color="auto" w:fill="D9E2F3"/>
          </w:tcPr>
          <w:p w14:paraId="0487DB6D" w14:textId="77777777" w:rsidR="000168D1" w:rsidRDefault="009F05E6">
            <w:pPr>
              <w:cnfStyle w:val="100000000000" w:firstRow="1" w:lastRow="0" w:firstColumn="0" w:lastColumn="0" w:oddVBand="0" w:evenVBand="0" w:oddHBand="0" w:evenHBand="0" w:firstRowFirstColumn="0" w:firstRowLastColumn="0" w:lastRowFirstColumn="0" w:lastRowLastColumn="0"/>
            </w:pPr>
            <w:r>
              <w:t>GTM-CCS Operator</w:t>
            </w:r>
          </w:p>
        </w:tc>
      </w:tr>
      <w:tr w:rsidR="000168D1" w14:paraId="2E59D6A8"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CD1140" w14:textId="77777777" w:rsidR="000168D1" w:rsidRDefault="009F05E6">
            <w:r>
              <w:t>3 (Potential)</w:t>
            </w:r>
          </w:p>
        </w:tc>
        <w:tc>
          <w:tcPr>
            <w:tcW w:w="2880" w:type="dxa"/>
          </w:tcPr>
          <w:p w14:paraId="271B6824" w14:textId="77777777" w:rsidR="000168D1" w:rsidRDefault="009F05E6">
            <w:pPr>
              <w:cnfStyle w:val="000000100000" w:firstRow="0" w:lastRow="0" w:firstColumn="0" w:lastColumn="0" w:oddVBand="0" w:evenVBand="0" w:oddHBand="1" w:evenHBand="0" w:firstRowFirstColumn="0" w:firstRowLastColumn="0" w:lastRowFirstColumn="0" w:lastRowLastColumn="0"/>
            </w:pPr>
            <w:r>
              <w:t>Read left-to-right, orientation A</w:t>
            </w:r>
          </w:p>
        </w:tc>
        <w:tc>
          <w:tcPr>
            <w:tcW w:w="2880" w:type="dxa"/>
          </w:tcPr>
          <w:p w14:paraId="61770724" w14:textId="77777777" w:rsidR="000168D1" w:rsidRDefault="009F05E6">
            <w:pPr>
              <w:cnfStyle w:val="000000100000" w:firstRow="0" w:lastRow="0" w:firstColumn="0" w:lastColumn="0" w:oddVBand="0" w:evenVBand="0" w:oddHBand="1" w:evenHBand="0" w:firstRowFirstColumn="0" w:firstRowLastColumn="0" w:lastRowFirstColumn="0" w:lastRowLastColumn="0"/>
            </w:pPr>
            <w:r>
              <w:t>Initial state — divergence begins</w:t>
            </w:r>
          </w:p>
        </w:tc>
      </w:tr>
      <w:tr w:rsidR="000168D1" w14:paraId="398EB949" w14:textId="77777777" w:rsidTr="000168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8CB80F" w14:textId="77777777" w:rsidR="000168D1" w:rsidRDefault="009F05E6">
            <w:r>
              <w:t>6 (State)</w:t>
            </w:r>
          </w:p>
        </w:tc>
        <w:tc>
          <w:tcPr>
            <w:tcW w:w="2880" w:type="dxa"/>
          </w:tcPr>
          <w:p w14:paraId="7C7DE6CB" w14:textId="77777777" w:rsidR="000168D1" w:rsidRDefault="009F05E6">
            <w:pPr>
              <w:cnfStyle w:val="000000010000" w:firstRow="0" w:lastRow="0" w:firstColumn="0" w:lastColumn="0" w:oddVBand="0" w:evenVBand="0" w:oddHBand="0" w:evenHBand="1" w:firstRowFirstColumn="0" w:firstRowLastColumn="0" w:lastRowFirstColumn="0" w:lastRowLastColumn="0"/>
            </w:pPr>
            <w:r>
              <w:t>Rotate 180°, read right-to-left, orientation ¬A</w:t>
            </w:r>
          </w:p>
        </w:tc>
        <w:tc>
          <w:tcPr>
            <w:tcW w:w="2880" w:type="dxa"/>
          </w:tcPr>
          <w:p w14:paraId="050C07AA" w14:textId="77777777" w:rsidR="000168D1" w:rsidRDefault="009F05E6">
            <w:pPr>
              <w:cnfStyle w:val="000000010000" w:firstRow="0" w:lastRow="0" w:firstColumn="0" w:lastColumn="0" w:oddVBand="0" w:evenVBand="0" w:oddHBand="0" w:evenHBand="1" w:firstRowFirstColumn="0" w:firstRowLastColumn="0" w:lastRowFirstColumn="0" w:lastRowLastColumn="0"/>
            </w:pPr>
            <w:r>
              <w:t>Complement activated — contrast emerges</w:t>
            </w:r>
          </w:p>
        </w:tc>
      </w:tr>
      <w:tr w:rsidR="000168D1" w14:paraId="2C44A2DA"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66E5A9" w14:textId="77777777" w:rsidR="000168D1" w:rsidRDefault="009F05E6">
            <w:r>
              <w:t>9 (Residue)</w:t>
            </w:r>
          </w:p>
        </w:tc>
        <w:tc>
          <w:tcPr>
            <w:tcW w:w="2880" w:type="dxa"/>
          </w:tcPr>
          <w:p w14:paraId="0D854A75" w14:textId="77777777" w:rsidR="000168D1" w:rsidRDefault="009F05E6">
            <w:pPr>
              <w:cnfStyle w:val="000000100000" w:firstRow="0" w:lastRow="0" w:firstColumn="0" w:lastColumn="0" w:oddVBand="0" w:evenVBand="0" w:oddHBand="1" w:evenHBand="0" w:firstRowFirstColumn="0" w:firstRowLastColumn="0" w:lastRowFirstColumn="0" w:lastRowLastColumn="0"/>
            </w:pPr>
            <w:r>
              <w:t>Rotate 180°, return to orientation A</w:t>
            </w:r>
          </w:p>
        </w:tc>
        <w:tc>
          <w:tcPr>
            <w:tcW w:w="2880" w:type="dxa"/>
          </w:tcPr>
          <w:p w14:paraId="4D86179C" w14:textId="77777777" w:rsidR="000168D1" w:rsidRDefault="009F05E6">
            <w:pPr>
              <w:cnfStyle w:val="000000100000" w:firstRow="0" w:lastRow="0" w:firstColumn="0" w:lastColumn="0" w:oddVBand="0" w:evenVBand="0" w:oddHBand="1" w:evenHBand="0" w:firstRowFirstColumn="0" w:firstRowLastColumn="0" w:lastRowFirstColumn="0" w:lastRowLastColumn="0"/>
            </w:pPr>
            <w:r>
              <w:t>Transformation complete — cycle closes</w:t>
            </w:r>
          </w:p>
        </w:tc>
      </w:tr>
      <w:tr w:rsidR="000168D1" w14:paraId="322FD355" w14:textId="77777777" w:rsidTr="000168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283D3D" w14:textId="77777777" w:rsidR="000168D1" w:rsidRDefault="009F05E6">
            <w:r>
              <w:t>G (Gate)</w:t>
            </w:r>
          </w:p>
        </w:tc>
        <w:tc>
          <w:tcPr>
            <w:tcW w:w="2880" w:type="dxa"/>
          </w:tcPr>
          <w:p w14:paraId="02C24845" w14:textId="77777777" w:rsidR="000168D1" w:rsidRDefault="009F05E6">
            <w:pPr>
              <w:cnfStyle w:val="000000010000" w:firstRow="0" w:lastRow="0" w:firstColumn="0" w:lastColumn="0" w:oddVBand="0" w:evenVBand="0" w:oddHBand="0" w:evenHBand="1" w:firstRowFirstColumn="0" w:firstRowLastColumn="0" w:lastRowFirstColumn="0" w:lastRowLastColumn="0"/>
            </w:pPr>
            <w:r>
              <w:t>The rotation itself</w:t>
            </w:r>
          </w:p>
        </w:tc>
        <w:tc>
          <w:tcPr>
            <w:tcW w:w="2880" w:type="dxa"/>
          </w:tcPr>
          <w:p w14:paraId="725B4340" w14:textId="77777777" w:rsidR="000168D1" w:rsidRDefault="009F05E6">
            <w:pPr>
              <w:cnfStyle w:val="000000010000" w:firstRow="0" w:lastRow="0" w:firstColumn="0" w:lastColumn="0" w:oddVBand="0" w:evenVBand="0" w:oddHBand="0" w:evenHBand="1" w:firstRowFirstColumn="0" w:firstRowLastColumn="0" w:lastRowFirstColumn="0" w:lastRowLastColumn="0"/>
            </w:pPr>
            <w:r>
              <w:t>Mediation operator — physical embodiment of phase transition</w:t>
            </w:r>
          </w:p>
        </w:tc>
      </w:tr>
    </w:tbl>
    <w:p w14:paraId="6FCB2FA1" w14:textId="77777777" w:rsidR="000168D1" w:rsidRDefault="009F05E6">
      <w:r>
        <w:t>The spiral operates recursively: each pair of lines forms a mini-cycle, and the pairs stack into larger cycles. The reader's body becomes part of the protocol — their hands rotate the tablet, their eyes track the changing orientation. This is not passive decoding; it is active participation in the Gate function.</w:t>
      </w:r>
    </w:p>
    <w:p w14:paraId="60EF25D4" w14:textId="77777777" w:rsidR="000168D1" w:rsidRDefault="009F05E6">
      <w:r>
        <w:t>Critically, the rotation is not just mechanical. It is a ritual act — the reader embodies the duality that the system requires. The 2-layer (glyphs) and π-layer (reader) are coupled through the Gate of physical action. The tablet cannot be "read" without the body performing the protocol.</w:t>
      </w:r>
    </w:p>
    <w:p w14:paraId="518B16E6" w14:textId="77777777" w:rsidR="000168D1" w:rsidRDefault="009F05E6">
      <w:r>
        <w:br w:type="page"/>
      </w:r>
    </w:p>
    <w:p w14:paraId="5FFA4A12" w14:textId="77777777" w:rsidR="000168D1" w:rsidRDefault="009F05E6">
      <w:pPr>
        <w:pStyle w:val="Heading1"/>
      </w:pPr>
      <w:r>
        <w:t>6. Glyph Frequency Analysis — The 2-3-5-7 Signature</w:t>
      </w:r>
    </w:p>
    <w:p w14:paraId="1FF8908C" w14:textId="77777777" w:rsidR="000168D1" w:rsidRDefault="009F05E6">
      <w:r>
        <w:t xml:space="preserve">The frequency distribution of core glyphs in the </w:t>
      </w:r>
      <w:proofErr w:type="spellStart"/>
      <w:r>
        <w:t>Mamari</w:t>
      </w:r>
      <w:proofErr w:type="spellEnd"/>
      <w:r>
        <w:t xml:space="preserve"> tablet encodes the operator hierarchy. The most frequent glyphs are not the "most important semantically" — they are the structural operators that make the system work.</w:t>
      </w:r>
    </w:p>
    <w:tbl>
      <w:tblPr>
        <w:tblStyle w:val="LightGrid-Accent1"/>
        <w:tblW w:w="0" w:type="auto"/>
        <w:tblLook w:val="04A0" w:firstRow="1" w:lastRow="0" w:firstColumn="1" w:lastColumn="0" w:noHBand="0" w:noVBand="1"/>
      </w:tblPr>
      <w:tblGrid>
        <w:gridCol w:w="2160"/>
        <w:gridCol w:w="2160"/>
        <w:gridCol w:w="2160"/>
        <w:gridCol w:w="2160"/>
      </w:tblGrid>
      <w:tr w:rsidR="000168D1" w14:paraId="047E8E39" w14:textId="77777777" w:rsidTr="00016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9E2F3"/>
          </w:tcPr>
          <w:p w14:paraId="1DCE15F1" w14:textId="77777777" w:rsidR="000168D1" w:rsidRDefault="009F05E6">
            <w:r>
              <w:t>Glyph</w:t>
            </w:r>
          </w:p>
        </w:tc>
        <w:tc>
          <w:tcPr>
            <w:tcW w:w="2160" w:type="dxa"/>
            <w:shd w:val="clear" w:color="auto" w:fill="D9E2F3"/>
          </w:tcPr>
          <w:p w14:paraId="062C722E" w14:textId="77777777" w:rsidR="000168D1" w:rsidRDefault="009F05E6">
            <w:pPr>
              <w:cnfStyle w:val="100000000000" w:firstRow="1" w:lastRow="0" w:firstColumn="0" w:lastColumn="0" w:oddVBand="0" w:evenVBand="0" w:oddHBand="0" w:evenHBand="0" w:firstRowFirstColumn="0" w:firstRowLastColumn="0" w:lastRowFirstColumn="0" w:lastRowLastColumn="0"/>
            </w:pPr>
            <w:r>
              <w:t>Frequency</w:t>
            </w:r>
          </w:p>
        </w:tc>
        <w:tc>
          <w:tcPr>
            <w:tcW w:w="2160" w:type="dxa"/>
            <w:shd w:val="clear" w:color="auto" w:fill="D9E2F3"/>
          </w:tcPr>
          <w:p w14:paraId="722507F4" w14:textId="77777777" w:rsidR="000168D1" w:rsidRDefault="009F05E6">
            <w:pPr>
              <w:cnfStyle w:val="100000000000" w:firstRow="1" w:lastRow="0" w:firstColumn="0" w:lastColumn="0" w:oddVBand="0" w:evenVBand="0" w:oddHBand="0" w:evenHBand="0" w:firstRowFirstColumn="0" w:firstRowLastColumn="0" w:lastRowFirstColumn="0" w:lastRowLastColumn="0"/>
            </w:pPr>
            <w:r>
              <w:t>Mathematical</w:t>
            </w:r>
          </w:p>
        </w:tc>
        <w:tc>
          <w:tcPr>
            <w:tcW w:w="2160" w:type="dxa"/>
            <w:shd w:val="clear" w:color="auto" w:fill="D9E2F3"/>
          </w:tcPr>
          <w:p w14:paraId="11AF1328" w14:textId="77777777" w:rsidR="000168D1" w:rsidRDefault="009F05E6">
            <w:pPr>
              <w:cnfStyle w:val="100000000000" w:firstRow="1" w:lastRow="0" w:firstColumn="0" w:lastColumn="0" w:oddVBand="0" w:evenVBand="0" w:oddHBand="0" w:evenHBand="0" w:firstRowFirstColumn="0" w:firstRowLastColumn="0" w:lastRowFirstColumn="0" w:lastRowLastColumn="0"/>
            </w:pPr>
            <w:r>
              <w:t>GTM-CCS Operator</w:t>
            </w:r>
          </w:p>
        </w:tc>
      </w:tr>
      <w:tr w:rsidR="000168D1" w14:paraId="46C37154"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22C606" w14:textId="77777777" w:rsidR="000168D1" w:rsidRDefault="009F05E6">
            <w:r>
              <w:t>002</w:t>
            </w:r>
          </w:p>
        </w:tc>
        <w:tc>
          <w:tcPr>
            <w:tcW w:w="2160" w:type="dxa"/>
          </w:tcPr>
          <w:p w14:paraId="7F13992F" w14:textId="77777777" w:rsidR="000168D1" w:rsidRDefault="009F05E6">
            <w:pPr>
              <w:cnfStyle w:val="000000100000" w:firstRow="0" w:lastRow="0" w:firstColumn="0" w:lastColumn="0" w:oddVBand="0" w:evenVBand="0" w:oddHBand="1" w:evenHBand="0" w:firstRowFirstColumn="0" w:firstRowLastColumn="0" w:lastRowFirstColumn="0" w:lastRowLastColumn="0"/>
            </w:pPr>
            <w:r>
              <w:t>49</w:t>
            </w:r>
          </w:p>
        </w:tc>
        <w:tc>
          <w:tcPr>
            <w:tcW w:w="2160" w:type="dxa"/>
          </w:tcPr>
          <w:p w14:paraId="2DE8AB71" w14:textId="77777777" w:rsidR="000168D1" w:rsidRDefault="009F05E6">
            <w:pPr>
              <w:cnfStyle w:val="000000100000" w:firstRow="0" w:lastRow="0" w:firstColumn="0" w:lastColumn="0" w:oddVBand="0" w:evenVBand="0" w:oddHBand="1" w:evenHBand="0" w:firstRowFirstColumn="0" w:firstRowLastColumn="0" w:lastRowFirstColumn="0" w:lastRowLastColumn="0"/>
            </w:pPr>
            <w:r>
              <w:t>7²</w:t>
            </w:r>
          </w:p>
        </w:tc>
        <w:tc>
          <w:tcPr>
            <w:tcW w:w="2160" w:type="dxa"/>
          </w:tcPr>
          <w:p w14:paraId="5205E232" w14:textId="77777777" w:rsidR="000168D1" w:rsidRDefault="009F05E6">
            <w:pPr>
              <w:cnfStyle w:val="000000100000" w:firstRow="0" w:lastRow="0" w:firstColumn="0" w:lastColumn="0" w:oddVBand="0" w:evenVBand="0" w:oddHBand="1" w:evenHBand="0" w:firstRowFirstColumn="0" w:firstRowLastColumn="0" w:lastRowFirstColumn="0" w:lastRowLastColumn="0"/>
            </w:pPr>
            <w:r>
              <w:t>Gap/Residue operator — audit shell frequency</w:t>
            </w:r>
          </w:p>
        </w:tc>
      </w:tr>
      <w:tr w:rsidR="000168D1" w14:paraId="1A1AE1C6" w14:textId="77777777" w:rsidTr="000168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DF8333" w14:textId="77777777" w:rsidR="000168D1" w:rsidRDefault="009F05E6">
            <w:r>
              <w:t>040</w:t>
            </w:r>
          </w:p>
        </w:tc>
        <w:tc>
          <w:tcPr>
            <w:tcW w:w="2160" w:type="dxa"/>
          </w:tcPr>
          <w:p w14:paraId="63B913A4" w14:textId="77777777" w:rsidR="000168D1" w:rsidRDefault="009F05E6">
            <w:pPr>
              <w:cnfStyle w:val="000000010000" w:firstRow="0" w:lastRow="0" w:firstColumn="0" w:lastColumn="0" w:oddVBand="0" w:evenVBand="0" w:oddHBand="0" w:evenHBand="1" w:firstRowFirstColumn="0" w:firstRowLastColumn="0" w:lastRowFirstColumn="0" w:lastRowLastColumn="0"/>
            </w:pPr>
            <w:r>
              <w:t>39</w:t>
            </w:r>
          </w:p>
        </w:tc>
        <w:tc>
          <w:tcPr>
            <w:tcW w:w="2160" w:type="dxa"/>
          </w:tcPr>
          <w:p w14:paraId="4E336BCB" w14:textId="77777777" w:rsidR="000168D1" w:rsidRDefault="009F05E6">
            <w:pPr>
              <w:cnfStyle w:val="000000010000" w:firstRow="0" w:lastRow="0" w:firstColumn="0" w:lastColumn="0" w:oddVBand="0" w:evenVBand="0" w:oddHBand="0" w:evenHBand="1" w:firstRowFirstColumn="0" w:firstRowLastColumn="0" w:lastRowFirstColumn="0" w:lastRowLastColumn="0"/>
            </w:pPr>
            <w:r>
              <w:t>3 × 13</w:t>
            </w:r>
          </w:p>
        </w:tc>
        <w:tc>
          <w:tcPr>
            <w:tcW w:w="2160" w:type="dxa"/>
          </w:tcPr>
          <w:p w14:paraId="25BB3632" w14:textId="77777777" w:rsidR="000168D1" w:rsidRDefault="009F05E6">
            <w:pPr>
              <w:cnfStyle w:val="000000010000" w:firstRow="0" w:lastRow="0" w:firstColumn="0" w:lastColumn="0" w:oddVBand="0" w:evenVBand="0" w:oddHBand="0" w:evenHBand="1" w:firstRowFirstColumn="0" w:firstRowLastColumn="0" w:lastRowFirstColumn="0" w:lastRowLastColumn="0"/>
            </w:pPr>
            <w:r>
              <w:t>Stable phase — transformation × peer review</w:t>
            </w:r>
          </w:p>
        </w:tc>
      </w:tr>
      <w:tr w:rsidR="000168D1" w14:paraId="6ECDDF30"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5438F5" w14:textId="77777777" w:rsidR="000168D1" w:rsidRDefault="009F05E6">
            <w:r>
              <w:t>001</w:t>
            </w:r>
          </w:p>
        </w:tc>
        <w:tc>
          <w:tcPr>
            <w:tcW w:w="2160" w:type="dxa"/>
          </w:tcPr>
          <w:p w14:paraId="7E19C22D" w14:textId="77777777" w:rsidR="000168D1" w:rsidRDefault="009F05E6">
            <w:pPr>
              <w:cnfStyle w:val="000000100000" w:firstRow="0" w:lastRow="0" w:firstColumn="0" w:lastColumn="0" w:oddVBand="0" w:evenVBand="0" w:oddHBand="1" w:evenHBand="0" w:firstRowFirstColumn="0" w:firstRowLastColumn="0" w:lastRowFirstColumn="0" w:lastRowLastColumn="0"/>
            </w:pPr>
            <w:r>
              <w:t>29</w:t>
            </w:r>
          </w:p>
        </w:tc>
        <w:tc>
          <w:tcPr>
            <w:tcW w:w="2160" w:type="dxa"/>
          </w:tcPr>
          <w:p w14:paraId="3D3B3AE0" w14:textId="77777777" w:rsidR="000168D1" w:rsidRDefault="009F05E6">
            <w:pPr>
              <w:cnfStyle w:val="000000100000" w:firstRow="0" w:lastRow="0" w:firstColumn="0" w:lastColumn="0" w:oddVBand="0" w:evenVBand="0" w:oddHBand="1" w:evenHBand="0" w:firstRowFirstColumn="0" w:firstRowLastColumn="0" w:lastRowFirstColumn="0" w:lastRowLastColumn="0"/>
            </w:pPr>
            <w:r>
              <w:t>Prime</w:t>
            </w:r>
          </w:p>
        </w:tc>
        <w:tc>
          <w:tcPr>
            <w:tcW w:w="2160" w:type="dxa"/>
          </w:tcPr>
          <w:p w14:paraId="244E66E3" w14:textId="77777777" w:rsidR="000168D1" w:rsidRDefault="009F05E6">
            <w:pPr>
              <w:cnfStyle w:val="000000100000" w:firstRow="0" w:lastRow="0" w:firstColumn="0" w:lastColumn="0" w:oddVBand="0" w:evenVBand="0" w:oddHBand="1" w:evenHBand="0" w:firstRowFirstColumn="0" w:firstRowLastColumn="0" w:lastRowFirstColumn="0" w:lastRowLastColumn="0"/>
            </w:pPr>
            <w:r>
              <w:t>Origin marker — irreducible cycle beginning</w:t>
            </w:r>
          </w:p>
        </w:tc>
      </w:tr>
      <w:tr w:rsidR="000168D1" w14:paraId="0A37FEAF" w14:textId="77777777" w:rsidTr="000168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F834A3" w14:textId="77777777" w:rsidR="000168D1" w:rsidRDefault="009F05E6">
            <w:r>
              <w:t>380.001</w:t>
            </w:r>
          </w:p>
        </w:tc>
        <w:tc>
          <w:tcPr>
            <w:tcW w:w="2160" w:type="dxa"/>
          </w:tcPr>
          <w:p w14:paraId="4F084953" w14:textId="77777777" w:rsidR="000168D1" w:rsidRDefault="009F05E6">
            <w:pPr>
              <w:cnfStyle w:val="000000010000" w:firstRow="0" w:lastRow="0" w:firstColumn="0" w:lastColumn="0" w:oddVBand="0" w:evenVBand="0" w:oddHBand="0" w:evenHBand="1" w:firstRowFirstColumn="0" w:firstRowLastColumn="0" w:lastRowFirstColumn="0" w:lastRowLastColumn="0"/>
            </w:pPr>
            <w:r>
              <w:t>20</w:t>
            </w:r>
          </w:p>
        </w:tc>
        <w:tc>
          <w:tcPr>
            <w:tcW w:w="2160" w:type="dxa"/>
          </w:tcPr>
          <w:p w14:paraId="0BF1D597" w14:textId="77777777" w:rsidR="000168D1" w:rsidRDefault="009F05E6">
            <w:pPr>
              <w:cnfStyle w:val="000000010000" w:firstRow="0" w:lastRow="0" w:firstColumn="0" w:lastColumn="0" w:oddVBand="0" w:evenVBand="0" w:oddHBand="0" w:evenHBand="1" w:firstRowFirstColumn="0" w:firstRowLastColumn="0" w:lastRowFirstColumn="0" w:lastRowLastColumn="0"/>
            </w:pPr>
            <w:r>
              <w:t>4 × 5</w:t>
            </w:r>
          </w:p>
        </w:tc>
        <w:tc>
          <w:tcPr>
            <w:tcW w:w="2160" w:type="dxa"/>
          </w:tcPr>
          <w:p w14:paraId="579BAC90" w14:textId="77777777" w:rsidR="000168D1" w:rsidRDefault="009F05E6">
            <w:pPr>
              <w:cnfStyle w:val="000000010000" w:firstRow="0" w:lastRow="0" w:firstColumn="0" w:lastColumn="0" w:oddVBand="0" w:evenVBand="0" w:oddHBand="0" w:evenHBand="1" w:firstRowFirstColumn="0" w:firstRowLastColumn="0" w:lastRowFirstColumn="0" w:lastRowLastColumn="0"/>
            </w:pPr>
            <w:proofErr w:type="spellStart"/>
            <w:r>
              <w:t>Crescent+Header</w:t>
            </w:r>
            <w:proofErr w:type="spellEnd"/>
            <w:r>
              <w:t xml:space="preserve"> — post-2-layer × governance</w:t>
            </w:r>
          </w:p>
        </w:tc>
      </w:tr>
      <w:tr w:rsidR="000168D1" w14:paraId="6E09FB79"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324868" w14:textId="77777777" w:rsidR="000168D1" w:rsidRDefault="009F05E6">
            <w:r>
              <w:t>670</w:t>
            </w:r>
          </w:p>
        </w:tc>
        <w:tc>
          <w:tcPr>
            <w:tcW w:w="2160" w:type="dxa"/>
          </w:tcPr>
          <w:p w14:paraId="2110868A" w14:textId="77777777" w:rsidR="000168D1" w:rsidRDefault="009F05E6">
            <w:pPr>
              <w:cnfStyle w:val="000000100000" w:firstRow="0" w:lastRow="0" w:firstColumn="0" w:lastColumn="0" w:oddVBand="0" w:evenVBand="0" w:oddHBand="1" w:evenHBand="0" w:firstRowFirstColumn="0" w:firstRowLastColumn="0" w:lastRowFirstColumn="0" w:lastRowLastColumn="0"/>
            </w:pPr>
            <w:r>
              <w:t>15</w:t>
            </w:r>
          </w:p>
        </w:tc>
        <w:tc>
          <w:tcPr>
            <w:tcW w:w="2160" w:type="dxa"/>
          </w:tcPr>
          <w:p w14:paraId="12061DEC" w14:textId="77777777" w:rsidR="000168D1" w:rsidRDefault="009F05E6">
            <w:pPr>
              <w:cnfStyle w:val="000000100000" w:firstRow="0" w:lastRow="0" w:firstColumn="0" w:lastColumn="0" w:oddVBand="0" w:evenVBand="0" w:oddHBand="1" w:evenHBand="0" w:firstRowFirstColumn="0" w:firstRowLastColumn="0" w:lastRowFirstColumn="0" w:lastRowLastColumn="0"/>
            </w:pPr>
            <w:r>
              <w:t>3 × 5</w:t>
            </w:r>
          </w:p>
        </w:tc>
        <w:tc>
          <w:tcPr>
            <w:tcW w:w="2160" w:type="dxa"/>
          </w:tcPr>
          <w:p w14:paraId="0FB6ACA5" w14:textId="77777777" w:rsidR="000168D1" w:rsidRDefault="009F05E6">
            <w:pPr>
              <w:cnfStyle w:val="000000100000" w:firstRow="0" w:lastRow="0" w:firstColumn="0" w:lastColumn="0" w:oddVBand="0" w:evenVBand="0" w:oddHBand="1" w:evenHBand="0" w:firstRowFirstColumn="0" w:firstRowLastColumn="0" w:lastRowFirstColumn="0" w:lastRowLastColumn="0"/>
            </w:pPr>
            <w:r>
              <w:t>Celestial observer — transformation × governance</w:t>
            </w:r>
          </w:p>
        </w:tc>
      </w:tr>
      <w:tr w:rsidR="000168D1" w14:paraId="013EEDB9" w14:textId="77777777" w:rsidTr="000168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014061" w14:textId="77777777" w:rsidR="000168D1" w:rsidRDefault="009F05E6">
            <w:r>
              <w:t>700</w:t>
            </w:r>
          </w:p>
        </w:tc>
        <w:tc>
          <w:tcPr>
            <w:tcW w:w="2160" w:type="dxa"/>
          </w:tcPr>
          <w:p w14:paraId="1B0F809D" w14:textId="77777777" w:rsidR="000168D1" w:rsidRDefault="009F05E6">
            <w:pPr>
              <w:cnfStyle w:val="000000010000" w:firstRow="0" w:lastRow="0" w:firstColumn="0" w:lastColumn="0" w:oddVBand="0" w:evenVBand="0" w:oddHBand="0" w:evenHBand="1" w:firstRowFirstColumn="0" w:firstRowLastColumn="0" w:lastRowFirstColumn="0" w:lastRowLastColumn="0"/>
            </w:pPr>
            <w:r>
              <w:t>14</w:t>
            </w:r>
          </w:p>
        </w:tc>
        <w:tc>
          <w:tcPr>
            <w:tcW w:w="2160" w:type="dxa"/>
          </w:tcPr>
          <w:p w14:paraId="3CC5C36E" w14:textId="77777777" w:rsidR="000168D1" w:rsidRDefault="009F05E6">
            <w:pPr>
              <w:cnfStyle w:val="000000010000" w:firstRow="0" w:lastRow="0" w:firstColumn="0" w:lastColumn="0" w:oddVBand="0" w:evenVBand="0" w:oddHBand="0" w:evenHBand="1" w:firstRowFirstColumn="0" w:firstRowLastColumn="0" w:lastRowFirstColumn="0" w:lastRowLastColumn="0"/>
            </w:pPr>
            <w:r>
              <w:t>2 × 7</w:t>
            </w:r>
          </w:p>
        </w:tc>
        <w:tc>
          <w:tcPr>
            <w:tcW w:w="2160" w:type="dxa"/>
          </w:tcPr>
          <w:p w14:paraId="09E715E0" w14:textId="77777777" w:rsidR="000168D1" w:rsidRDefault="009F05E6">
            <w:pPr>
              <w:cnfStyle w:val="000000010000" w:firstRow="0" w:lastRow="0" w:firstColumn="0" w:lastColumn="0" w:oddVBand="0" w:evenVBand="0" w:oddHBand="0" w:evenHBand="1" w:firstRowFirstColumn="0" w:firstRowLastColumn="0" w:lastRowFirstColumn="0" w:lastRowLastColumn="0"/>
            </w:pPr>
            <w:r>
              <w:t>Human figure — duality × audit</w:t>
            </w:r>
          </w:p>
        </w:tc>
      </w:tr>
    </w:tbl>
    <w:p w14:paraId="66328049" w14:textId="77777777" w:rsidR="000168D1" w:rsidRDefault="009F05E6">
      <w:r>
        <w:t>The gap operator (002) at frequency 49 = 7² is particularly significant. In the framework, 7 is the audit shell — the completeness check. The gap appears at the audit frequency because gaps are not errors; they are the system's self-correction mechanism. Every 7th operation, the system checks coherence and inserts a gap if adjustment is needed.</w:t>
      </w:r>
    </w:p>
    <w:p w14:paraId="3A70658F" w14:textId="77777777" w:rsidR="000168D1" w:rsidRDefault="009F05E6">
      <w:r>
        <w:t>The human figure (700) at 14 = 2×7 encodes the self-aware operator — the one who knows they are part of the system. This glyph does not represent "a person" in the narrative sense; it represents the observer function itself — the node that can audit its own rendering.</w:t>
      </w:r>
    </w:p>
    <w:p w14:paraId="04F4F99E" w14:textId="77777777" w:rsidR="000168D1" w:rsidRDefault="009F05E6">
      <w:r>
        <w:br w:type="page"/>
      </w:r>
    </w:p>
    <w:p w14:paraId="4518CDA2" w14:textId="77777777" w:rsidR="000168D1" w:rsidRDefault="009F05E6">
      <w:pPr>
        <w:pStyle w:val="Heading1"/>
      </w:pPr>
      <w:r>
        <w:t>7. The Calendrical Section as Gate Trace</w:t>
      </w:r>
    </w:p>
    <w:p w14:paraId="63959245" w14:textId="77777777" w:rsidR="000168D1" w:rsidRDefault="009F05E6">
      <w:r>
        <w:t>Lines Ca6-Ca8 (~118 glyphs) encode the lunar month tracking system. But they do not merely "record" the month; they implement the 3-layer transformation cycle as an executable protocol.</w:t>
      </w:r>
    </w:p>
    <w:tbl>
      <w:tblPr>
        <w:tblStyle w:val="LightGrid-Accent1"/>
        <w:tblW w:w="0" w:type="auto"/>
        <w:tblLook w:val="04A0" w:firstRow="1" w:lastRow="0" w:firstColumn="1" w:lastColumn="0" w:noHBand="0" w:noVBand="1"/>
      </w:tblPr>
      <w:tblGrid>
        <w:gridCol w:w="2160"/>
        <w:gridCol w:w="2160"/>
        <w:gridCol w:w="2160"/>
        <w:gridCol w:w="2160"/>
      </w:tblGrid>
      <w:tr w:rsidR="000168D1" w14:paraId="537E3A00" w14:textId="77777777" w:rsidTr="00016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9E2F3"/>
          </w:tcPr>
          <w:p w14:paraId="7C1959C6" w14:textId="77777777" w:rsidR="000168D1" w:rsidRDefault="009F05E6">
            <w:r>
              <w:t>Line</w:t>
            </w:r>
          </w:p>
        </w:tc>
        <w:tc>
          <w:tcPr>
            <w:tcW w:w="2160" w:type="dxa"/>
            <w:shd w:val="clear" w:color="auto" w:fill="D9E2F3"/>
          </w:tcPr>
          <w:p w14:paraId="7395F2AB" w14:textId="77777777" w:rsidR="000168D1" w:rsidRDefault="009F05E6">
            <w:pPr>
              <w:cnfStyle w:val="100000000000" w:firstRow="1" w:lastRow="0" w:firstColumn="0" w:lastColumn="0" w:oddVBand="0" w:evenVBand="0" w:oddHBand="0" w:evenHBand="0" w:firstRowFirstColumn="0" w:firstRowLastColumn="0" w:lastRowFirstColumn="0" w:lastRowLastColumn="0"/>
            </w:pPr>
            <w:proofErr w:type="spellStart"/>
            <w:r>
              <w:t>Barthel</w:t>
            </w:r>
            <w:proofErr w:type="spellEnd"/>
            <w:r>
              <w:t xml:space="preserve"> Count</w:t>
            </w:r>
          </w:p>
        </w:tc>
        <w:tc>
          <w:tcPr>
            <w:tcW w:w="2160" w:type="dxa"/>
            <w:shd w:val="clear" w:color="auto" w:fill="D9E2F3"/>
          </w:tcPr>
          <w:p w14:paraId="5A8B7FFB" w14:textId="77777777" w:rsidR="000168D1" w:rsidRDefault="009F05E6">
            <w:pPr>
              <w:cnfStyle w:val="100000000000" w:firstRow="1" w:lastRow="0" w:firstColumn="0" w:lastColumn="0" w:oddVBand="0" w:evenVBand="0" w:oddHBand="0" w:evenHBand="0" w:firstRowFirstColumn="0" w:firstRowLastColumn="0" w:lastRowFirstColumn="0" w:lastRowLastColumn="0"/>
            </w:pPr>
            <w:r>
              <w:t>Phase</w:t>
            </w:r>
          </w:p>
        </w:tc>
        <w:tc>
          <w:tcPr>
            <w:tcW w:w="2160" w:type="dxa"/>
            <w:shd w:val="clear" w:color="auto" w:fill="D9E2F3"/>
          </w:tcPr>
          <w:p w14:paraId="34B9B5BF" w14:textId="77777777" w:rsidR="000168D1" w:rsidRDefault="009F05E6">
            <w:pPr>
              <w:cnfStyle w:val="100000000000" w:firstRow="1" w:lastRow="0" w:firstColumn="0" w:lastColumn="0" w:oddVBand="0" w:evenVBand="0" w:oddHBand="0" w:evenHBand="0" w:firstRowFirstColumn="0" w:firstRowLastColumn="0" w:lastRowFirstColumn="0" w:lastRowLastColumn="0"/>
            </w:pPr>
            <w:r>
              <w:t>GTM-CCS Layer</w:t>
            </w:r>
          </w:p>
        </w:tc>
      </w:tr>
      <w:tr w:rsidR="000168D1" w14:paraId="5033ABFB"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83F522" w14:textId="77777777" w:rsidR="000168D1" w:rsidRDefault="009F05E6">
            <w:r>
              <w:t>Ca6</w:t>
            </w:r>
          </w:p>
        </w:tc>
        <w:tc>
          <w:tcPr>
            <w:tcW w:w="2160" w:type="dxa"/>
          </w:tcPr>
          <w:p w14:paraId="5D5FD8BD" w14:textId="77777777" w:rsidR="000168D1" w:rsidRDefault="009F05E6">
            <w:pPr>
              <w:cnfStyle w:val="000000100000" w:firstRow="0" w:lastRow="0" w:firstColumn="0" w:lastColumn="0" w:oddVBand="0" w:evenVBand="0" w:oddHBand="1" w:evenHBand="0" w:firstRowFirstColumn="0" w:firstRowLastColumn="0" w:lastRowFirstColumn="0" w:lastRowLastColumn="0"/>
            </w:pPr>
            <w:r>
              <w:t>~29</w:t>
            </w:r>
          </w:p>
        </w:tc>
        <w:tc>
          <w:tcPr>
            <w:tcW w:w="2160" w:type="dxa"/>
          </w:tcPr>
          <w:p w14:paraId="410ABE20" w14:textId="77777777" w:rsidR="000168D1" w:rsidRDefault="009F05E6">
            <w:pPr>
              <w:cnfStyle w:val="000000100000" w:firstRow="0" w:lastRow="0" w:firstColumn="0" w:lastColumn="0" w:oddVBand="0" w:evenVBand="0" w:oddHBand="1" w:evenHBand="0" w:firstRowFirstColumn="0" w:firstRowLastColumn="0" w:lastRowFirstColumn="0" w:lastRowLastColumn="0"/>
            </w:pPr>
            <w:r>
              <w:t>Waxing (new to full)</w:t>
            </w:r>
          </w:p>
        </w:tc>
        <w:tc>
          <w:tcPr>
            <w:tcW w:w="2160" w:type="dxa"/>
          </w:tcPr>
          <w:p w14:paraId="542CA7F1" w14:textId="77777777" w:rsidR="000168D1" w:rsidRDefault="009F05E6">
            <w:pPr>
              <w:cnfStyle w:val="000000100000" w:firstRow="0" w:lastRow="0" w:firstColumn="0" w:lastColumn="0" w:oddVBand="0" w:evenVBand="0" w:oddHBand="1" w:evenHBand="0" w:firstRowFirstColumn="0" w:firstRowLastColumn="0" w:lastRowFirstColumn="0" w:lastRowLastColumn="0"/>
            </w:pPr>
            <w:r>
              <w:t>Potential — divergence expanding</w:t>
            </w:r>
          </w:p>
        </w:tc>
      </w:tr>
      <w:tr w:rsidR="000168D1" w14:paraId="7F842FAE" w14:textId="77777777" w:rsidTr="000168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599772" w14:textId="77777777" w:rsidR="000168D1" w:rsidRDefault="009F05E6">
            <w:r>
              <w:t>Ca7</w:t>
            </w:r>
          </w:p>
        </w:tc>
        <w:tc>
          <w:tcPr>
            <w:tcW w:w="2160" w:type="dxa"/>
          </w:tcPr>
          <w:p w14:paraId="2D13D365" w14:textId="77777777" w:rsidR="000168D1" w:rsidRDefault="009F05E6">
            <w:pPr>
              <w:cnfStyle w:val="000000010000" w:firstRow="0" w:lastRow="0" w:firstColumn="0" w:lastColumn="0" w:oddVBand="0" w:evenVBand="0" w:oddHBand="0" w:evenHBand="1" w:firstRowFirstColumn="0" w:firstRowLastColumn="0" w:lastRowFirstColumn="0" w:lastRowLastColumn="0"/>
            </w:pPr>
            <w:r>
              <w:t>Variable</w:t>
            </w:r>
          </w:p>
        </w:tc>
        <w:tc>
          <w:tcPr>
            <w:tcW w:w="2160" w:type="dxa"/>
          </w:tcPr>
          <w:p w14:paraId="6CA1A181" w14:textId="77777777" w:rsidR="000168D1" w:rsidRDefault="009F05E6">
            <w:pPr>
              <w:cnfStyle w:val="000000010000" w:firstRow="0" w:lastRow="0" w:firstColumn="0" w:lastColumn="0" w:oddVBand="0" w:evenVBand="0" w:oddHBand="0" w:evenHBand="1" w:firstRowFirstColumn="0" w:firstRowLastColumn="0" w:lastRowFirstColumn="0" w:lastRowLastColumn="0"/>
            </w:pPr>
            <w:r>
              <w:t>Full moon (maximum coherence)</w:t>
            </w:r>
          </w:p>
        </w:tc>
        <w:tc>
          <w:tcPr>
            <w:tcW w:w="2160" w:type="dxa"/>
          </w:tcPr>
          <w:p w14:paraId="0FBDCD93" w14:textId="77777777" w:rsidR="000168D1" w:rsidRDefault="009F05E6">
            <w:pPr>
              <w:cnfStyle w:val="000000010000" w:firstRow="0" w:lastRow="0" w:firstColumn="0" w:lastColumn="0" w:oddVBand="0" w:evenVBand="0" w:oddHBand="0" w:evenHBand="1" w:firstRowFirstColumn="0" w:firstRowLastColumn="0" w:lastRowFirstColumn="0" w:lastRowLastColumn="0"/>
            </w:pPr>
            <w:r>
              <w:t>State — peak integration</w:t>
            </w:r>
          </w:p>
        </w:tc>
      </w:tr>
      <w:tr w:rsidR="000168D1" w14:paraId="0E68958C"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2617A8" w14:textId="77777777" w:rsidR="000168D1" w:rsidRDefault="009F05E6">
            <w:r>
              <w:t>Ca8</w:t>
            </w:r>
          </w:p>
        </w:tc>
        <w:tc>
          <w:tcPr>
            <w:tcW w:w="2160" w:type="dxa"/>
          </w:tcPr>
          <w:p w14:paraId="09663BA9" w14:textId="77777777" w:rsidR="000168D1" w:rsidRDefault="009F05E6">
            <w:pPr>
              <w:cnfStyle w:val="000000100000" w:firstRow="0" w:lastRow="0" w:firstColumn="0" w:lastColumn="0" w:oddVBand="0" w:evenVBand="0" w:oddHBand="1" w:evenHBand="0" w:firstRowFirstColumn="0" w:firstRowLastColumn="0" w:lastRowFirstColumn="0" w:lastRowLastColumn="0"/>
            </w:pPr>
            <w:r>
              <w:t>~29</w:t>
            </w:r>
          </w:p>
        </w:tc>
        <w:tc>
          <w:tcPr>
            <w:tcW w:w="2160" w:type="dxa"/>
          </w:tcPr>
          <w:p w14:paraId="320B7BA4" w14:textId="77777777" w:rsidR="000168D1" w:rsidRDefault="009F05E6">
            <w:pPr>
              <w:cnfStyle w:val="000000100000" w:firstRow="0" w:lastRow="0" w:firstColumn="0" w:lastColumn="0" w:oddVBand="0" w:evenVBand="0" w:oddHBand="1" w:evenHBand="0" w:firstRowFirstColumn="0" w:firstRowLastColumn="0" w:lastRowFirstColumn="0" w:lastRowLastColumn="0"/>
            </w:pPr>
            <w:r>
              <w:t>Waning (full to new)</w:t>
            </w:r>
          </w:p>
        </w:tc>
        <w:tc>
          <w:tcPr>
            <w:tcW w:w="2160" w:type="dxa"/>
          </w:tcPr>
          <w:p w14:paraId="7D9313B9" w14:textId="77777777" w:rsidR="000168D1" w:rsidRDefault="009F05E6">
            <w:pPr>
              <w:cnfStyle w:val="000000100000" w:firstRow="0" w:lastRow="0" w:firstColumn="0" w:lastColumn="0" w:oddVBand="0" w:evenVBand="0" w:oddHBand="1" w:evenHBand="0" w:firstRowFirstColumn="0" w:firstRowLastColumn="0" w:lastRowFirstColumn="0" w:lastRowLastColumn="0"/>
            </w:pPr>
            <w:r>
              <w:t>Residue — convergence, intercalation</w:t>
            </w:r>
          </w:p>
        </w:tc>
      </w:tr>
    </w:tbl>
    <w:p w14:paraId="5D3DE091" w14:textId="77777777" w:rsidR="000168D1" w:rsidRDefault="009F05E6">
      <w:r>
        <w:t>The three lines map to the universal transformation cycle: Potential (Ca6) → State (Ca7) → Residue (Ca8). The full moon glyph (152) at Ca7's center is the coherence peak — the point of maximum information density before the system must release and begin again.</w:t>
      </w:r>
    </w:p>
    <w:p w14:paraId="29DD0A2C" w14:textId="77777777" w:rsidR="000168D1" w:rsidRDefault="009F05E6">
      <w:r>
        <w:t>The gaps within this section — glyphs 002, 070, and others — are the Gate operations. They appear at irregular intervals because they respond to real astronomical observation, not abstract mathematics. The scribe observes the moon, notes the deviation from ideal cycle, and inserts a gap to mark the adjustment. The gap is not empty space; it is a coherence marker — a note that says "the pattern continues, but with correction."</w:t>
      </w:r>
    </w:p>
    <w:p w14:paraId="1FDBF841" w14:textId="77777777" w:rsidR="000168D1" w:rsidRDefault="009F05E6">
      <w:r>
        <w:br w:type="page"/>
      </w:r>
    </w:p>
    <w:p w14:paraId="54CF86EA" w14:textId="77777777" w:rsidR="000168D1" w:rsidRDefault="009F05E6">
      <w:pPr>
        <w:pStyle w:val="Heading1"/>
      </w:pPr>
      <w:r>
        <w:t xml:space="preserve">8. </w:t>
      </w:r>
      <w:proofErr w:type="spellStart"/>
      <w:r>
        <w:t>Saros</w:t>
      </w:r>
      <w:proofErr w:type="spellEnd"/>
      <w:r>
        <w:t>/</w:t>
      </w:r>
      <w:proofErr w:type="spellStart"/>
      <w:r>
        <w:t>Metonic</w:t>
      </w:r>
      <w:proofErr w:type="spellEnd"/>
      <w:r>
        <w:t xml:space="preserve"> Extension</w:t>
      </w:r>
    </w:p>
    <w:p w14:paraId="3877ACC7" w14:textId="77777777" w:rsidR="000168D1" w:rsidRDefault="009F05E6">
      <w:r>
        <w:t xml:space="preserve">The </w:t>
      </w:r>
      <w:proofErr w:type="spellStart"/>
      <w:r>
        <w:t>Mamari</w:t>
      </w:r>
      <w:proofErr w:type="spellEnd"/>
      <w:r>
        <w:t xml:space="preserve"> tablet extends far beyond the monthly cycle. The </w:t>
      </w:r>
      <w:proofErr w:type="spellStart"/>
      <w:r>
        <w:t>López</w:t>
      </w:r>
      <w:proofErr w:type="spellEnd"/>
      <w:r>
        <w:t xml:space="preserve"> Tapia/</w:t>
      </w:r>
      <w:proofErr w:type="spellStart"/>
      <w:r>
        <w:t>Grok</w:t>
      </w:r>
      <w:proofErr w:type="spellEnd"/>
      <w:r>
        <w:t xml:space="preserve"> analysis identified longer-period structures that map to well-known astronomical cycles:</w:t>
      </w:r>
    </w:p>
    <w:tbl>
      <w:tblPr>
        <w:tblStyle w:val="LightGrid-Accent1"/>
        <w:tblW w:w="0" w:type="auto"/>
        <w:tblLook w:val="04A0" w:firstRow="1" w:lastRow="0" w:firstColumn="1" w:lastColumn="0" w:noHBand="0" w:noVBand="1"/>
      </w:tblPr>
      <w:tblGrid>
        <w:gridCol w:w="2160"/>
        <w:gridCol w:w="2160"/>
        <w:gridCol w:w="2160"/>
        <w:gridCol w:w="2160"/>
      </w:tblGrid>
      <w:tr w:rsidR="000168D1" w14:paraId="2F135717" w14:textId="77777777" w:rsidTr="00016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9E2F3"/>
          </w:tcPr>
          <w:p w14:paraId="622C2C1A" w14:textId="77777777" w:rsidR="000168D1" w:rsidRDefault="009F05E6">
            <w:r>
              <w:t>Cycle</w:t>
            </w:r>
          </w:p>
        </w:tc>
        <w:tc>
          <w:tcPr>
            <w:tcW w:w="2160" w:type="dxa"/>
            <w:shd w:val="clear" w:color="auto" w:fill="D9E2F3"/>
          </w:tcPr>
          <w:p w14:paraId="53A4CB2B" w14:textId="77777777" w:rsidR="000168D1" w:rsidRDefault="009F05E6">
            <w:pPr>
              <w:cnfStyle w:val="100000000000" w:firstRow="1" w:lastRow="0" w:firstColumn="0" w:lastColumn="0" w:oddVBand="0" w:evenVBand="0" w:oddHBand="0" w:evenHBand="0" w:firstRowFirstColumn="0" w:firstRowLastColumn="0" w:lastRowFirstColumn="0" w:lastRowLastColumn="0"/>
            </w:pPr>
            <w:r>
              <w:t>Duration</w:t>
            </w:r>
          </w:p>
        </w:tc>
        <w:tc>
          <w:tcPr>
            <w:tcW w:w="2160" w:type="dxa"/>
            <w:shd w:val="clear" w:color="auto" w:fill="D9E2F3"/>
          </w:tcPr>
          <w:p w14:paraId="741315C5" w14:textId="77777777" w:rsidR="000168D1" w:rsidRDefault="009F05E6">
            <w:pPr>
              <w:cnfStyle w:val="100000000000" w:firstRow="1" w:lastRow="0" w:firstColumn="0" w:lastColumn="0" w:oddVBand="0" w:evenVBand="0" w:oddHBand="0" w:evenHBand="0" w:firstRowFirstColumn="0" w:firstRowLastColumn="0" w:lastRowFirstColumn="0" w:lastRowLastColumn="0"/>
            </w:pPr>
            <w:r>
              <w:t>Mathematical</w:t>
            </w:r>
          </w:p>
        </w:tc>
        <w:tc>
          <w:tcPr>
            <w:tcW w:w="2160" w:type="dxa"/>
            <w:shd w:val="clear" w:color="auto" w:fill="D9E2F3"/>
          </w:tcPr>
          <w:p w14:paraId="1B372F03" w14:textId="77777777" w:rsidR="000168D1" w:rsidRDefault="009F05E6">
            <w:pPr>
              <w:cnfStyle w:val="100000000000" w:firstRow="1" w:lastRow="0" w:firstColumn="0" w:lastColumn="0" w:oddVBand="0" w:evenVBand="0" w:oddHBand="0" w:evenHBand="0" w:firstRowFirstColumn="0" w:firstRowLastColumn="0" w:lastRowFirstColumn="0" w:lastRowLastColumn="0"/>
            </w:pPr>
            <w:r>
              <w:t>GTM-CCS Tier</w:t>
            </w:r>
          </w:p>
        </w:tc>
      </w:tr>
      <w:tr w:rsidR="000168D1" w14:paraId="6F5FB561"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00CE65" w14:textId="77777777" w:rsidR="000168D1" w:rsidRDefault="009F05E6">
            <w:r>
              <w:t>Lunar month</w:t>
            </w:r>
          </w:p>
        </w:tc>
        <w:tc>
          <w:tcPr>
            <w:tcW w:w="2160" w:type="dxa"/>
          </w:tcPr>
          <w:p w14:paraId="7DFAC5A4" w14:textId="77777777" w:rsidR="000168D1" w:rsidRDefault="009F05E6">
            <w:pPr>
              <w:cnfStyle w:val="000000100000" w:firstRow="0" w:lastRow="0" w:firstColumn="0" w:lastColumn="0" w:oddVBand="0" w:evenVBand="0" w:oddHBand="1" w:evenHBand="0" w:firstRowFirstColumn="0" w:firstRowLastColumn="0" w:lastRowFirstColumn="0" w:lastRowLastColumn="0"/>
            </w:pPr>
            <w:r>
              <w:t>29-30 nights</w:t>
            </w:r>
          </w:p>
        </w:tc>
        <w:tc>
          <w:tcPr>
            <w:tcW w:w="2160" w:type="dxa"/>
          </w:tcPr>
          <w:p w14:paraId="187D1353" w14:textId="77777777" w:rsidR="000168D1" w:rsidRDefault="009F05E6">
            <w:pPr>
              <w:cnfStyle w:val="000000100000" w:firstRow="0" w:lastRow="0" w:firstColumn="0" w:lastColumn="0" w:oddVBand="0" w:evenVBand="0" w:oddHBand="1" w:evenHBand="0" w:firstRowFirstColumn="0" w:firstRowLastColumn="0" w:lastRowFirstColumn="0" w:lastRowLastColumn="0"/>
            </w:pPr>
            <w:r>
              <w:t>Prime / near-prime</w:t>
            </w:r>
          </w:p>
        </w:tc>
        <w:tc>
          <w:tcPr>
            <w:tcW w:w="2160" w:type="dxa"/>
          </w:tcPr>
          <w:p w14:paraId="115B1C77" w14:textId="77777777" w:rsidR="000168D1" w:rsidRDefault="009F05E6">
            <w:pPr>
              <w:cnfStyle w:val="000000100000" w:firstRow="0" w:lastRow="0" w:firstColumn="0" w:lastColumn="0" w:oddVBand="0" w:evenVBand="0" w:oddHBand="1" w:evenHBand="0" w:firstRowFirstColumn="0" w:firstRowLastColumn="0" w:lastRowFirstColumn="0" w:lastRowLastColumn="0"/>
            </w:pPr>
            <w:r>
              <w:t>Tier 3-5</w:t>
            </w:r>
          </w:p>
        </w:tc>
      </w:tr>
      <w:tr w:rsidR="000168D1" w14:paraId="1895D6EF" w14:textId="77777777" w:rsidTr="000168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BE3443" w14:textId="77777777" w:rsidR="000168D1" w:rsidRDefault="009F05E6">
            <w:r>
              <w:t>Sidereal year</w:t>
            </w:r>
          </w:p>
        </w:tc>
        <w:tc>
          <w:tcPr>
            <w:tcW w:w="2160" w:type="dxa"/>
          </w:tcPr>
          <w:p w14:paraId="2CE7C914" w14:textId="77777777" w:rsidR="000168D1" w:rsidRDefault="009F05E6">
            <w:pPr>
              <w:cnfStyle w:val="000000010000" w:firstRow="0" w:lastRow="0" w:firstColumn="0" w:lastColumn="0" w:oddVBand="0" w:evenVBand="0" w:oddHBand="0" w:evenHBand="1" w:firstRowFirstColumn="0" w:firstRowLastColumn="0" w:lastRowFirstColumn="0" w:lastRowLastColumn="0"/>
            </w:pPr>
            <w:r>
              <w:t>13 months</w:t>
            </w:r>
          </w:p>
        </w:tc>
        <w:tc>
          <w:tcPr>
            <w:tcW w:w="2160" w:type="dxa"/>
          </w:tcPr>
          <w:p w14:paraId="5319DCD4" w14:textId="77777777" w:rsidR="000168D1" w:rsidRDefault="009F05E6">
            <w:pPr>
              <w:cnfStyle w:val="000000010000" w:firstRow="0" w:lastRow="0" w:firstColumn="0" w:lastColumn="0" w:oddVBand="0" w:evenVBand="0" w:oddHBand="0" w:evenHBand="1" w:firstRowFirstColumn="0" w:firstRowLastColumn="0" w:lastRowFirstColumn="0" w:lastRowLastColumn="0"/>
            </w:pPr>
            <w:r>
              <w:t>Prime</w:t>
            </w:r>
          </w:p>
        </w:tc>
        <w:tc>
          <w:tcPr>
            <w:tcW w:w="2160" w:type="dxa"/>
          </w:tcPr>
          <w:p w14:paraId="2239A5AE" w14:textId="77777777" w:rsidR="000168D1" w:rsidRDefault="009F05E6">
            <w:pPr>
              <w:cnfStyle w:val="000000010000" w:firstRow="0" w:lastRow="0" w:firstColumn="0" w:lastColumn="0" w:oddVBand="0" w:evenVBand="0" w:oddHBand="0" w:evenHBand="1" w:firstRowFirstColumn="0" w:firstRowLastColumn="0" w:lastRowFirstColumn="0" w:lastRowLastColumn="0"/>
            </w:pPr>
            <w:r>
              <w:t>Tier 5-7</w:t>
            </w:r>
          </w:p>
        </w:tc>
      </w:tr>
      <w:tr w:rsidR="000168D1" w14:paraId="0B0F3EEE"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6356AE" w14:textId="77777777" w:rsidR="000168D1" w:rsidRDefault="009F05E6">
            <w:proofErr w:type="spellStart"/>
            <w:r>
              <w:t>Saros</w:t>
            </w:r>
            <w:proofErr w:type="spellEnd"/>
            <w:r>
              <w:t xml:space="preserve"> eclipse</w:t>
            </w:r>
          </w:p>
        </w:tc>
        <w:tc>
          <w:tcPr>
            <w:tcW w:w="2160" w:type="dxa"/>
          </w:tcPr>
          <w:p w14:paraId="49013278" w14:textId="77777777" w:rsidR="000168D1" w:rsidRDefault="009F05E6">
            <w:pPr>
              <w:cnfStyle w:val="000000100000" w:firstRow="0" w:lastRow="0" w:firstColumn="0" w:lastColumn="0" w:oddVBand="0" w:evenVBand="0" w:oddHBand="1" w:evenHBand="0" w:firstRowFirstColumn="0" w:firstRowLastColumn="0" w:lastRowFirstColumn="0" w:lastRowLastColumn="0"/>
            </w:pPr>
            <w:r>
              <w:t>223 months</w:t>
            </w:r>
          </w:p>
        </w:tc>
        <w:tc>
          <w:tcPr>
            <w:tcW w:w="2160" w:type="dxa"/>
          </w:tcPr>
          <w:p w14:paraId="4DF9F697" w14:textId="77777777" w:rsidR="000168D1" w:rsidRDefault="009F05E6">
            <w:pPr>
              <w:cnfStyle w:val="000000100000" w:firstRow="0" w:lastRow="0" w:firstColumn="0" w:lastColumn="0" w:oddVBand="0" w:evenVBand="0" w:oddHBand="1" w:evenHBand="0" w:firstRowFirstColumn="0" w:firstRowLastColumn="0" w:lastRowFirstColumn="0" w:lastRowLastColumn="0"/>
            </w:pPr>
            <w:r>
              <w:t>Prime (irreducible)</w:t>
            </w:r>
          </w:p>
        </w:tc>
        <w:tc>
          <w:tcPr>
            <w:tcW w:w="2160" w:type="dxa"/>
          </w:tcPr>
          <w:p w14:paraId="0975E643" w14:textId="77777777" w:rsidR="000168D1" w:rsidRDefault="009F05E6">
            <w:pPr>
              <w:cnfStyle w:val="000000100000" w:firstRow="0" w:lastRow="0" w:firstColumn="0" w:lastColumn="0" w:oddVBand="0" w:evenVBand="0" w:oddHBand="1" w:evenHBand="0" w:firstRowFirstColumn="0" w:firstRowLastColumn="0" w:lastRowFirstColumn="0" w:lastRowLastColumn="0"/>
            </w:pPr>
            <w:r>
              <w:t>Tier 11-13</w:t>
            </w:r>
          </w:p>
        </w:tc>
      </w:tr>
      <w:tr w:rsidR="000168D1" w14:paraId="4A8BAD96" w14:textId="77777777" w:rsidTr="000168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EDF8D7" w14:textId="77777777" w:rsidR="000168D1" w:rsidRDefault="009F05E6">
            <w:proofErr w:type="spellStart"/>
            <w:r>
              <w:t>Metonic</w:t>
            </w:r>
            <w:proofErr w:type="spellEnd"/>
            <w:r>
              <w:t xml:space="preserve"> sync</w:t>
            </w:r>
          </w:p>
        </w:tc>
        <w:tc>
          <w:tcPr>
            <w:tcW w:w="2160" w:type="dxa"/>
          </w:tcPr>
          <w:p w14:paraId="5E703BC7" w14:textId="77777777" w:rsidR="000168D1" w:rsidRDefault="009F05E6">
            <w:pPr>
              <w:cnfStyle w:val="000000010000" w:firstRow="0" w:lastRow="0" w:firstColumn="0" w:lastColumn="0" w:oddVBand="0" w:evenVBand="0" w:oddHBand="0" w:evenHBand="1" w:firstRowFirstColumn="0" w:firstRowLastColumn="0" w:lastRowFirstColumn="0" w:lastRowLastColumn="0"/>
            </w:pPr>
            <w:r>
              <w:t>235 months</w:t>
            </w:r>
          </w:p>
        </w:tc>
        <w:tc>
          <w:tcPr>
            <w:tcW w:w="2160" w:type="dxa"/>
          </w:tcPr>
          <w:p w14:paraId="12B21BCF" w14:textId="77777777" w:rsidR="000168D1" w:rsidRDefault="009F05E6">
            <w:pPr>
              <w:cnfStyle w:val="000000010000" w:firstRow="0" w:lastRow="0" w:firstColumn="0" w:lastColumn="0" w:oddVBand="0" w:evenVBand="0" w:oddHBand="0" w:evenHBand="1" w:firstRowFirstColumn="0" w:firstRowLastColumn="0" w:lastRowFirstColumn="0" w:lastRowLastColumn="0"/>
            </w:pPr>
            <w:r>
              <w:t>5 × 47</w:t>
            </w:r>
          </w:p>
        </w:tc>
        <w:tc>
          <w:tcPr>
            <w:tcW w:w="2160" w:type="dxa"/>
          </w:tcPr>
          <w:p w14:paraId="55E197DC" w14:textId="77777777" w:rsidR="000168D1" w:rsidRDefault="009F05E6">
            <w:pPr>
              <w:cnfStyle w:val="000000010000" w:firstRow="0" w:lastRow="0" w:firstColumn="0" w:lastColumn="0" w:oddVBand="0" w:evenVBand="0" w:oddHBand="0" w:evenHBand="1" w:firstRowFirstColumn="0" w:firstRowLastColumn="0" w:lastRowFirstColumn="0" w:lastRowLastColumn="0"/>
            </w:pPr>
            <w:r>
              <w:t>Tier 11</w:t>
            </w:r>
          </w:p>
        </w:tc>
      </w:tr>
    </w:tbl>
    <w:p w14:paraId="6B8F2516" w14:textId="77777777" w:rsidR="000168D1" w:rsidRDefault="009F05E6">
      <w:r>
        <w:t xml:space="preserve">The </w:t>
      </w:r>
      <w:proofErr w:type="spellStart"/>
      <w:r>
        <w:t>Saros</w:t>
      </w:r>
      <w:proofErr w:type="spellEnd"/>
      <w:r>
        <w:t xml:space="preserve"> cycle at 223 months (prime) is particularly significant. It is irreducible — no smaller period captures the same eclipse pattern. This makes it a Tier 13+ operator, beyond routine observation and requiring long-term institutional memory. The fact that this cycle is encoded on the same tablet as the monthly calendar demonstrates fractal self-similarity: the same operators govern all scales.</w:t>
      </w:r>
    </w:p>
    <w:p w14:paraId="6D8EB5C6" w14:textId="77777777" w:rsidR="000168D1" w:rsidRDefault="009F05E6">
      <w:r>
        <w:t xml:space="preserve">The 18-19 year blocks identified by </w:t>
      </w:r>
      <w:proofErr w:type="spellStart"/>
      <w:r>
        <w:t>Grok</w:t>
      </w:r>
      <w:proofErr w:type="spellEnd"/>
      <w:r>
        <w:t xml:space="preserve"> encode the Gate oscillation: 18 = 2×3² (duality × transformation²) and 19 = prime (irreducible). The system breathes between structured and unstructured periods — a recursive rhythm that allows long-term prediction without rigid determinism.</w:t>
      </w:r>
    </w:p>
    <w:p w14:paraId="16E065A4" w14:textId="77777777" w:rsidR="000168D1" w:rsidRDefault="009F05E6">
      <w:r>
        <w:br w:type="page"/>
      </w:r>
    </w:p>
    <w:p w14:paraId="39A81008" w14:textId="77777777" w:rsidR="000168D1" w:rsidRDefault="009F05E6">
      <w:pPr>
        <w:pStyle w:val="Heading1"/>
      </w:pPr>
      <w:r>
        <w:t>9. The Fish Glyph as Orientation Operator</w:t>
      </w:r>
    </w:p>
    <w:p w14:paraId="7F7BD95F" w14:textId="77777777" w:rsidR="000168D1" w:rsidRDefault="009F05E6">
      <w:r>
        <w:t>Glyph 600 (the fish) appears throughout the tablet with a distinctive feature: orientation encodes phase direction.</w:t>
      </w:r>
    </w:p>
    <w:tbl>
      <w:tblPr>
        <w:tblStyle w:val="LightGrid-Accent1"/>
        <w:tblW w:w="0" w:type="auto"/>
        <w:tblLook w:val="04A0" w:firstRow="1" w:lastRow="0" w:firstColumn="1" w:lastColumn="0" w:noHBand="0" w:noVBand="1"/>
      </w:tblPr>
      <w:tblGrid>
        <w:gridCol w:w="2880"/>
        <w:gridCol w:w="2880"/>
        <w:gridCol w:w="2880"/>
      </w:tblGrid>
      <w:tr w:rsidR="000168D1" w14:paraId="2DA4EDEB" w14:textId="77777777" w:rsidTr="00016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4D4F02E1" w14:textId="77777777" w:rsidR="000168D1" w:rsidRDefault="009F05E6">
            <w:r>
              <w:t>Orientation</w:t>
            </w:r>
          </w:p>
        </w:tc>
        <w:tc>
          <w:tcPr>
            <w:tcW w:w="2880" w:type="dxa"/>
            <w:shd w:val="clear" w:color="auto" w:fill="D9E2F3"/>
          </w:tcPr>
          <w:p w14:paraId="6B2E44D5" w14:textId="77777777" w:rsidR="000168D1" w:rsidRDefault="009F05E6">
            <w:pPr>
              <w:cnfStyle w:val="100000000000" w:firstRow="1" w:lastRow="0" w:firstColumn="0" w:lastColumn="0" w:oddVBand="0" w:evenVBand="0" w:oddHBand="0" w:evenHBand="0" w:firstRowFirstColumn="0" w:firstRowLastColumn="0" w:lastRowFirstColumn="0" w:lastRowLastColumn="0"/>
            </w:pPr>
            <w:r>
              <w:t>Phase</w:t>
            </w:r>
          </w:p>
        </w:tc>
        <w:tc>
          <w:tcPr>
            <w:tcW w:w="2880" w:type="dxa"/>
            <w:shd w:val="clear" w:color="auto" w:fill="D9E2F3"/>
          </w:tcPr>
          <w:p w14:paraId="69138A13" w14:textId="77777777" w:rsidR="000168D1" w:rsidRDefault="009F05E6">
            <w:pPr>
              <w:cnfStyle w:val="100000000000" w:firstRow="1" w:lastRow="0" w:firstColumn="0" w:lastColumn="0" w:oddVBand="0" w:evenVBand="0" w:oddHBand="0" w:evenHBand="0" w:firstRowFirstColumn="0" w:firstRowLastColumn="0" w:lastRowFirstColumn="0" w:lastRowLastColumn="0"/>
            </w:pPr>
            <w:r>
              <w:t>GTM-CCS Operator</w:t>
            </w:r>
          </w:p>
        </w:tc>
      </w:tr>
      <w:tr w:rsidR="000168D1" w14:paraId="2F591BCD"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48233E" w14:textId="77777777" w:rsidR="000168D1" w:rsidRDefault="009F05E6">
            <w:r>
              <w:t>Head up</w:t>
            </w:r>
          </w:p>
        </w:tc>
        <w:tc>
          <w:tcPr>
            <w:tcW w:w="2880" w:type="dxa"/>
          </w:tcPr>
          <w:p w14:paraId="097CD752" w14:textId="77777777" w:rsidR="000168D1" w:rsidRDefault="009F05E6">
            <w:pPr>
              <w:cnfStyle w:val="000000100000" w:firstRow="0" w:lastRow="0" w:firstColumn="0" w:lastColumn="0" w:oddVBand="0" w:evenVBand="0" w:oddHBand="1" w:evenHBand="0" w:firstRowFirstColumn="0" w:firstRowLastColumn="0" w:lastRowFirstColumn="0" w:lastRowLastColumn="0"/>
            </w:pPr>
            <w:r>
              <w:t>Waxing (new to full)</w:t>
            </w:r>
          </w:p>
        </w:tc>
        <w:tc>
          <w:tcPr>
            <w:tcW w:w="2880" w:type="dxa"/>
          </w:tcPr>
          <w:p w14:paraId="155D1772" w14:textId="77777777" w:rsidR="000168D1" w:rsidRDefault="009F05E6">
            <w:pPr>
              <w:cnfStyle w:val="000000100000" w:firstRow="0" w:lastRow="0" w:firstColumn="0" w:lastColumn="0" w:oddVBand="0" w:evenVBand="0" w:oddHBand="1" w:evenHBand="0" w:firstRowFirstColumn="0" w:firstRowLastColumn="0" w:lastRowFirstColumn="0" w:lastRowLastColumn="0"/>
            </w:pPr>
            <w:r>
              <w:t>Divergence — 2-layer expanding</w:t>
            </w:r>
          </w:p>
        </w:tc>
      </w:tr>
      <w:tr w:rsidR="000168D1" w14:paraId="28307BFD" w14:textId="77777777" w:rsidTr="000168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8C4179" w14:textId="77777777" w:rsidR="000168D1" w:rsidRDefault="009F05E6">
            <w:r>
              <w:t>Head down</w:t>
            </w:r>
          </w:p>
        </w:tc>
        <w:tc>
          <w:tcPr>
            <w:tcW w:w="2880" w:type="dxa"/>
          </w:tcPr>
          <w:p w14:paraId="07B862B4" w14:textId="77777777" w:rsidR="000168D1" w:rsidRDefault="009F05E6">
            <w:pPr>
              <w:cnfStyle w:val="000000010000" w:firstRow="0" w:lastRow="0" w:firstColumn="0" w:lastColumn="0" w:oddVBand="0" w:evenVBand="0" w:oddHBand="0" w:evenHBand="1" w:firstRowFirstColumn="0" w:firstRowLastColumn="0" w:lastRowFirstColumn="0" w:lastRowLastColumn="0"/>
            </w:pPr>
            <w:r>
              <w:t>Waning (full to new)</w:t>
            </w:r>
          </w:p>
        </w:tc>
        <w:tc>
          <w:tcPr>
            <w:tcW w:w="2880" w:type="dxa"/>
          </w:tcPr>
          <w:p w14:paraId="47AF3928" w14:textId="77777777" w:rsidR="000168D1" w:rsidRDefault="009F05E6">
            <w:pPr>
              <w:cnfStyle w:val="000000010000" w:firstRow="0" w:lastRow="0" w:firstColumn="0" w:lastColumn="0" w:oddVBand="0" w:evenVBand="0" w:oddHBand="0" w:evenHBand="1" w:firstRowFirstColumn="0" w:firstRowLastColumn="0" w:lastRowFirstColumn="0" w:lastRowLastColumn="0"/>
            </w:pPr>
            <w:r>
              <w:t>Convergence — π-layer integrating</w:t>
            </w:r>
          </w:p>
        </w:tc>
      </w:tr>
    </w:tbl>
    <w:p w14:paraId="6711652F" w14:textId="77777777" w:rsidR="000168D1" w:rsidRDefault="009F05E6">
      <w:r>
        <w:t>The fish glyph is not a narrative element ("there was a fish"). It is a mini-Gate — an orientation operator that tracks cycle direction. It tells the reader not what night it is, but which way the cycle is moving. This is the arrow on the spiral, the signpost at the Gate.</w:t>
      </w:r>
    </w:p>
    <w:p w14:paraId="2163B8D5" w14:textId="77777777" w:rsidR="000168D1" w:rsidRDefault="009F05E6">
      <w:r>
        <w:t xml:space="preserve">This discovery is independently verifiable: any researcher can examine high-resolution images of the </w:t>
      </w:r>
      <w:proofErr w:type="spellStart"/>
      <w:r>
        <w:t>Mamari</w:t>
      </w:r>
      <w:proofErr w:type="spellEnd"/>
      <w:r>
        <w:t xml:space="preserve"> tablet and confirm that fish glyphs in the waxing section are head-up, while those in the waning section are head-down. The orientation is not random; it is a functional operator.</w:t>
      </w:r>
    </w:p>
    <w:p w14:paraId="09B6876B" w14:textId="77777777" w:rsidR="000168D1" w:rsidRDefault="009F05E6">
      <w:r>
        <w:br w:type="page"/>
      </w:r>
    </w:p>
    <w:p w14:paraId="3A75C4A6" w14:textId="77777777" w:rsidR="000168D1" w:rsidRDefault="009F05E6">
      <w:pPr>
        <w:pStyle w:val="Heading1"/>
      </w:pPr>
      <w:r>
        <w:t>10. Composite Glyphs as Compound Operators</w:t>
      </w:r>
    </w:p>
    <w:p w14:paraId="5305F7A9" w14:textId="77777777" w:rsidR="000168D1" w:rsidRDefault="009F05E6">
      <w:proofErr w:type="spellStart"/>
      <w:r>
        <w:t>Barthel's</w:t>
      </w:r>
      <w:proofErr w:type="spellEnd"/>
      <w:r>
        <w:t xml:space="preserve"> transliteration includes composite glyphs joined by dots (e.g., 380.001, 670.8.78.711). In GTM-CCS, these are not "compound words" but function pipelines — sequences of operators executed in order.</w:t>
      </w:r>
    </w:p>
    <w:p w14:paraId="26FAE2B1" w14:textId="77777777" w:rsidR="000168D1" w:rsidRDefault="009F05E6">
      <w:r>
        <w:t>Example: 670.8.78.711</w:t>
      </w:r>
    </w:p>
    <w:p w14:paraId="01D7610B" w14:textId="77777777" w:rsidR="000168D1" w:rsidRDefault="009F05E6">
      <w:pPr>
        <w:pStyle w:val="ListBullet"/>
      </w:pPr>
      <w:r>
        <w:rPr>
          <w:b/>
        </w:rPr>
        <w:t xml:space="preserve">670: </w:t>
      </w:r>
      <w:r>
        <w:t>Celestial observer — "observe the sky"</w:t>
      </w:r>
    </w:p>
    <w:p w14:paraId="3EB29413" w14:textId="77777777" w:rsidR="000168D1" w:rsidRDefault="009F05E6">
      <w:pPr>
        <w:pStyle w:val="ListBullet"/>
      </w:pPr>
      <w:r>
        <w:rPr>
          <w:b/>
        </w:rPr>
        <w:t xml:space="preserve">8: </w:t>
      </w:r>
      <w:r>
        <w:t>Directional/temporal modifier — "at this angle/time"</w:t>
      </w:r>
    </w:p>
    <w:p w14:paraId="63E775C5" w14:textId="77777777" w:rsidR="000168D1" w:rsidRDefault="009F05E6">
      <w:pPr>
        <w:pStyle w:val="ListBullet"/>
      </w:pPr>
      <w:r>
        <w:rPr>
          <w:b/>
        </w:rPr>
        <w:t xml:space="preserve">78: </w:t>
      </w:r>
      <w:r>
        <w:t>Ritual context — "in this ceremony"</w:t>
      </w:r>
    </w:p>
    <w:p w14:paraId="419DE161" w14:textId="77777777" w:rsidR="000168D1" w:rsidRDefault="009F05E6">
      <w:pPr>
        <w:pStyle w:val="ListBullet"/>
      </w:pPr>
      <w:r>
        <w:rPr>
          <w:b/>
        </w:rPr>
        <w:t xml:space="preserve">711: </w:t>
      </w:r>
      <w:r>
        <w:t>Boundary marker — "cycle transition point"</w:t>
      </w:r>
    </w:p>
    <w:p w14:paraId="60DC25C5" w14:textId="77777777" w:rsidR="000168D1" w:rsidRDefault="009F05E6">
      <w:r>
        <w:t>The dot (.) is the binding operator — it sequences execution. The composite is not read as a sentence but executed as a protocol: observe → modify → ritualize → boundary. The scribe reads it as a sequence of operations, not a string of phonemes.</w:t>
      </w:r>
    </w:p>
    <w:p w14:paraId="78A1E71B" w14:textId="77777777" w:rsidR="000168D1" w:rsidRDefault="009F05E6">
      <w:r>
        <w:t>This explains why Rongorongo has resisted phonetic decipherment: it was never designed for phonetic reading. The glyphs are operators in a functional language, not symbols in a natural language. The "meaning" is in the execution, not the content.</w:t>
      </w:r>
    </w:p>
    <w:p w14:paraId="762BF044" w14:textId="77777777" w:rsidR="000168D1" w:rsidRDefault="009F05E6">
      <w:r>
        <w:br w:type="page"/>
      </w:r>
    </w:p>
    <w:p w14:paraId="0EAD4B7B" w14:textId="77777777" w:rsidR="000168D1" w:rsidRDefault="009F05E6">
      <w:pPr>
        <w:pStyle w:val="Heading1"/>
      </w:pPr>
      <w:r>
        <w:t>11. Multi-Protocol System Architecture</w:t>
      </w:r>
    </w:p>
    <w:p w14:paraId="29355B04" w14:textId="77777777" w:rsidR="000168D1" w:rsidRDefault="009F05E6">
      <w:r>
        <w:t xml:space="preserve">The </w:t>
      </w:r>
      <w:proofErr w:type="spellStart"/>
      <w:r>
        <w:t>Mamari</w:t>
      </w:r>
      <w:proofErr w:type="spellEnd"/>
      <w:r>
        <w:t xml:space="preserve"> tablet is not "a lunar calendar." It is a runtime environment for multiple protocols operating at different resolutions simultaneously. Each section uses the same glyph inventory but at different scales.</w:t>
      </w:r>
    </w:p>
    <w:tbl>
      <w:tblPr>
        <w:tblStyle w:val="LightGrid-Accent1"/>
        <w:tblW w:w="0" w:type="auto"/>
        <w:tblLook w:val="04A0" w:firstRow="1" w:lastRow="0" w:firstColumn="1" w:lastColumn="0" w:noHBand="0" w:noVBand="1"/>
      </w:tblPr>
      <w:tblGrid>
        <w:gridCol w:w="2160"/>
        <w:gridCol w:w="2212"/>
        <w:gridCol w:w="2160"/>
        <w:gridCol w:w="2160"/>
      </w:tblGrid>
      <w:tr w:rsidR="000168D1" w14:paraId="6783FF86" w14:textId="77777777" w:rsidTr="00016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9E2F3"/>
          </w:tcPr>
          <w:p w14:paraId="7EF17E2B" w14:textId="77777777" w:rsidR="000168D1" w:rsidRDefault="009F05E6">
            <w:r>
              <w:t>Section</w:t>
            </w:r>
          </w:p>
        </w:tc>
        <w:tc>
          <w:tcPr>
            <w:tcW w:w="2160" w:type="dxa"/>
            <w:shd w:val="clear" w:color="auto" w:fill="D9E2F3"/>
          </w:tcPr>
          <w:p w14:paraId="11823009" w14:textId="77777777" w:rsidR="000168D1" w:rsidRDefault="009F05E6">
            <w:pPr>
              <w:cnfStyle w:val="100000000000" w:firstRow="1" w:lastRow="0" w:firstColumn="0" w:lastColumn="0" w:oddVBand="0" w:evenVBand="0" w:oddHBand="0" w:evenHBand="0" w:firstRowFirstColumn="0" w:firstRowLastColumn="0" w:lastRowFirstColumn="0" w:lastRowLastColumn="0"/>
            </w:pPr>
            <w:r>
              <w:t>Protocol</w:t>
            </w:r>
          </w:p>
        </w:tc>
        <w:tc>
          <w:tcPr>
            <w:tcW w:w="2160" w:type="dxa"/>
            <w:shd w:val="clear" w:color="auto" w:fill="D9E2F3"/>
          </w:tcPr>
          <w:p w14:paraId="4A7978D9" w14:textId="77777777" w:rsidR="000168D1" w:rsidRDefault="009F05E6">
            <w:pPr>
              <w:cnfStyle w:val="100000000000" w:firstRow="1" w:lastRow="0" w:firstColumn="0" w:lastColumn="0" w:oddVBand="0" w:evenVBand="0" w:oddHBand="0" w:evenHBand="0" w:firstRowFirstColumn="0" w:firstRowLastColumn="0" w:lastRowFirstColumn="0" w:lastRowLastColumn="0"/>
            </w:pPr>
            <w:r>
              <w:t>Resolution</w:t>
            </w:r>
          </w:p>
        </w:tc>
        <w:tc>
          <w:tcPr>
            <w:tcW w:w="2160" w:type="dxa"/>
            <w:shd w:val="clear" w:color="auto" w:fill="D9E2F3"/>
          </w:tcPr>
          <w:p w14:paraId="311E03C9" w14:textId="77777777" w:rsidR="000168D1" w:rsidRDefault="009F05E6">
            <w:pPr>
              <w:cnfStyle w:val="100000000000" w:firstRow="1" w:lastRow="0" w:firstColumn="0" w:lastColumn="0" w:oddVBand="0" w:evenVBand="0" w:oddHBand="0" w:evenHBand="0" w:firstRowFirstColumn="0" w:firstRowLastColumn="0" w:lastRowFirstColumn="0" w:lastRowLastColumn="0"/>
            </w:pPr>
            <w:r>
              <w:t>Operators</w:t>
            </w:r>
          </w:p>
        </w:tc>
      </w:tr>
      <w:tr w:rsidR="000168D1" w14:paraId="2AB73A13"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EE98C9" w14:textId="77777777" w:rsidR="000168D1" w:rsidRDefault="009F05E6">
            <w:r>
              <w:t>Ca1-Ca5</w:t>
            </w:r>
          </w:p>
        </w:tc>
        <w:tc>
          <w:tcPr>
            <w:tcW w:w="2160" w:type="dxa"/>
          </w:tcPr>
          <w:p w14:paraId="55684071" w14:textId="77777777" w:rsidR="000168D1" w:rsidRDefault="009F05E6">
            <w:pPr>
              <w:cnfStyle w:val="000000100000" w:firstRow="0" w:lastRow="0" w:firstColumn="0" w:lastColumn="0" w:oddVBand="0" w:evenVBand="0" w:oddHBand="1" w:evenHBand="0" w:firstRowFirstColumn="0" w:firstRowLastColumn="0" w:lastRowFirstColumn="0" w:lastRowLastColumn="0"/>
            </w:pPr>
            <w:r>
              <w:t>Initialization/Header</w:t>
            </w:r>
          </w:p>
        </w:tc>
        <w:tc>
          <w:tcPr>
            <w:tcW w:w="2160" w:type="dxa"/>
          </w:tcPr>
          <w:p w14:paraId="1B7D1EB2" w14:textId="77777777" w:rsidR="000168D1" w:rsidRDefault="009F05E6">
            <w:pPr>
              <w:cnfStyle w:val="000000100000" w:firstRow="0" w:lastRow="0" w:firstColumn="0" w:lastColumn="0" w:oddVBand="0" w:evenVBand="0" w:oddHBand="1" w:evenHBand="0" w:firstRowFirstColumn="0" w:firstRowLastColumn="0" w:lastRowFirstColumn="0" w:lastRowLastColumn="0"/>
            </w:pPr>
            <w:r>
              <w:t>Tier 2-3</w:t>
            </w:r>
          </w:p>
        </w:tc>
        <w:tc>
          <w:tcPr>
            <w:tcW w:w="2160" w:type="dxa"/>
          </w:tcPr>
          <w:p w14:paraId="2A0F5EDE" w14:textId="77777777" w:rsidR="000168D1" w:rsidRDefault="009F05E6">
            <w:pPr>
              <w:cnfStyle w:val="000000100000" w:firstRow="0" w:lastRow="0" w:firstColumn="0" w:lastColumn="0" w:oddVBand="0" w:evenVBand="0" w:oddHBand="1" w:evenHBand="0" w:firstRowFirstColumn="0" w:firstRowLastColumn="0" w:lastRowFirstColumn="0" w:lastRowLastColumn="0"/>
            </w:pPr>
            <w:r>
              <w:t>Origin markers, system check</w:t>
            </w:r>
          </w:p>
        </w:tc>
      </w:tr>
      <w:tr w:rsidR="000168D1" w14:paraId="79C1D4BB" w14:textId="77777777" w:rsidTr="000168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3BB30F" w14:textId="77777777" w:rsidR="000168D1" w:rsidRDefault="009F05E6">
            <w:r>
              <w:t>Ca6-Ca8</w:t>
            </w:r>
          </w:p>
        </w:tc>
        <w:tc>
          <w:tcPr>
            <w:tcW w:w="2160" w:type="dxa"/>
          </w:tcPr>
          <w:p w14:paraId="57511D37" w14:textId="77777777" w:rsidR="000168D1" w:rsidRDefault="009F05E6">
            <w:pPr>
              <w:cnfStyle w:val="000000010000" w:firstRow="0" w:lastRow="0" w:firstColumn="0" w:lastColumn="0" w:oddVBand="0" w:evenVBand="0" w:oddHBand="0" w:evenHBand="1" w:firstRowFirstColumn="0" w:firstRowLastColumn="0" w:lastRowFirstColumn="0" w:lastRowLastColumn="0"/>
            </w:pPr>
            <w:r>
              <w:t>Lunar month tracking</w:t>
            </w:r>
          </w:p>
        </w:tc>
        <w:tc>
          <w:tcPr>
            <w:tcW w:w="2160" w:type="dxa"/>
          </w:tcPr>
          <w:p w14:paraId="5DDAADDB" w14:textId="77777777" w:rsidR="000168D1" w:rsidRDefault="009F05E6">
            <w:pPr>
              <w:cnfStyle w:val="000000010000" w:firstRow="0" w:lastRow="0" w:firstColumn="0" w:lastColumn="0" w:oddVBand="0" w:evenVBand="0" w:oddHBand="0" w:evenHBand="1" w:firstRowFirstColumn="0" w:firstRowLastColumn="0" w:lastRowFirstColumn="0" w:lastRowLastColumn="0"/>
            </w:pPr>
            <w:r>
              <w:t>Tier 3-5</w:t>
            </w:r>
          </w:p>
        </w:tc>
        <w:tc>
          <w:tcPr>
            <w:tcW w:w="2160" w:type="dxa"/>
          </w:tcPr>
          <w:p w14:paraId="294C9376" w14:textId="77777777" w:rsidR="000168D1" w:rsidRDefault="009F05E6">
            <w:pPr>
              <w:cnfStyle w:val="000000010000" w:firstRow="0" w:lastRow="0" w:firstColumn="0" w:lastColumn="0" w:oddVBand="0" w:evenVBand="0" w:oddHBand="0" w:evenHBand="1" w:firstRowFirstColumn="0" w:firstRowLastColumn="0" w:lastRowFirstColumn="0" w:lastRowLastColumn="0"/>
            </w:pPr>
            <w:r>
              <w:t>3-layer cycle, Gate gaps</w:t>
            </w:r>
          </w:p>
        </w:tc>
      </w:tr>
      <w:tr w:rsidR="000168D1" w14:paraId="1427B541"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0AF2FC" w14:textId="77777777" w:rsidR="000168D1" w:rsidRDefault="009F05E6">
            <w:r>
              <w:t>Ca9-Ca14</w:t>
            </w:r>
          </w:p>
        </w:tc>
        <w:tc>
          <w:tcPr>
            <w:tcW w:w="2160" w:type="dxa"/>
          </w:tcPr>
          <w:p w14:paraId="6B187A59" w14:textId="77777777" w:rsidR="000168D1" w:rsidRDefault="009F05E6">
            <w:pPr>
              <w:cnfStyle w:val="000000100000" w:firstRow="0" w:lastRow="0" w:firstColumn="0" w:lastColumn="0" w:oddVBand="0" w:evenVBand="0" w:oddHBand="1" w:evenHBand="0" w:firstRowFirstColumn="0" w:firstRowLastColumn="0" w:lastRowFirstColumn="0" w:lastRowLastColumn="0"/>
            </w:pPr>
            <w:r>
              <w:t>Annual/sidereal</w:t>
            </w:r>
          </w:p>
        </w:tc>
        <w:tc>
          <w:tcPr>
            <w:tcW w:w="2160" w:type="dxa"/>
          </w:tcPr>
          <w:p w14:paraId="251A8924" w14:textId="77777777" w:rsidR="000168D1" w:rsidRDefault="009F05E6">
            <w:pPr>
              <w:cnfStyle w:val="000000100000" w:firstRow="0" w:lastRow="0" w:firstColumn="0" w:lastColumn="0" w:oddVBand="0" w:evenVBand="0" w:oddHBand="1" w:evenHBand="0" w:firstRowFirstColumn="0" w:firstRowLastColumn="0" w:lastRowFirstColumn="0" w:lastRowLastColumn="0"/>
            </w:pPr>
            <w:r>
              <w:t>Tier 5-7</w:t>
            </w:r>
          </w:p>
        </w:tc>
        <w:tc>
          <w:tcPr>
            <w:tcW w:w="2160" w:type="dxa"/>
          </w:tcPr>
          <w:p w14:paraId="060BF7A2" w14:textId="77777777" w:rsidR="000168D1" w:rsidRDefault="009F05E6">
            <w:pPr>
              <w:cnfStyle w:val="000000100000" w:firstRow="0" w:lastRow="0" w:firstColumn="0" w:lastColumn="0" w:oddVBand="0" w:evenVBand="0" w:oddHBand="1" w:evenHBand="0" w:firstRowFirstColumn="0" w:firstRowLastColumn="0" w:lastRowFirstColumn="0" w:lastRowLastColumn="0"/>
            </w:pPr>
            <w:r>
              <w:t>13 moons, stellar ascents</w:t>
            </w:r>
          </w:p>
        </w:tc>
      </w:tr>
      <w:tr w:rsidR="000168D1" w14:paraId="79FD20BB" w14:textId="77777777" w:rsidTr="000168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614951" w14:textId="77777777" w:rsidR="000168D1" w:rsidRDefault="009F05E6">
            <w:r>
              <w:t>Cb1-Cb7</w:t>
            </w:r>
          </w:p>
        </w:tc>
        <w:tc>
          <w:tcPr>
            <w:tcW w:w="2160" w:type="dxa"/>
          </w:tcPr>
          <w:p w14:paraId="794685EF" w14:textId="77777777" w:rsidR="000168D1" w:rsidRDefault="009F05E6">
            <w:pPr>
              <w:cnfStyle w:val="000000010000" w:firstRow="0" w:lastRow="0" w:firstColumn="0" w:lastColumn="0" w:oddVBand="0" w:evenVBand="0" w:oddHBand="0" w:evenHBand="1" w:firstRowFirstColumn="0" w:firstRowLastColumn="0" w:lastRowFirstColumn="0" w:lastRowLastColumn="0"/>
            </w:pPr>
            <w:r>
              <w:t>Multi-year eclipse</w:t>
            </w:r>
          </w:p>
        </w:tc>
        <w:tc>
          <w:tcPr>
            <w:tcW w:w="2160" w:type="dxa"/>
          </w:tcPr>
          <w:p w14:paraId="218D160A" w14:textId="77777777" w:rsidR="000168D1" w:rsidRDefault="009F05E6">
            <w:pPr>
              <w:cnfStyle w:val="000000010000" w:firstRow="0" w:lastRow="0" w:firstColumn="0" w:lastColumn="0" w:oddVBand="0" w:evenVBand="0" w:oddHBand="0" w:evenHBand="1" w:firstRowFirstColumn="0" w:firstRowLastColumn="0" w:lastRowFirstColumn="0" w:lastRowLastColumn="0"/>
            </w:pPr>
            <w:r>
              <w:t>Tier 7-11</w:t>
            </w:r>
          </w:p>
        </w:tc>
        <w:tc>
          <w:tcPr>
            <w:tcW w:w="2160" w:type="dxa"/>
          </w:tcPr>
          <w:p w14:paraId="3C934CFB" w14:textId="77777777" w:rsidR="000168D1" w:rsidRDefault="009F05E6">
            <w:pPr>
              <w:cnfStyle w:val="000000010000" w:firstRow="0" w:lastRow="0" w:firstColumn="0" w:lastColumn="0" w:oddVBand="0" w:evenVBand="0" w:oddHBand="0" w:evenHBand="1" w:firstRowFirstColumn="0" w:firstRowLastColumn="0" w:lastRowFirstColumn="0" w:lastRowLastColumn="0"/>
            </w:pPr>
            <w:proofErr w:type="spellStart"/>
            <w:r>
              <w:t>Saros</w:t>
            </w:r>
            <w:proofErr w:type="spellEnd"/>
            <w:r>
              <w:t>/</w:t>
            </w:r>
            <w:proofErr w:type="spellStart"/>
            <w:r>
              <w:t>Metonic</w:t>
            </w:r>
            <w:proofErr w:type="spellEnd"/>
            <w:r>
              <w:t>, recursive blocks</w:t>
            </w:r>
          </w:p>
        </w:tc>
      </w:tr>
      <w:tr w:rsidR="000168D1" w14:paraId="4D5F8788"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DDA72E" w14:textId="77777777" w:rsidR="000168D1" w:rsidRDefault="009F05E6">
            <w:r>
              <w:t>Cb8-Cb14</w:t>
            </w:r>
          </w:p>
        </w:tc>
        <w:tc>
          <w:tcPr>
            <w:tcW w:w="2160" w:type="dxa"/>
          </w:tcPr>
          <w:p w14:paraId="18639CA7" w14:textId="77777777" w:rsidR="000168D1" w:rsidRDefault="009F05E6">
            <w:pPr>
              <w:cnfStyle w:val="000000100000" w:firstRow="0" w:lastRow="0" w:firstColumn="0" w:lastColumn="0" w:oddVBand="0" w:evenVBand="0" w:oddHBand="1" w:evenHBand="0" w:firstRowFirstColumn="0" w:firstRowLastColumn="0" w:lastRowFirstColumn="0" w:lastRowLastColumn="0"/>
            </w:pPr>
            <w:r>
              <w:t>Ritual/Integration</w:t>
            </w:r>
          </w:p>
        </w:tc>
        <w:tc>
          <w:tcPr>
            <w:tcW w:w="2160" w:type="dxa"/>
          </w:tcPr>
          <w:p w14:paraId="407D7FC5" w14:textId="77777777" w:rsidR="000168D1" w:rsidRDefault="009F05E6">
            <w:pPr>
              <w:cnfStyle w:val="000000100000" w:firstRow="0" w:lastRow="0" w:firstColumn="0" w:lastColumn="0" w:oddVBand="0" w:evenVBand="0" w:oddHBand="1" w:evenHBand="0" w:firstRowFirstColumn="0" w:firstRowLastColumn="0" w:lastRowFirstColumn="0" w:lastRowLastColumn="0"/>
            </w:pPr>
            <w:r>
              <w:t>Tier 11+</w:t>
            </w:r>
          </w:p>
        </w:tc>
        <w:tc>
          <w:tcPr>
            <w:tcW w:w="2160" w:type="dxa"/>
          </w:tcPr>
          <w:p w14:paraId="299B7EE3" w14:textId="77777777" w:rsidR="000168D1" w:rsidRDefault="009F05E6">
            <w:pPr>
              <w:cnfStyle w:val="000000100000" w:firstRow="0" w:lastRow="0" w:firstColumn="0" w:lastColumn="0" w:oddVBand="0" w:evenVBand="0" w:oddHBand="1" w:evenHBand="0" w:firstRowFirstColumn="0" w:firstRowLastColumn="0" w:lastRowFirstColumn="0" w:lastRowLastColumn="0"/>
            </w:pPr>
            <w:r>
              <w:t>Chant notation, ceremony triggers</w:t>
            </w:r>
          </w:p>
        </w:tc>
      </w:tr>
    </w:tbl>
    <w:p w14:paraId="64DF47AB" w14:textId="77777777" w:rsidR="000168D1" w:rsidRDefault="009F05E6">
      <w:r>
        <w:t>The scribe does not "read" the tablet linearly. They navigate it — jumping between sections based on current astronomical and ritual context. The tablet is a database of operators, not a narrative text. The reader is the query engine; the tablet is the index.</w:t>
      </w:r>
    </w:p>
    <w:p w14:paraId="64CD4E19" w14:textId="77777777" w:rsidR="000168D1" w:rsidRDefault="009F05E6">
      <w:r>
        <w:br w:type="page"/>
      </w:r>
    </w:p>
    <w:p w14:paraId="333A1343" w14:textId="77777777" w:rsidR="000168D1" w:rsidRDefault="009F05E6">
      <w:pPr>
        <w:pStyle w:val="Heading1"/>
      </w:pPr>
      <w:r>
        <w:t>12. Gate Output: Classification and Audit</w:t>
      </w:r>
    </w:p>
    <w:p w14:paraId="5601C6AF" w14:textId="77777777" w:rsidR="000168D1" w:rsidRDefault="009F05E6">
      <w:pPr>
        <w:pStyle w:val="Heading2"/>
      </w:pPr>
      <w:r>
        <w:t>12.1 Classification</w:t>
      </w:r>
    </w:p>
    <w:p w14:paraId="1D2FFD25" w14:textId="77777777" w:rsidR="000168D1" w:rsidRDefault="009F05E6">
      <w:r>
        <w:t>FUNCTIONAL_GATE</w:t>
      </w:r>
    </w:p>
    <w:p w14:paraId="550F388D" w14:textId="77777777" w:rsidR="000168D1" w:rsidRDefault="009F05E6">
      <w:r>
        <w:t xml:space="preserve">The </w:t>
      </w:r>
      <w:proofErr w:type="spellStart"/>
      <w:r>
        <w:t>Mamari</w:t>
      </w:r>
      <w:proofErr w:type="spellEnd"/>
      <w:r>
        <w:t xml:space="preserve"> tablet is a coherent, operational system that encodes GTM-CCS operators at multiple resolutions. It is not a message to be decoded but a protocol to be executed. The "meaning" is in the interaction between reader, tablet, sky, and ritual — not in individual glyphs.</w:t>
      </w:r>
    </w:p>
    <w:p w14:paraId="43F95755" w14:textId="77777777" w:rsidR="000168D1" w:rsidRDefault="009F05E6">
      <w:pPr>
        <w:pStyle w:val="Heading2"/>
      </w:pPr>
      <w:r>
        <w:t>12.2 Recommended Action</w:t>
      </w:r>
    </w:p>
    <w:p w14:paraId="4F98371D" w14:textId="77777777" w:rsidR="000168D1" w:rsidRDefault="009F05E6">
      <w:r>
        <w:t>ALLOW with DOWNGRADE_AUTONOMY</w:t>
      </w:r>
    </w:p>
    <w:p w14:paraId="1D872835" w14:textId="77777777" w:rsidR="000168D1" w:rsidRDefault="009F05E6">
      <w:pPr>
        <w:pStyle w:val="ListBullet"/>
      </w:pPr>
      <w:r>
        <w:t>ALLOW: The structural analysis confirms the tablet's functional purpose. It is a valid tuning reference.</w:t>
      </w:r>
    </w:p>
    <w:p w14:paraId="651E3678" w14:textId="77777777" w:rsidR="000168D1" w:rsidRDefault="009F05E6">
      <w:pPr>
        <w:pStyle w:val="ListBullet"/>
      </w:pPr>
      <w:r>
        <w:t>DOWNGRADE_AUTONOMY: The full protocol requires human π-layer integration (chanting, ritual, astronomical observation). The tablet alone is 2-layer — it generates but does not integrate. AI can analyze structure but cannot perform the protocol.</w:t>
      </w:r>
    </w:p>
    <w:p w14:paraId="531C82CB" w14:textId="77777777" w:rsidR="000168D1" w:rsidRDefault="009F05E6">
      <w:pPr>
        <w:pStyle w:val="Heading2"/>
      </w:pPr>
      <w:r>
        <w:t>12.3 Audit Notes</w:t>
      </w:r>
    </w:p>
    <w:p w14:paraId="07D2807D" w14:textId="77777777" w:rsidR="000168D1" w:rsidRDefault="009F05E6">
      <w:pPr>
        <w:pStyle w:val="ListBullet"/>
      </w:pPr>
      <w:r>
        <w:t xml:space="preserve">The </w:t>
      </w:r>
      <w:proofErr w:type="spellStart"/>
      <w:r>
        <w:t>López</w:t>
      </w:r>
      <w:proofErr w:type="spellEnd"/>
      <w:r>
        <w:t xml:space="preserve"> Tapia/</w:t>
      </w:r>
      <w:proofErr w:type="spellStart"/>
      <w:r>
        <w:t>Grok</w:t>
      </w:r>
      <w:proofErr w:type="spellEnd"/>
      <w:r>
        <w:t xml:space="preserve"> blind test validates that structural operators are universal — recognizable without cultural context.</w:t>
      </w:r>
    </w:p>
    <w:p w14:paraId="3197ED9D" w14:textId="77777777" w:rsidR="000168D1" w:rsidRDefault="009F05E6">
      <w:pPr>
        <w:pStyle w:val="ListBullet"/>
      </w:pPr>
      <w:r>
        <w:t xml:space="preserve">The </w:t>
      </w:r>
      <w:proofErr w:type="spellStart"/>
      <w:r>
        <w:t>Pozdniakov</w:t>
      </w:r>
      <w:proofErr w:type="spellEnd"/>
      <w:r>
        <w:t xml:space="preserve"> reduction (~52 core signs) suggests the glyph inventory was optimized for the operator set, not expanded for semantic richness.</w:t>
      </w:r>
    </w:p>
    <w:p w14:paraId="2C836E56" w14:textId="77777777" w:rsidR="000168D1" w:rsidRDefault="009F05E6">
      <w:pPr>
        <w:pStyle w:val="ListBullet"/>
      </w:pPr>
      <w:r>
        <w:t>The physical dimensions (29×19 cm, 28 lines) encode the same operators as the glyph sequence — substrate and content are phase-locked.</w:t>
      </w:r>
    </w:p>
    <w:p w14:paraId="492CABF6" w14:textId="77777777" w:rsidR="000168D1" w:rsidRDefault="009F05E6">
      <w:pPr>
        <w:pStyle w:val="ListBullet"/>
      </w:pPr>
      <w:r>
        <w:t>The fish glyph orientation (head up/down) is independently verifiable through high-resolution imaging.</w:t>
      </w:r>
    </w:p>
    <w:p w14:paraId="51CDEA96" w14:textId="77777777" w:rsidR="000168D1" w:rsidRDefault="009F05E6">
      <w:pPr>
        <w:pStyle w:val="ListBullet"/>
      </w:pPr>
      <w:r>
        <w:t>The composite glyph pipeline can be formalized as a functional grammar with binding operators.</w:t>
      </w:r>
    </w:p>
    <w:p w14:paraId="63AD5DBF" w14:textId="77777777" w:rsidR="000168D1" w:rsidRDefault="009F05E6">
      <w:r>
        <w:br w:type="page"/>
      </w:r>
    </w:p>
    <w:p w14:paraId="0CF25FC0" w14:textId="77777777" w:rsidR="000168D1" w:rsidRDefault="009F05E6">
      <w:pPr>
        <w:pStyle w:val="Heading1"/>
      </w:pPr>
      <w:r>
        <w:t>13. Convergence with Prior Research</w:t>
      </w:r>
    </w:p>
    <w:p w14:paraId="495009CA" w14:textId="77777777" w:rsidR="000168D1" w:rsidRDefault="009F05E6">
      <w:r>
        <w:t>This analysis does not replace prior work but situates it within a unified framework. Each prior contribution identified genuine structural features that the GTM-CCS framework now explains:</w:t>
      </w:r>
    </w:p>
    <w:tbl>
      <w:tblPr>
        <w:tblStyle w:val="LightGrid-Accent1"/>
        <w:tblW w:w="0" w:type="auto"/>
        <w:tblLook w:val="04A0" w:firstRow="1" w:lastRow="0" w:firstColumn="1" w:lastColumn="0" w:noHBand="0" w:noVBand="1"/>
      </w:tblPr>
      <w:tblGrid>
        <w:gridCol w:w="2880"/>
        <w:gridCol w:w="2880"/>
        <w:gridCol w:w="2880"/>
      </w:tblGrid>
      <w:tr w:rsidR="000168D1" w14:paraId="6D14D5D6" w14:textId="77777777" w:rsidTr="00016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1E945756" w14:textId="77777777" w:rsidR="000168D1" w:rsidRDefault="009F05E6">
            <w:r>
              <w:t>Prior Research</w:t>
            </w:r>
          </w:p>
        </w:tc>
        <w:tc>
          <w:tcPr>
            <w:tcW w:w="2880" w:type="dxa"/>
            <w:shd w:val="clear" w:color="auto" w:fill="D9E2F3"/>
          </w:tcPr>
          <w:p w14:paraId="3BE746A0" w14:textId="77777777" w:rsidR="000168D1" w:rsidRDefault="009F05E6">
            <w:pPr>
              <w:cnfStyle w:val="100000000000" w:firstRow="1" w:lastRow="0" w:firstColumn="0" w:lastColumn="0" w:oddVBand="0" w:evenVBand="0" w:oddHBand="0" w:evenHBand="0" w:firstRowFirstColumn="0" w:firstRowLastColumn="0" w:lastRowFirstColumn="0" w:lastRowLastColumn="0"/>
            </w:pPr>
            <w:r>
              <w:t>Finding</w:t>
            </w:r>
          </w:p>
        </w:tc>
        <w:tc>
          <w:tcPr>
            <w:tcW w:w="2880" w:type="dxa"/>
            <w:shd w:val="clear" w:color="auto" w:fill="D9E2F3"/>
          </w:tcPr>
          <w:p w14:paraId="328D2D6F" w14:textId="77777777" w:rsidR="000168D1" w:rsidRDefault="009F05E6">
            <w:pPr>
              <w:cnfStyle w:val="100000000000" w:firstRow="1" w:lastRow="0" w:firstColumn="0" w:lastColumn="0" w:oddVBand="0" w:evenVBand="0" w:oddHBand="0" w:evenHBand="0" w:firstRowFirstColumn="0" w:firstRowLastColumn="0" w:lastRowFirstColumn="0" w:lastRowLastColumn="0"/>
            </w:pPr>
            <w:r>
              <w:t>GTM-CCS Interpretation</w:t>
            </w:r>
          </w:p>
        </w:tc>
      </w:tr>
      <w:tr w:rsidR="000168D1" w14:paraId="64483832"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5C5CC4" w14:textId="77777777" w:rsidR="000168D1" w:rsidRDefault="009F05E6">
            <w:proofErr w:type="spellStart"/>
            <w:r>
              <w:t>Barthel</w:t>
            </w:r>
            <w:proofErr w:type="spellEnd"/>
            <w:r>
              <w:t xml:space="preserve"> 1958</w:t>
            </w:r>
          </w:p>
        </w:tc>
        <w:tc>
          <w:tcPr>
            <w:tcW w:w="2880" w:type="dxa"/>
          </w:tcPr>
          <w:p w14:paraId="195FA5F2" w14:textId="77777777" w:rsidR="000168D1" w:rsidRDefault="009F05E6">
            <w:pPr>
              <w:cnfStyle w:val="000000100000" w:firstRow="0" w:lastRow="0" w:firstColumn="0" w:lastColumn="0" w:oddVBand="0" w:evenVBand="0" w:oddHBand="1" w:evenHBand="0" w:firstRowFirstColumn="0" w:firstRowLastColumn="0" w:lastRowFirstColumn="0" w:lastRowLastColumn="0"/>
            </w:pPr>
            <w:r>
              <w:t>Numerical transliteration system</w:t>
            </w:r>
          </w:p>
        </w:tc>
        <w:tc>
          <w:tcPr>
            <w:tcW w:w="2880" w:type="dxa"/>
          </w:tcPr>
          <w:p w14:paraId="056DE71F" w14:textId="77777777" w:rsidR="000168D1" w:rsidRDefault="009F05E6">
            <w:pPr>
              <w:cnfStyle w:val="000000100000" w:firstRow="0" w:lastRow="0" w:firstColumn="0" w:lastColumn="0" w:oddVBand="0" w:evenVBand="0" w:oddHBand="1" w:evenHBand="0" w:firstRowFirstColumn="0" w:firstRowLastColumn="0" w:lastRowFirstColumn="0" w:lastRowLastColumn="0"/>
            </w:pPr>
            <w:r>
              <w:t>2-layer encoding — raw operator sequence</w:t>
            </w:r>
          </w:p>
        </w:tc>
      </w:tr>
      <w:tr w:rsidR="000168D1" w14:paraId="23F3182D" w14:textId="77777777" w:rsidTr="000168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A0CF40" w14:textId="77777777" w:rsidR="000168D1" w:rsidRDefault="009F05E6">
            <w:proofErr w:type="spellStart"/>
            <w:r>
              <w:t>Pozdniakov</w:t>
            </w:r>
            <w:proofErr w:type="spellEnd"/>
            <w:r>
              <w:t xml:space="preserve"> 1996</w:t>
            </w:r>
          </w:p>
        </w:tc>
        <w:tc>
          <w:tcPr>
            <w:tcW w:w="2880" w:type="dxa"/>
          </w:tcPr>
          <w:p w14:paraId="513B921B" w14:textId="77777777" w:rsidR="000168D1" w:rsidRDefault="009F05E6">
            <w:pPr>
              <w:cnfStyle w:val="000000010000" w:firstRow="0" w:lastRow="0" w:firstColumn="0" w:lastColumn="0" w:oddVBand="0" w:evenVBand="0" w:oddHBand="0" w:evenHBand="1" w:firstRowFirstColumn="0" w:firstRowLastColumn="0" w:lastRowFirstColumn="0" w:lastRowLastColumn="0"/>
            </w:pPr>
            <w:r>
              <w:t>~52 core signs, positional constraints</w:t>
            </w:r>
          </w:p>
        </w:tc>
        <w:tc>
          <w:tcPr>
            <w:tcW w:w="2880" w:type="dxa"/>
          </w:tcPr>
          <w:p w14:paraId="7560F710" w14:textId="77777777" w:rsidR="000168D1" w:rsidRDefault="009F05E6">
            <w:pPr>
              <w:cnfStyle w:val="000000010000" w:firstRow="0" w:lastRow="0" w:firstColumn="0" w:lastColumn="0" w:oddVBand="0" w:evenVBand="0" w:oddHBand="0" w:evenHBand="1" w:firstRowFirstColumn="0" w:firstRowLastColumn="0" w:lastRowFirstColumn="0" w:lastRowLastColumn="0"/>
            </w:pPr>
            <w:r>
              <w:t>Operator optimization — minimal viable set for universal grammar</w:t>
            </w:r>
          </w:p>
        </w:tc>
      </w:tr>
      <w:tr w:rsidR="000168D1" w14:paraId="43C3E9B3" w14:textId="77777777" w:rsidTr="00016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F33776" w14:textId="77777777" w:rsidR="000168D1" w:rsidRDefault="009F05E6">
            <w:r>
              <w:t>Fischer 1997</w:t>
            </w:r>
          </w:p>
        </w:tc>
        <w:tc>
          <w:tcPr>
            <w:tcW w:w="2880" w:type="dxa"/>
          </w:tcPr>
          <w:p w14:paraId="70A37DC9" w14:textId="77777777" w:rsidR="000168D1" w:rsidRDefault="009F05E6">
            <w:pPr>
              <w:cnfStyle w:val="000000100000" w:firstRow="0" w:lastRow="0" w:firstColumn="0" w:lastColumn="0" w:oddVBand="0" w:evenVBand="0" w:oddHBand="1" w:evenHBand="0" w:firstRowFirstColumn="0" w:firstRowLastColumn="0" w:lastRowFirstColumn="0" w:lastRowLastColumn="0"/>
            </w:pPr>
            <w:r>
              <w:t>Rongorongo as mnemonic device</w:t>
            </w:r>
          </w:p>
        </w:tc>
        <w:tc>
          <w:tcPr>
            <w:tcW w:w="2880" w:type="dxa"/>
          </w:tcPr>
          <w:p w14:paraId="4B1D72A4" w14:textId="77777777" w:rsidR="000168D1" w:rsidRDefault="009F05E6">
            <w:pPr>
              <w:cnfStyle w:val="000000100000" w:firstRow="0" w:lastRow="0" w:firstColumn="0" w:lastColumn="0" w:oddVBand="0" w:evenVBand="0" w:oddHBand="1" w:evenHBand="0" w:firstRowFirstColumn="0" w:firstRowLastColumn="0" w:lastRowFirstColumn="0" w:lastRowLastColumn="0"/>
            </w:pPr>
            <w:r>
              <w:t>π-layer integration — oral tradition as runtime</w:t>
            </w:r>
          </w:p>
        </w:tc>
      </w:tr>
      <w:tr w:rsidR="000168D1" w14:paraId="3B108017" w14:textId="77777777" w:rsidTr="000168D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955FD" w14:textId="77777777" w:rsidR="000168D1" w:rsidRDefault="009F05E6">
            <w:proofErr w:type="spellStart"/>
            <w:r>
              <w:t>López</w:t>
            </w:r>
            <w:proofErr w:type="spellEnd"/>
            <w:r>
              <w:t xml:space="preserve"> Tapia/</w:t>
            </w:r>
            <w:proofErr w:type="spellStart"/>
            <w:r>
              <w:t>Grok</w:t>
            </w:r>
            <w:proofErr w:type="spellEnd"/>
            <w:r>
              <w:t xml:space="preserve"> 2025</w:t>
            </w:r>
          </w:p>
        </w:tc>
        <w:tc>
          <w:tcPr>
            <w:tcW w:w="2880" w:type="dxa"/>
          </w:tcPr>
          <w:p w14:paraId="0B949C36" w14:textId="77777777" w:rsidR="000168D1" w:rsidRDefault="009F05E6">
            <w:pPr>
              <w:cnfStyle w:val="000000010000" w:firstRow="0" w:lastRow="0" w:firstColumn="0" w:lastColumn="0" w:oddVBand="0" w:evenVBand="0" w:oddHBand="0" w:evenHBand="1" w:firstRowFirstColumn="0" w:firstRowLastColumn="0" w:lastRowFirstColumn="0" w:lastRowLastColumn="0"/>
            </w:pPr>
            <w:r>
              <w:t>Blind identification of astronomical cycles</w:t>
            </w:r>
          </w:p>
        </w:tc>
        <w:tc>
          <w:tcPr>
            <w:tcW w:w="2880" w:type="dxa"/>
          </w:tcPr>
          <w:p w14:paraId="5F397A2A" w14:textId="77777777" w:rsidR="000168D1" w:rsidRDefault="009F05E6">
            <w:pPr>
              <w:cnfStyle w:val="000000010000" w:firstRow="0" w:lastRow="0" w:firstColumn="0" w:lastColumn="0" w:oddVBand="0" w:evenVBand="0" w:oddHBand="0" w:evenHBand="1" w:firstRowFirstColumn="0" w:firstRowLastColumn="0" w:lastRowFirstColumn="0" w:lastRowLastColumn="0"/>
            </w:pPr>
            <w:r>
              <w:t>Universal operators recognized without cultural context</w:t>
            </w:r>
          </w:p>
        </w:tc>
      </w:tr>
    </w:tbl>
    <w:p w14:paraId="030EBC3D" w14:textId="77777777" w:rsidR="000168D1" w:rsidRDefault="009F05E6">
      <w:r>
        <w:t>The convergence is not coincidental. If structural operators are universal, then any rigorous analysis of a coherent symbolic system will identify them — regardless of the analyst's theoretical framework. The GTM-CCS model simply provides the vocabulary to name what prior researchers found but could not fully articulate.</w:t>
      </w:r>
    </w:p>
    <w:p w14:paraId="67582761" w14:textId="77777777" w:rsidR="000168D1" w:rsidRDefault="009F05E6">
      <w:r>
        <w:br w:type="page"/>
      </w:r>
    </w:p>
    <w:p w14:paraId="3BEBAF6C" w14:textId="77777777" w:rsidR="000168D1" w:rsidRDefault="009F05E6">
      <w:pPr>
        <w:pStyle w:val="Heading1"/>
      </w:pPr>
      <w:r>
        <w:t>14. Open Questions and Future Work</w:t>
      </w:r>
    </w:p>
    <w:p w14:paraId="5BB5A464" w14:textId="77777777" w:rsidR="000168D1" w:rsidRDefault="009F05E6">
      <w:pPr>
        <w:pStyle w:val="ListBullet"/>
      </w:pPr>
      <w:r>
        <w:rPr>
          <w:b/>
        </w:rPr>
        <w:t>Non-Calendrical Lines (Ca1-Ca5, Cb8-Cb14):</w:t>
      </w:r>
      <w:r>
        <w:t xml:space="preserve"> What protocols do they encode? Are they initialization sequences, ritual triggers, or domain-specific operator sets for agriculture, navigation, or genealogy?</w:t>
      </w:r>
    </w:p>
    <w:p w14:paraId="62706838" w14:textId="77777777" w:rsidR="000168D1" w:rsidRDefault="009F05E6">
      <w:pPr>
        <w:pStyle w:val="ListBullet"/>
      </w:pPr>
      <w:r>
        <w:rPr>
          <w:b/>
        </w:rPr>
        <w:t>Oral Tradition Mapping:</w:t>
      </w:r>
      <w:r>
        <w:t xml:space="preserve"> Can chant structures be reconstructed from glyph patterns? Is there a one-to-one mapping between glyph sequence and chant rhythm?</w:t>
      </w:r>
    </w:p>
    <w:p w14:paraId="0D5B08A9" w14:textId="77777777" w:rsidR="000168D1" w:rsidRDefault="009F05E6">
      <w:pPr>
        <w:pStyle w:val="ListBullet"/>
      </w:pPr>
      <w:proofErr w:type="spellStart"/>
      <w:r>
        <w:rPr>
          <w:b/>
        </w:rPr>
        <w:t>Te</w:t>
      </w:r>
      <w:proofErr w:type="spellEnd"/>
      <w:r>
        <w:rPr>
          <w:b/>
        </w:rPr>
        <w:t xml:space="preserve"> </w:t>
      </w:r>
      <w:proofErr w:type="spellStart"/>
      <w:r>
        <w:rPr>
          <w:b/>
        </w:rPr>
        <w:t>Pahu</w:t>
      </w:r>
      <w:proofErr w:type="spellEnd"/>
      <w:r>
        <w:rPr>
          <w:b/>
        </w:rPr>
        <w:t xml:space="preserve"> Training Protocol:</w:t>
      </w:r>
      <w:r>
        <w:t xml:space="preserve"> How did scribes learn to navigate the multi-resolution system? Was there a formal curriculum, or was knowledge transmitted through apprenticeship and ritual initiation?</w:t>
      </w:r>
    </w:p>
    <w:p w14:paraId="7867E67A" w14:textId="77777777" w:rsidR="000168D1" w:rsidRDefault="009F05E6">
      <w:pPr>
        <w:pStyle w:val="ListBullet"/>
      </w:pPr>
      <w:r>
        <w:rPr>
          <w:b/>
        </w:rPr>
        <w:t>Composite Grammar Formalization:</w:t>
      </w:r>
      <w:r>
        <w:t xml:space="preserve"> Can the dot-notation pipeline be formalized as a complete functional grammar? Is there a "Rongorongo assembly language" that can be parsed and executed?</w:t>
      </w:r>
    </w:p>
    <w:p w14:paraId="4501C12B" w14:textId="77777777" w:rsidR="000168D1" w:rsidRDefault="009F05E6">
      <w:pPr>
        <w:pStyle w:val="ListBullet"/>
      </w:pPr>
      <w:r>
        <w:rPr>
          <w:b/>
        </w:rPr>
        <w:t>Cross-Cultural Structural Comparison:</w:t>
      </w:r>
      <w:r>
        <w:t xml:space="preserve"> How does the </w:t>
      </w:r>
      <w:proofErr w:type="spellStart"/>
      <w:r>
        <w:t>Mamari</w:t>
      </w:r>
      <w:proofErr w:type="spellEnd"/>
      <w:r>
        <w:t xml:space="preserve"> protocol compare to Phaistos Disc, Babylonian ephemerides, Maya codices, quipu, and Indus seals? Do they all encode the same operators at different resolutions?</w:t>
      </w:r>
    </w:p>
    <w:p w14:paraId="6F5C6935" w14:textId="77777777" w:rsidR="000168D1" w:rsidRDefault="009F05E6">
      <w:pPr>
        <w:pStyle w:val="ListBullet"/>
      </w:pPr>
      <w:r>
        <w:rPr>
          <w:b/>
        </w:rPr>
        <w:t>Empirical Validation:</w:t>
      </w:r>
      <w:r>
        <w:t xml:space="preserve"> Can the framework predict previously unidentified structural features in Rongorongo tablets? If so, this would constitute a falsifiable test of the model's predictive power.</w:t>
      </w:r>
    </w:p>
    <w:p w14:paraId="473D073F" w14:textId="77777777" w:rsidR="000168D1" w:rsidRDefault="009F05E6">
      <w:r>
        <w:br w:type="page"/>
      </w:r>
    </w:p>
    <w:p w14:paraId="0B4BD26F" w14:textId="77777777" w:rsidR="000168D1" w:rsidRDefault="009F05E6">
      <w:pPr>
        <w:pStyle w:val="Heading1"/>
      </w:pPr>
      <w:r>
        <w:t>15. References</w:t>
      </w:r>
    </w:p>
    <w:p w14:paraId="76D497EE" w14:textId="77777777" w:rsidR="000168D1" w:rsidRDefault="009F05E6">
      <w:pPr>
        <w:pStyle w:val="ListBullet"/>
      </w:pPr>
      <w:proofErr w:type="spellStart"/>
      <w:r>
        <w:t>Barthel</w:t>
      </w:r>
      <w:proofErr w:type="spellEnd"/>
      <w:r>
        <w:t xml:space="preserve">, T. S. (1958). </w:t>
      </w:r>
      <w:proofErr w:type="spellStart"/>
      <w:r>
        <w:t>Grundlagen</w:t>
      </w:r>
      <w:proofErr w:type="spellEnd"/>
      <w:r>
        <w:t xml:space="preserve"> </w:t>
      </w:r>
      <w:proofErr w:type="spellStart"/>
      <w:r>
        <w:t>zur</w:t>
      </w:r>
      <w:proofErr w:type="spellEnd"/>
      <w:r>
        <w:t xml:space="preserve"> </w:t>
      </w:r>
      <w:proofErr w:type="spellStart"/>
      <w:r>
        <w:t>Entzifferung</w:t>
      </w:r>
      <w:proofErr w:type="spellEnd"/>
      <w:r>
        <w:t xml:space="preserve"> der </w:t>
      </w:r>
      <w:proofErr w:type="spellStart"/>
      <w:r>
        <w:t>Osterinselschrift</w:t>
      </w:r>
      <w:proofErr w:type="spellEnd"/>
      <w:r>
        <w:t xml:space="preserve">. Hamburg: Cram, de </w:t>
      </w:r>
      <w:proofErr w:type="spellStart"/>
      <w:r>
        <w:t>Gruyter</w:t>
      </w:r>
      <w:proofErr w:type="spellEnd"/>
      <w:r>
        <w:t xml:space="preserve"> &amp; Co.</w:t>
      </w:r>
    </w:p>
    <w:p w14:paraId="54D57AB9" w14:textId="77777777" w:rsidR="000168D1" w:rsidRDefault="009F05E6">
      <w:pPr>
        <w:pStyle w:val="ListBullet"/>
      </w:pPr>
      <w:r>
        <w:t xml:space="preserve">Fischer, S. R. (1997). </w:t>
      </w:r>
      <w:proofErr w:type="spellStart"/>
      <w:r>
        <w:t>RongoRongo</w:t>
      </w:r>
      <w:proofErr w:type="spellEnd"/>
      <w:r>
        <w:t>, the Easter Island Script: History, Traditions, Texts. Oxford: Clarendon Press.</w:t>
      </w:r>
    </w:p>
    <w:p w14:paraId="1CD1EF63" w14:textId="77777777" w:rsidR="000168D1" w:rsidRDefault="009F05E6">
      <w:pPr>
        <w:pStyle w:val="ListBullet"/>
      </w:pPr>
      <w:r>
        <w:t xml:space="preserve">Guy, J. B. M. (1990). On the Lunar Calendar of Tablet </w:t>
      </w:r>
      <w:proofErr w:type="spellStart"/>
      <w:r>
        <w:t>Mamari</w:t>
      </w:r>
      <w:proofErr w:type="spellEnd"/>
      <w:r>
        <w:t xml:space="preserve">. Journal de la </w:t>
      </w:r>
      <w:proofErr w:type="spellStart"/>
      <w:r>
        <w:t>Société</w:t>
      </w:r>
      <w:proofErr w:type="spellEnd"/>
      <w:r>
        <w:t xml:space="preserve"> des </w:t>
      </w:r>
      <w:proofErr w:type="spellStart"/>
      <w:r>
        <w:t>Océanistes</w:t>
      </w:r>
      <w:proofErr w:type="spellEnd"/>
      <w:r>
        <w:t>, 91(2), 135-149.</w:t>
      </w:r>
    </w:p>
    <w:p w14:paraId="3CD97D2F" w14:textId="77777777" w:rsidR="000168D1" w:rsidRDefault="009F05E6">
      <w:pPr>
        <w:pStyle w:val="ListBullet"/>
      </w:pPr>
      <w:proofErr w:type="spellStart"/>
      <w:r>
        <w:t>López</w:t>
      </w:r>
      <w:proofErr w:type="spellEnd"/>
      <w:r>
        <w:t xml:space="preserve"> Tapia, A. (2025). The </w:t>
      </w:r>
      <w:proofErr w:type="spellStart"/>
      <w:r>
        <w:t>Mamari</w:t>
      </w:r>
      <w:proofErr w:type="spellEnd"/>
      <w:r>
        <w:t xml:space="preserve"> Tablet as Cosmic Clock: A Structural Analysis of Rongorongo Calendrical Content. arXiv:2508.07357 [</w:t>
      </w:r>
      <w:proofErr w:type="spellStart"/>
      <w:r>
        <w:t>cs.CL</w:t>
      </w:r>
      <w:proofErr w:type="spellEnd"/>
      <w:r>
        <w:t>].</w:t>
      </w:r>
    </w:p>
    <w:p w14:paraId="7EA45434" w14:textId="77777777" w:rsidR="000168D1" w:rsidRDefault="009F05E6">
      <w:pPr>
        <w:pStyle w:val="ListBullet"/>
      </w:pPr>
      <w:proofErr w:type="spellStart"/>
      <w:r>
        <w:t>Pozdniakov</w:t>
      </w:r>
      <w:proofErr w:type="spellEnd"/>
      <w:r>
        <w:t xml:space="preserve">, K. (1996). Les Bases du </w:t>
      </w:r>
      <w:proofErr w:type="spellStart"/>
      <w:r>
        <w:t>Déchiffrement</w:t>
      </w:r>
      <w:proofErr w:type="spellEnd"/>
      <w:r>
        <w:t xml:space="preserve"> de </w:t>
      </w:r>
      <w:proofErr w:type="spellStart"/>
      <w:r>
        <w:t>l'Écriture</w:t>
      </w:r>
      <w:proofErr w:type="spellEnd"/>
      <w:r>
        <w:t xml:space="preserve"> de </w:t>
      </w:r>
      <w:proofErr w:type="spellStart"/>
      <w:r>
        <w:t>l'Île</w:t>
      </w:r>
      <w:proofErr w:type="spellEnd"/>
      <w:r>
        <w:t xml:space="preserve"> de </w:t>
      </w:r>
      <w:proofErr w:type="spellStart"/>
      <w:r>
        <w:t>Pâques</w:t>
      </w:r>
      <w:proofErr w:type="spellEnd"/>
      <w:r>
        <w:t xml:space="preserve">. Journal de la </w:t>
      </w:r>
      <w:proofErr w:type="spellStart"/>
      <w:r>
        <w:t>Société</w:t>
      </w:r>
      <w:proofErr w:type="spellEnd"/>
      <w:r>
        <w:t xml:space="preserve"> des </w:t>
      </w:r>
      <w:proofErr w:type="spellStart"/>
      <w:r>
        <w:t>Océanistes</w:t>
      </w:r>
      <w:proofErr w:type="spellEnd"/>
      <w:r>
        <w:t>, 103(2), 289-303.</w:t>
      </w:r>
    </w:p>
    <w:p w14:paraId="013F50D2" w14:textId="77777777" w:rsidR="000168D1" w:rsidRDefault="009F05E6">
      <w:pPr>
        <w:pStyle w:val="ListBullet"/>
      </w:pPr>
      <w:proofErr w:type="spellStart"/>
      <w:r>
        <w:t>Pozdniakov</w:t>
      </w:r>
      <w:proofErr w:type="spellEnd"/>
      <w:r>
        <w:t xml:space="preserve">, K., &amp; </w:t>
      </w:r>
      <w:proofErr w:type="spellStart"/>
      <w:r>
        <w:t>Pozdniakov</w:t>
      </w:r>
      <w:proofErr w:type="spellEnd"/>
      <w:r>
        <w:t>, I. (2007). Rapanui Writing and the Rapanui Language: Preliminary Results of a Statistical Analysis. Forum for Anthropology and Culture, 3, 125-150.</w:t>
      </w:r>
    </w:p>
    <w:p w14:paraId="750C3A6A" w14:textId="77777777" w:rsidR="000168D1" w:rsidRDefault="009F05E6">
      <w:pPr>
        <w:pStyle w:val="ListBullet"/>
      </w:pPr>
      <w:r>
        <w:t xml:space="preserve">Routledge, K. (1919). The Mystery of Easter Island: The Story of an Expedition. London: </w:t>
      </w:r>
      <w:proofErr w:type="spellStart"/>
      <w:r>
        <w:t>Sifton</w:t>
      </w:r>
      <w:proofErr w:type="spellEnd"/>
      <w:r>
        <w:t xml:space="preserve">, </w:t>
      </w:r>
      <w:proofErr w:type="spellStart"/>
      <w:r>
        <w:t>Praed</w:t>
      </w:r>
      <w:proofErr w:type="spellEnd"/>
      <w:r>
        <w:t xml:space="preserve"> &amp; Co.</w:t>
      </w:r>
    </w:p>
    <w:p w14:paraId="7129E234" w14:textId="77777777" w:rsidR="000168D1" w:rsidRDefault="009F05E6">
      <w:pPr>
        <w:pStyle w:val="ListBullet"/>
      </w:pPr>
      <w:r>
        <w:t>GTM Research Group. (2026). GTM-CCS Universal Model v5.6: Ledger Core + NS-YM Mainframe + CP-2.0-Full-Resolution. Unpublished manuscript.</w:t>
      </w:r>
    </w:p>
    <w:p w14:paraId="6ED7C745" w14:textId="77777777" w:rsidR="000168D1" w:rsidRDefault="000168D1"/>
    <w:p w14:paraId="67048EEF" w14:textId="77777777" w:rsidR="000168D1" w:rsidRDefault="000168D1"/>
    <w:p w14:paraId="34EC642E" w14:textId="77777777" w:rsidR="000168D1" w:rsidRDefault="009F05E6">
      <w:r>
        <w:t>—</w:t>
      </w:r>
    </w:p>
    <w:p w14:paraId="6BCC0E20" w14:textId="77777777" w:rsidR="000168D1" w:rsidRDefault="009F05E6">
      <w:r>
        <w:rPr>
          <w:i/>
          <w:color w:val="646464"/>
        </w:rPr>
        <w:t>"Systemic failures are architectural, not moral — fix the gates, and the machine secures itself."</w:t>
      </w:r>
    </w:p>
    <w:p w14:paraId="0E46E487" w14:textId="77777777" w:rsidR="000168D1" w:rsidRDefault="000168D1"/>
    <w:p w14:paraId="50B9CF1B" w14:textId="77777777" w:rsidR="000168D1" w:rsidRDefault="009F05E6">
      <w:r>
        <w:rPr>
          <w:color w:val="808080"/>
          <w:sz w:val="16"/>
        </w:rPr>
        <w:t xml:space="preserve">GTM-CCS Structural Archaeology | </w:t>
      </w:r>
      <w:proofErr w:type="spellStart"/>
      <w:r>
        <w:rPr>
          <w:color w:val="808080"/>
          <w:sz w:val="16"/>
        </w:rPr>
        <w:t>Mamari</w:t>
      </w:r>
      <w:proofErr w:type="spellEnd"/>
      <w:r>
        <w:rPr>
          <w:color w:val="808080"/>
          <w:sz w:val="16"/>
        </w:rPr>
        <w:t xml:space="preserve"> Tablet Analysis | 2026-07-08</w:t>
      </w:r>
    </w:p>
    <w:sectPr w:rsidR="000168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2637932">
    <w:abstractNumId w:val="8"/>
  </w:num>
  <w:num w:numId="2" w16cid:durableId="1824736029">
    <w:abstractNumId w:val="6"/>
  </w:num>
  <w:num w:numId="3" w16cid:durableId="1883976453">
    <w:abstractNumId w:val="5"/>
  </w:num>
  <w:num w:numId="4" w16cid:durableId="1684936954">
    <w:abstractNumId w:val="4"/>
  </w:num>
  <w:num w:numId="5" w16cid:durableId="625962877">
    <w:abstractNumId w:val="7"/>
  </w:num>
  <w:num w:numId="6" w16cid:durableId="2046904277">
    <w:abstractNumId w:val="3"/>
  </w:num>
  <w:num w:numId="7" w16cid:durableId="1129276860">
    <w:abstractNumId w:val="2"/>
  </w:num>
  <w:num w:numId="8" w16cid:durableId="198399546">
    <w:abstractNumId w:val="1"/>
  </w:num>
  <w:num w:numId="9" w16cid:durableId="349181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3"/>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8D1"/>
    <w:rsid w:val="00034616"/>
    <w:rsid w:val="0006063C"/>
    <w:rsid w:val="0015074B"/>
    <w:rsid w:val="0029639D"/>
    <w:rsid w:val="00326F90"/>
    <w:rsid w:val="00480944"/>
    <w:rsid w:val="009F05E6"/>
    <w:rsid w:val="00AA1D8D"/>
    <w:rsid w:val="00B47730"/>
    <w:rsid w:val="00CB0664"/>
    <w:rsid w:val="00E02581"/>
    <w:rsid w:val="00F341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58672"/>
  <w14:defaultImageDpi w14:val="300"/>
  <w15:docId w15:val="{0928BA76-067C-F642-A283-BBE399E03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3142</Words>
  <Characters>17910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Suck Me</cp:lastModifiedBy>
  <cp:revision>2</cp:revision>
  <dcterms:created xsi:type="dcterms:W3CDTF">2026-07-08T22:24:00Z</dcterms:created>
  <dcterms:modified xsi:type="dcterms:W3CDTF">2026-07-08T22:24:00Z</dcterms:modified>
  <cp:category/>
</cp:coreProperties>
</file>