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Grundtextzentriert"/>
        <w:rPr/>
      </w:pPr>
      <w:r>
        <w:rPr/>
      </w:r>
    </w:p>
    <w:p>
      <w:pPr>
        <w:pStyle w:val="Grundtextzentriert"/>
        <w:rPr/>
      </w:pPr>
      <w:r>
        <w:rPr/>
      </w:r>
    </w:p>
    <w:p>
      <w:pPr>
        <w:pStyle w:val="Grundtextzentriert"/>
        <w:rPr/>
      </w:pPr>
      <w:r>
        <w:rPr/>
      </w:r>
    </w:p>
    <w:p>
      <w:pPr>
        <w:pStyle w:val="Grundtextzentriert"/>
        <w:rPr/>
      </w:pPr>
      <w:r>
        <w:rPr/>
        <w:drawing>
          <wp:inline distT="0" distB="0" distL="0" distR="0">
            <wp:extent cx="4105275" cy="95631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2"/>
                    <a:stretch>
                      <a:fillRect/>
                    </a:stretch>
                  </pic:blipFill>
                  <pic:spPr bwMode="auto">
                    <a:xfrm>
                      <a:off x="0" y="0"/>
                      <a:ext cx="4105275" cy="956310"/>
                    </a:xfrm>
                    <a:prstGeom prst="rect">
                      <a:avLst/>
                    </a:prstGeom>
                  </pic:spPr>
                </pic:pic>
              </a:graphicData>
            </a:graphic>
          </wp:inline>
        </w:drawing>
      </w:r>
    </w:p>
    <w:p>
      <w:pPr>
        <w:pStyle w:val="Grundtextzentriert"/>
        <w:rPr/>
      </w:pPr>
      <w:r>
        <w:rPr/>
        <w:t>Thema:</w:t>
      </w:r>
    </w:p>
    <w:p>
      <w:pPr>
        <w:pStyle w:val="Grundtextzentriert"/>
        <w:rPr/>
      </w:pPr>
      <w:r>
        <w:rPr/>
      </w:r>
    </w:p>
    <w:p>
      <w:pPr>
        <w:pStyle w:val="Grundtextzentriert"/>
        <w:rPr>
          <w:b/>
          <w:b/>
          <w:bCs/>
        </w:rPr>
      </w:pPr>
      <w:r>
        <w:rPr>
          <w:b/>
          <w:bCs/>
        </w:rPr>
        <w:t>Bereitstellung und Test der Software „Progress Monitor“ zum Monitoring und zur Analyse von Dateikonvertierungen für den elektronischen Datenaustausch (EDI)</w:t>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zentriert"/>
        <w:rPr/>
      </w:pPr>
      <w:r>
        <w:rPr>
          <w:rStyle w:val="Grundzfett"/>
        </w:rPr>
        <w:t>Praxisprojekt</w:t>
      </w:r>
    </w:p>
    <w:p>
      <w:pPr>
        <w:pStyle w:val="Grundtextzentriert"/>
        <w:rPr/>
      </w:pPr>
      <w:r>
        <w:rPr/>
      </w:r>
    </w:p>
    <w:p>
      <w:pPr>
        <w:pStyle w:val="Grundtextzentriert"/>
        <w:rPr/>
      </w:pPr>
      <w:r>
        <w:rPr/>
      </w:r>
    </w:p>
    <w:p>
      <w:pPr>
        <w:pStyle w:val="Grundtextzentriert"/>
        <w:rPr>
          <w:u w:val="double"/>
        </w:rPr>
      </w:pPr>
      <w:r>
        <w:rPr>
          <w:u w:val="double"/>
        </w:rPr>
      </w:r>
    </w:p>
    <w:p>
      <w:pPr>
        <w:pStyle w:val="Grundtextzentriert"/>
        <w:rPr>
          <w:u w:val="double"/>
        </w:rPr>
      </w:pPr>
      <w:r>
        <w:rPr>
          <w:u w:val="double"/>
        </w:rPr>
      </w:r>
    </w:p>
    <w:p>
      <w:pPr>
        <w:pStyle w:val="Grundtextzentriert"/>
        <w:rPr/>
      </w:pPr>
      <w:r>
        <w:rPr/>
        <w:t>Fachbereich I – Wirtschafts</w:t>
        <w:noBreakHyphen/>
        <w:t xml:space="preserve"> und Gesellschaftswissenschaften</w:t>
      </w:r>
    </w:p>
    <w:p>
      <w:pPr>
        <w:pStyle w:val="Grundtextzentriert"/>
        <w:rPr/>
      </w:pPr>
      <w:r>
        <w:rPr/>
        <w:t>Studiengang Wirtschaftsinformatik Online</w:t>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Einrckung"/>
        <w:rPr/>
      </w:pPr>
      <w:r>
        <w:rPr/>
        <w:t>Betreuender Dozent:</w:t>
        <w:tab/>
        <w:tab/>
        <w:t>Prof. Dr. Ing. Alexander Huber</w:t>
      </w:r>
    </w:p>
    <w:p>
      <w:pPr>
        <w:pStyle w:val="GrundtextEinrckung"/>
        <w:rPr/>
      </w:pPr>
      <w:r>
        <w:rPr/>
        <w:t xml:space="preserve">Betreuer im Unternehmen: </w:t>
        <w:tab/>
        <w:t>Antje Galinsky</w:t>
      </w:r>
    </w:p>
    <w:p>
      <w:pPr>
        <w:pStyle w:val="GrundtextEinrckung"/>
        <w:rPr/>
      </w:pPr>
      <w:r>
        <w:rPr/>
      </w:r>
    </w:p>
    <w:p>
      <w:pPr>
        <w:pStyle w:val="GrundtextEinrckung"/>
        <w:ind w:left="2835" w:hanging="2835"/>
        <w:rPr/>
      </w:pPr>
      <w:r>
        <w:rPr/>
        <w:t>vorgelegt von:</w:t>
        <w:tab/>
        <w:tab/>
        <w:t>Michael Wischniewski</w:t>
        <w:br/>
        <w:t>Matrikelnummer: 917983</w:t>
        <w:br/>
        <w:t>Kemnitzer Chaussee 71</w:t>
        <w:br/>
        <w:t>14542 Werder</w:t>
        <w:br/>
        <w:t>+49 151 22784419</w:t>
        <w:br/>
      </w:r>
      <w:r>
        <w:rPr>
          <w:rStyle w:val="Grundzkursiv"/>
          <w:i w:val="false"/>
        </w:rPr>
        <w:t>E</w:t>
        <w:noBreakHyphen/>
        <w:t>Mail:</w:t>
      </w:r>
      <w:r>
        <w:rPr/>
        <w:t xml:space="preserve"> s76826@bht</w:t>
        <w:noBreakHyphen/>
        <w:t>berlin.de</w:t>
      </w:r>
    </w:p>
    <w:p>
      <w:pPr>
        <w:pStyle w:val="GrundtextEinrckung"/>
        <w:rPr/>
      </w:pPr>
      <w:r>
        <w:rPr/>
      </w:r>
    </w:p>
    <w:p>
      <w:pPr>
        <w:pStyle w:val="GrundtextEinrckung"/>
        <w:rPr/>
      </w:pPr>
      <w:r>
        <w:rPr/>
        <w:t>Abgabetermin:</w:t>
        <w:tab/>
        <w:tab/>
        <w:tab/>
        <w:t>25. August 2023</w:t>
      </w:r>
    </w:p>
    <w:p>
      <w:pPr>
        <w:pStyle w:val="GrundtextEinrckung"/>
        <w:rPr/>
      </w:pPr>
      <w:r>
        <w:rPr/>
      </w:r>
    </w:p>
    <w:p>
      <w:pPr>
        <w:pStyle w:val="GrundtextEinrckung"/>
        <w:rPr/>
      </w:pPr>
      <w:r>
        <w:rPr/>
      </w:r>
    </w:p>
    <w:p>
      <w:pPr>
        <w:sectPr>
          <w:headerReference w:type="default" r:id="rId3"/>
          <w:headerReference w:type="first" r:id="rId4"/>
          <w:type w:val="nextPage"/>
          <w:pgSz w:w="11906" w:h="16838"/>
          <w:pgMar w:left="1701" w:right="1701" w:header="720" w:top="1701" w:footer="0" w:bottom="1701" w:gutter="0"/>
          <w:pgNumType w:fmt="decimal"/>
          <w:formProt w:val="false"/>
          <w:titlePg/>
          <w:textDirection w:val="lrTb"/>
          <w:docGrid w:type="default" w:linePitch="100" w:charSpace="0"/>
        </w:sectPr>
      </w:pPr>
    </w:p>
    <w:p>
      <w:pPr>
        <w:pStyle w:val="Grundtextzentriert"/>
        <w:jc w:val="left"/>
        <w:rPr>
          <w:rStyle w:val="Grundzfett"/>
        </w:rPr>
      </w:pPr>
      <w:r>
        <w:rPr>
          <w:rStyle w:val="Grundzfett"/>
        </w:rPr>
        <w:t>Sperrvermerk</w:t>
      </w:r>
    </w:p>
    <w:p>
      <w:pPr>
        <w:pStyle w:val="Grundtext"/>
        <w:rPr>
          <w:rStyle w:val="Grundzfett"/>
        </w:rPr>
      </w:pPr>
      <w:r>
        <w:rPr/>
      </w:r>
    </w:p>
    <w:p>
      <w:pPr>
        <w:pStyle w:val="Grundtext"/>
        <w:rPr>
          <w:rStyle w:val="Grundzfett"/>
        </w:rPr>
      </w:pPr>
      <w:r>
        <w:rPr/>
        <w:t xml:space="preserve">Diese Arbeit enthält vertrauliche Daten der Softzoll GmbH &amp; Co. KG. Eine Weitergabe der Arbeit im Ganzen oder in Teilen sowie das Anfertigen von Kopien (auch digital) </w:t>
        <w:noBreakHyphen/>
        <w:t xml:space="preserve"> sind grundsätzlich untersagt. Ausnahmen bedürfen der schriftlichen Genehmigung.</w:t>
      </w:r>
    </w:p>
    <w:p>
      <w:pPr>
        <w:pStyle w:val="Grundtext"/>
        <w:rPr>
          <w:rStyle w:val="Grundzfett"/>
        </w:rPr>
      </w:pPr>
      <w:r>
        <w:rPr/>
      </w:r>
    </w:p>
    <w:p>
      <w:pPr>
        <w:pStyle w:val="Grundtext"/>
        <w:rPr>
          <w:rStyle w:val="Grundzfett"/>
        </w:rPr>
      </w:pPr>
      <w:r>
        <w:rPr/>
        <w:t>Softzoll GmbH &amp; Co. KG</w:t>
      </w:r>
    </w:p>
    <w:p>
      <w:pPr>
        <w:pStyle w:val="Grundtext"/>
        <w:rPr>
          <w:rStyle w:val="Grundzfett"/>
        </w:rPr>
      </w:pPr>
      <w:r>
        <w:rPr/>
        <w:t>Abteilung: Software Entwicklung and Integration</w:t>
      </w:r>
      <w:r>
        <w:rPr/>
        <w:commentReference w:id="0"/>
      </w:r>
    </w:p>
    <w:p>
      <w:pPr>
        <w:pStyle w:val="Grundtext"/>
        <w:rPr>
          <w:rStyle w:val="Grundzfett"/>
        </w:rPr>
      </w:pPr>
      <w:r>
        <w:rPr/>
        <w:t>Kurfürstenstr. 112</w:t>
      </w:r>
    </w:p>
    <w:p>
      <w:pPr>
        <w:pStyle w:val="Grundtext"/>
        <w:rPr>
          <w:rStyle w:val="Grundzfett"/>
        </w:rPr>
      </w:pPr>
      <w:r>
        <w:rPr/>
        <w:t>10787 Berlin</w:t>
      </w:r>
    </w:p>
    <w:p>
      <w:pPr>
        <w:pStyle w:val="Grundtext"/>
        <w:rPr>
          <w:rStyle w:val="Grundzfett"/>
        </w:rPr>
      </w:pPr>
      <w:r>
        <w:rPr/>
        <w:t>Telefon: +49 (0)30 210023</w:t>
        <w:noBreakHyphen/>
        <w:t>50</w:t>
      </w:r>
    </w:p>
    <w:p>
      <w:pPr>
        <w:pStyle w:val="Grundtext"/>
        <w:rPr>
          <w:rStyle w:val="Grundzfett"/>
        </w:rPr>
      </w:pPr>
      <w:r>
        <w:rPr/>
        <w:t>E-Mail: info@softzoll.de</w:t>
      </w:r>
    </w:p>
    <w:p>
      <w:pPr>
        <w:pStyle w:val="Grundtext"/>
        <w:rPr>
          <w:rStyle w:val="Grundzfett"/>
        </w:rPr>
      </w:pPr>
      <w:r>
        <w:rPr/>
        <w:t>Website: https://www.softzoll.de</w:t>
      </w:r>
    </w:p>
    <w:p>
      <w:pPr>
        <w:pStyle w:val="Grundtext"/>
        <w:rPr>
          <w:rStyle w:val="Grundzfett"/>
        </w:rPr>
      </w:pPr>
      <w:r>
        <w:rPr/>
      </w:r>
    </w:p>
    <w:p>
      <w:pPr>
        <w:pStyle w:val="Grundtext"/>
        <w:rPr>
          <w:rStyle w:val="Grundzfett"/>
        </w:rPr>
      </w:pPr>
      <w:r>
        <w:rPr/>
      </w:r>
    </w:p>
    <w:p>
      <w:pPr>
        <w:pStyle w:val="Grundtext"/>
        <w:rPr>
          <w:rStyle w:val="Grundzfett"/>
        </w:rPr>
      </w:pPr>
      <w:r>
        <w:rPr/>
        <w:t>Berlin, den 25. August 2023</w:t>
      </w:r>
    </w:p>
    <w:p>
      <w:pPr>
        <w:pStyle w:val="Grundtext"/>
        <w:rPr>
          <w:rStyle w:val="Grundzfett"/>
        </w:rPr>
      </w:pPr>
      <w:r>
        <w:rPr/>
      </w:r>
    </w:p>
    <w:p>
      <w:pPr>
        <w:sectPr>
          <w:type w:val="continuous"/>
          <w:pgSz w:w="11906" w:h="16838"/>
          <w:pgMar w:left="1701" w:right="1701" w:header="720" w:top="1701" w:footer="0" w:bottom="1701" w:gutter="0"/>
          <w:formProt w:val="false"/>
          <w:textDirection w:val="lrTb"/>
          <w:docGrid w:type="default" w:linePitch="100" w:charSpace="0"/>
        </w:sectPr>
      </w:pPr>
    </w:p>
    <w:p>
      <w:pPr>
        <w:pStyle w:val="BerschriftVerzeichnis"/>
        <w:numPr>
          <w:ilvl w:val="0"/>
          <w:numId w:val="0"/>
        </w:numPr>
        <w:ind w:left="851" w:hanging="851"/>
        <w:rPr>
          <w:rStyle w:val="Grundzfett"/>
        </w:rPr>
      </w:pPr>
      <w:bookmarkStart w:id="0" w:name="_Toc141868463"/>
      <w:bookmarkStart w:id="1" w:name="_Toc395354956"/>
      <w:bookmarkStart w:id="2" w:name="_Toc532290618"/>
      <w:bookmarkStart w:id="3" w:name="_Toc532295851"/>
      <w:r>
        <w:rPr/>
        <w:t>Inhaltsverzeichnis</w:t>
      </w:r>
      <w:bookmarkEnd w:id="0"/>
      <w:bookmarkEnd w:id="1"/>
      <w:bookmarkEnd w:id="2"/>
      <w:bookmarkEnd w:id="3"/>
    </w:p>
    <w:sdt>
      <w:sdtPr>
        <w:docPartObj>
          <w:docPartGallery w:val="Table of Contents"/>
          <w:docPartUnique w:val="true"/>
        </w:docPartObj>
      </w:sdtPr>
      <w:sdtContent>
        <w:p>
          <w:pPr>
            <w:pStyle w:val="Inhaltsverzeichnis1"/>
            <w:rPr>
              <w:rFonts w:ascii="Calibri" w:hAnsi="Calibri" w:eastAsia="" w:cs="" w:asciiTheme="minorHAnsi" w:cstheme="minorBidi" w:eastAsiaTheme="minorEastAsia" w:hAnsiTheme="minorHAnsi"/>
              <w:sz w:val="22"/>
              <w:szCs w:val="22"/>
            </w:rPr>
          </w:pPr>
          <w:r>
            <w:fldChar w:fldCharType="begin"/>
          </w:r>
          <w:r>
            <w:rPr/>
            <w:instrText> TOC \o "1-9" \h</w:instrText>
          </w:r>
          <w:r>
            <w:rPr/>
            <w:fldChar w:fldCharType="separate"/>
          </w:r>
          <w:r>
            <w:rPr/>
            <w:t>Inhaltsverzeichnis</w:t>
            <w:tab/>
            <w:t>III</w:t>
          </w:r>
        </w:p>
        <w:p>
          <w:pPr>
            <w:pStyle w:val="Inhaltsverzeichnis1"/>
            <w:rPr>
              <w:rFonts w:ascii="Calibri" w:hAnsi="Calibri" w:eastAsia="" w:cs="" w:asciiTheme="minorHAnsi" w:cstheme="minorBidi" w:eastAsiaTheme="minorEastAsia" w:hAnsiTheme="minorHAnsi"/>
              <w:sz w:val="22"/>
              <w:szCs w:val="22"/>
            </w:rPr>
          </w:pPr>
          <w:r>
            <w:rPr/>
            <w:t>Verzeichnis der Abkürzungen und Akronyme</w:t>
            <w:tab/>
            <w:t>IV</w:t>
          </w:r>
        </w:p>
        <w:p>
          <w:pPr>
            <w:pStyle w:val="Inhaltsverzeichnis1"/>
            <w:rPr>
              <w:rFonts w:ascii="Calibri" w:hAnsi="Calibri" w:eastAsia="" w:cs="" w:asciiTheme="minorHAnsi" w:cstheme="minorBidi" w:eastAsiaTheme="minorEastAsia" w:hAnsiTheme="minorHAnsi"/>
              <w:sz w:val="22"/>
              <w:szCs w:val="22"/>
            </w:rPr>
          </w:pPr>
          <w:r>
            <w:rPr/>
            <w:t>Abbildungsverzeichnis</w:t>
            <w:tab/>
            <w:t>VI</w:t>
          </w:r>
        </w:p>
        <w:p>
          <w:pPr>
            <w:pStyle w:val="Inhaltsverzeichnis1"/>
            <w:rPr>
              <w:rFonts w:ascii="Calibri" w:hAnsi="Calibri" w:eastAsia="" w:cs="" w:asciiTheme="minorHAnsi" w:cstheme="minorBidi" w:eastAsiaTheme="minorEastAsia" w:hAnsiTheme="minorHAnsi"/>
              <w:sz w:val="22"/>
              <w:szCs w:val="22"/>
            </w:rPr>
          </w:pPr>
          <w:r>
            <w:rPr/>
            <w:t>Tabellenverzeichnis</w:t>
            <w:tab/>
            <w:t>VII</w:t>
          </w:r>
        </w:p>
        <w:p>
          <w:pPr>
            <w:pStyle w:val="Inhaltsverzeichnis1"/>
            <w:rPr>
              <w:rFonts w:ascii="Calibri" w:hAnsi="Calibri" w:eastAsia="" w:cs="" w:asciiTheme="minorHAnsi" w:cstheme="minorBidi" w:eastAsiaTheme="minorEastAsia" w:hAnsiTheme="minorHAnsi"/>
              <w:sz w:val="22"/>
              <w:szCs w:val="22"/>
            </w:rPr>
          </w:pPr>
          <w:r>
            <w:rPr/>
            <w:t>Definition der Begriffe</w:t>
            <w:tab/>
            <w:t>VIII</w:t>
          </w:r>
        </w:p>
        <w:p>
          <w:pPr>
            <w:pStyle w:val="Inhaltsverzeichnis1"/>
            <w:rPr>
              <w:rFonts w:ascii="Calibri" w:hAnsi="Calibri" w:eastAsia="" w:cs="" w:asciiTheme="minorHAnsi" w:cstheme="minorBidi" w:eastAsiaTheme="minorEastAsia" w:hAnsiTheme="minorHAnsi"/>
              <w:sz w:val="22"/>
              <w:szCs w:val="22"/>
            </w:rPr>
          </w:pPr>
          <w:r>
            <w:rPr/>
            <w:t>1</w:t>
          </w:r>
          <w:r>
            <w:rPr>
              <w:rFonts w:eastAsia="" w:cs="" w:ascii="Calibri" w:hAnsi="Calibri" w:asciiTheme="minorHAnsi" w:cstheme="minorBidi" w:eastAsiaTheme="minorEastAsia" w:hAnsiTheme="minorHAnsi"/>
              <w:sz w:val="22"/>
              <w:szCs w:val="22"/>
            </w:rPr>
            <w:tab/>
          </w:r>
          <w:r>
            <w:rPr/>
            <w:t>Einleitung</w:t>
            <w:tab/>
            <w:t>1</w:t>
          </w:r>
        </w:p>
        <w:p>
          <w:pPr>
            <w:pStyle w:val="Inhaltsverzeichnis1"/>
            <w:rPr>
              <w:rFonts w:ascii="Calibri" w:hAnsi="Calibri" w:eastAsia="" w:cs="" w:asciiTheme="minorHAnsi" w:cstheme="minorBidi" w:eastAsiaTheme="minorEastAsia" w:hAnsiTheme="minorHAnsi"/>
              <w:sz w:val="22"/>
              <w:szCs w:val="22"/>
            </w:rPr>
          </w:pPr>
          <w:r>
            <w:rPr/>
            <w:t>2</w:t>
          </w:r>
          <w:r>
            <w:rPr>
              <w:rFonts w:eastAsia="" w:cs="" w:ascii="Calibri" w:hAnsi="Calibri" w:asciiTheme="minorHAnsi" w:cstheme="minorBidi" w:eastAsiaTheme="minorEastAsia" w:hAnsiTheme="minorHAnsi"/>
              <w:sz w:val="22"/>
              <w:szCs w:val="22"/>
            </w:rPr>
            <w:tab/>
          </w:r>
          <w:r>
            <w:rPr/>
            <w:t>Methodik</w:t>
            <w:tab/>
            <w:t>2</w:t>
          </w:r>
        </w:p>
        <w:p>
          <w:pPr>
            <w:pStyle w:val="Inhaltsverzeichnis1"/>
            <w:rPr>
              <w:rFonts w:ascii="Calibri" w:hAnsi="Calibri" w:eastAsia="" w:cs="" w:asciiTheme="minorHAnsi" w:cstheme="minorBidi" w:eastAsiaTheme="minorEastAsia" w:hAnsiTheme="minorHAnsi"/>
              <w:sz w:val="22"/>
              <w:szCs w:val="22"/>
            </w:rPr>
          </w:pPr>
          <w:r>
            <w:rPr/>
            <w:t>3</w:t>
          </w:r>
          <w:r>
            <w:rPr>
              <w:rFonts w:eastAsia="" w:cs="" w:ascii="Calibri" w:hAnsi="Calibri" w:asciiTheme="minorHAnsi" w:cstheme="minorBidi" w:eastAsiaTheme="minorEastAsia" w:hAnsiTheme="minorHAnsi"/>
              <w:sz w:val="22"/>
              <w:szCs w:val="22"/>
            </w:rPr>
            <w:tab/>
          </w:r>
          <w:r>
            <w:rPr/>
            <w:t>Unternehmensprofil der „Softzoll GmbH &amp; Co. KG“</w:t>
            <w:tab/>
            <w:t>4</w:t>
          </w:r>
        </w:p>
        <w:p>
          <w:pPr>
            <w:pStyle w:val="Inhaltsverzeichnis1"/>
            <w:rPr>
              <w:rFonts w:ascii="Calibri" w:hAnsi="Calibri" w:eastAsia="" w:cs="" w:asciiTheme="minorHAnsi" w:cstheme="minorBidi" w:eastAsiaTheme="minorEastAsia" w:hAnsiTheme="minorHAnsi"/>
              <w:sz w:val="22"/>
              <w:szCs w:val="22"/>
            </w:rPr>
          </w:pPr>
          <w:r>
            <w:rPr>
              <w:bCs/>
            </w:rPr>
            <w:t>4</w:t>
          </w:r>
          <w:r>
            <w:rPr>
              <w:rFonts w:eastAsia="" w:cs="" w:ascii="Calibri" w:hAnsi="Calibri" w:asciiTheme="minorHAnsi" w:cstheme="minorBidi" w:eastAsiaTheme="minorEastAsia" w:hAnsiTheme="minorHAnsi"/>
              <w:sz w:val="22"/>
              <w:szCs w:val="22"/>
            </w:rPr>
            <w:tab/>
          </w:r>
          <w:r>
            <w:rPr>
              <w:bCs/>
            </w:rPr>
            <w:t>Projektbegründung</w:t>
          </w:r>
          <w:r>
            <w:rPr/>
            <w:tab/>
            <w:t>5</w:t>
          </w:r>
          <w:r>
            <w:rPr/>
            <w:commentReference w:id="1"/>
          </w:r>
        </w:p>
        <w:p>
          <w:pPr>
            <w:pStyle w:val="Inhaltsverzeichnis2"/>
            <w:rPr>
              <w:rFonts w:ascii="Calibri" w:hAnsi="Calibri" w:eastAsia="" w:cs="" w:asciiTheme="minorHAnsi" w:cstheme="minorBidi" w:eastAsiaTheme="minorEastAsia" w:hAnsiTheme="minorHAnsi"/>
              <w:sz w:val="22"/>
              <w:szCs w:val="22"/>
            </w:rPr>
          </w:pPr>
          <w:r>
            <w:rPr/>
            <w:t>4.1</w:t>
          </w:r>
          <w:r>
            <w:rPr>
              <w:rFonts w:eastAsia="" w:cs="" w:ascii="Calibri" w:hAnsi="Calibri" w:asciiTheme="minorHAnsi" w:cstheme="minorBidi" w:eastAsiaTheme="minorEastAsia" w:hAnsiTheme="minorHAnsi"/>
              <w:sz w:val="22"/>
              <w:szCs w:val="22"/>
            </w:rPr>
            <w:tab/>
          </w:r>
          <w:r>
            <w:rPr/>
            <w:t>Projektziel und Projektumfang</w:t>
            <w:tab/>
            <w:t>5</w:t>
          </w:r>
        </w:p>
        <w:p>
          <w:pPr>
            <w:pStyle w:val="Inhaltsverzeichnis1"/>
            <w:rPr>
              <w:rFonts w:ascii="Calibri" w:hAnsi="Calibri" w:eastAsia="" w:cs="" w:asciiTheme="minorHAnsi" w:cstheme="minorBidi" w:eastAsiaTheme="minorEastAsia" w:hAnsiTheme="minorHAnsi"/>
              <w:sz w:val="22"/>
              <w:szCs w:val="22"/>
            </w:rPr>
          </w:pPr>
          <w:r>
            <w:rPr/>
            <w:t>5</w:t>
          </w:r>
          <w:r>
            <w:rPr>
              <w:rFonts w:eastAsia="" w:cs="" w:ascii="Calibri" w:hAnsi="Calibri" w:asciiTheme="minorHAnsi" w:cstheme="minorBidi" w:eastAsiaTheme="minorEastAsia" w:hAnsiTheme="minorHAnsi"/>
              <w:sz w:val="22"/>
              <w:szCs w:val="22"/>
            </w:rPr>
            <w:tab/>
          </w:r>
          <w:r>
            <w:rPr/>
            <w:t>Anforderungsanalyse (Requirements Engineering)</w:t>
            <w:tab/>
            <w:t>6</w:t>
          </w:r>
        </w:p>
        <w:p>
          <w:pPr>
            <w:pStyle w:val="Inhaltsverzeichnis2"/>
            <w:rPr>
              <w:rFonts w:ascii="Calibri" w:hAnsi="Calibri" w:eastAsia="" w:cs="" w:asciiTheme="minorHAnsi" w:cstheme="minorBidi" w:eastAsiaTheme="minorEastAsia" w:hAnsiTheme="minorHAnsi"/>
              <w:sz w:val="22"/>
              <w:szCs w:val="22"/>
            </w:rPr>
          </w:pPr>
          <w:r>
            <w:rPr/>
            <w:t>5.1</w:t>
          </w:r>
          <w:r>
            <w:rPr>
              <w:rFonts w:eastAsia="" w:cs="" w:ascii="Calibri" w:hAnsi="Calibri" w:asciiTheme="minorHAnsi" w:cstheme="minorBidi" w:eastAsiaTheme="minorEastAsia" w:hAnsiTheme="minorHAnsi"/>
              <w:sz w:val="22"/>
              <w:szCs w:val="22"/>
            </w:rPr>
            <w:tab/>
          </w:r>
          <w:r>
            <w:rPr/>
            <w:t>Risikoanalyse (Projekt Risikomanagement)</w:t>
            <w:tab/>
            <w:t>8</w:t>
          </w:r>
        </w:p>
        <w:p>
          <w:pPr>
            <w:pStyle w:val="Inhaltsverzeichnis1"/>
            <w:rPr>
              <w:rFonts w:ascii="Calibri" w:hAnsi="Calibri" w:eastAsia="" w:cs="" w:asciiTheme="minorHAnsi" w:cstheme="minorBidi" w:eastAsiaTheme="minorEastAsia" w:hAnsiTheme="minorHAnsi"/>
              <w:sz w:val="22"/>
              <w:szCs w:val="22"/>
            </w:rPr>
          </w:pPr>
          <w:r>
            <w:rPr/>
            <w:t>6</w:t>
          </w:r>
          <w:r>
            <w:rPr>
              <w:rFonts w:eastAsia="" w:cs="" w:ascii="Calibri" w:hAnsi="Calibri" w:asciiTheme="minorHAnsi" w:cstheme="minorBidi" w:eastAsiaTheme="minorEastAsia" w:hAnsiTheme="minorHAnsi"/>
              <w:sz w:val="22"/>
              <w:szCs w:val="22"/>
            </w:rPr>
            <w:tab/>
          </w:r>
          <w:r>
            <w:rPr/>
            <w:t>Ist-Aufnahme</w:t>
            <w:tab/>
            <w:t>9</w:t>
          </w:r>
        </w:p>
        <w:p>
          <w:pPr>
            <w:pStyle w:val="Inhaltsverzeichnis1"/>
            <w:rPr>
              <w:rFonts w:ascii="Calibri" w:hAnsi="Calibri" w:eastAsia="" w:cs="" w:asciiTheme="minorHAnsi" w:cstheme="minorBidi" w:eastAsiaTheme="minorEastAsia" w:hAnsiTheme="minorHAnsi"/>
              <w:sz w:val="22"/>
              <w:szCs w:val="22"/>
            </w:rPr>
          </w:pPr>
          <w:r>
            <w:rPr/>
            <w:t>7</w:t>
          </w:r>
          <w:r>
            <w:rPr>
              <w:rFonts w:eastAsia="" w:cs="" w:ascii="Calibri" w:hAnsi="Calibri" w:asciiTheme="minorHAnsi" w:cstheme="minorBidi" w:eastAsiaTheme="minorEastAsia" w:hAnsiTheme="minorHAnsi"/>
              <w:sz w:val="22"/>
              <w:szCs w:val="22"/>
            </w:rPr>
            <w:tab/>
          </w:r>
          <w:r>
            <w:rPr/>
            <w:t>Spezifikation und Entwurf</w:t>
            <w:tab/>
            <w:t>15</w:t>
          </w:r>
        </w:p>
        <w:p>
          <w:pPr>
            <w:pStyle w:val="Inhaltsverzeichnis1"/>
            <w:rPr>
              <w:rFonts w:ascii="Calibri" w:hAnsi="Calibri" w:eastAsia="" w:cs="" w:asciiTheme="minorHAnsi" w:cstheme="minorBidi" w:eastAsiaTheme="minorEastAsia" w:hAnsiTheme="minorHAnsi"/>
              <w:sz w:val="22"/>
              <w:szCs w:val="22"/>
            </w:rPr>
          </w:pPr>
          <w:r>
            <w:rPr/>
            <w:t>8</w:t>
          </w:r>
          <w:r>
            <w:rPr>
              <w:rFonts w:eastAsia="" w:cs="" w:ascii="Calibri" w:hAnsi="Calibri" w:asciiTheme="minorHAnsi" w:cstheme="minorBidi" w:eastAsiaTheme="minorEastAsia" w:hAnsiTheme="minorHAnsi"/>
              <w:sz w:val="22"/>
              <w:szCs w:val="22"/>
            </w:rPr>
            <w:tab/>
          </w:r>
          <w:r>
            <w:rPr/>
            <w:t>Implementierung</w:t>
            <w:tab/>
            <w:t>19</w:t>
          </w:r>
        </w:p>
        <w:p>
          <w:pPr>
            <w:pStyle w:val="Inhaltsverzeichnis1"/>
            <w:tabs>
              <w:tab w:val="clear" w:pos="1134"/>
              <w:tab w:val="right" w:pos="8505" w:leader="dot"/>
            </w:tabs>
            <w:rPr>
              <w:rFonts w:ascii="Calibri" w:hAnsi="Calibri" w:eastAsia="" w:cs="" w:asciiTheme="minorHAnsi" w:cstheme="minorBidi" w:eastAsiaTheme="minorEastAsia" w:hAnsiTheme="minorHAnsi"/>
              <w:sz w:val="22"/>
              <w:szCs w:val="22"/>
            </w:rPr>
          </w:pPr>
          <w:r>
            <w:rPr/>
            <w:t>9</w:t>
          </w:r>
          <w:r>
            <w:rPr>
              <w:rFonts w:eastAsia="" w:cs="" w:ascii="Calibri" w:hAnsi="Calibri" w:asciiTheme="minorHAnsi" w:cstheme="minorBidi" w:eastAsiaTheme="minorEastAsia" w:hAnsiTheme="minorHAnsi"/>
              <w:sz w:val="22"/>
              <w:szCs w:val="22"/>
            </w:rPr>
            <w:tab/>
          </w:r>
          <w:r>
            <w:rPr/>
            <w:t>Test</w:t>
            <w:tab/>
            <w:t>20</w:t>
          </w:r>
        </w:p>
        <w:p>
          <w:pPr>
            <w:pStyle w:val="Inhaltsverzeichnis2"/>
            <w:rPr>
              <w:rFonts w:ascii="Calibri" w:hAnsi="Calibri" w:eastAsia="" w:cs="" w:asciiTheme="minorHAnsi" w:cstheme="minorBidi" w:eastAsiaTheme="minorEastAsia" w:hAnsiTheme="minorHAnsi"/>
              <w:sz w:val="22"/>
              <w:szCs w:val="22"/>
            </w:rPr>
          </w:pPr>
          <w:r>
            <w:rPr/>
            <w:t>9.1</w:t>
          </w:r>
          <w:r>
            <w:rPr>
              <w:rFonts w:eastAsia="" w:cs="" w:ascii="Calibri" w:hAnsi="Calibri" w:asciiTheme="minorHAnsi" w:cstheme="minorBidi" w:eastAsiaTheme="minorEastAsia" w:hAnsiTheme="minorHAnsi"/>
              <w:sz w:val="22"/>
              <w:szCs w:val="22"/>
            </w:rPr>
            <w:tab/>
          </w:r>
          <w:r>
            <w:rPr/>
            <w:t>Einführung</w:t>
            <w:tab/>
            <w:t>20</w:t>
          </w:r>
        </w:p>
        <w:p>
          <w:pPr>
            <w:pStyle w:val="Inhaltsverzeichnis2"/>
            <w:rPr>
              <w:rFonts w:ascii="Calibri" w:hAnsi="Calibri" w:eastAsia="" w:cs="" w:asciiTheme="minorHAnsi" w:cstheme="minorBidi" w:eastAsiaTheme="minorEastAsia" w:hAnsiTheme="minorHAnsi"/>
              <w:sz w:val="22"/>
              <w:szCs w:val="22"/>
            </w:rPr>
          </w:pPr>
          <w:r>
            <w:rPr/>
            <w:t>9.2</w:t>
          </w:r>
          <w:r>
            <w:rPr>
              <w:rFonts w:eastAsia="" w:cs="" w:ascii="Calibri" w:hAnsi="Calibri" w:asciiTheme="minorHAnsi" w:cstheme="minorBidi" w:eastAsiaTheme="minorEastAsia" w:hAnsiTheme="minorHAnsi"/>
              <w:sz w:val="22"/>
              <w:szCs w:val="22"/>
            </w:rPr>
            <w:tab/>
          </w:r>
          <w:r>
            <w:rPr/>
            <w:t>Testvorbereitung</w:t>
            <w:tab/>
            <w:t>24</w:t>
          </w:r>
        </w:p>
        <w:p>
          <w:pPr>
            <w:pStyle w:val="Inhaltsverzeichnis2"/>
            <w:rPr>
              <w:rFonts w:ascii="Calibri" w:hAnsi="Calibri" w:eastAsia="" w:cs="" w:asciiTheme="minorHAnsi" w:cstheme="minorBidi" w:eastAsiaTheme="minorEastAsia" w:hAnsiTheme="minorHAnsi"/>
              <w:sz w:val="22"/>
              <w:szCs w:val="22"/>
            </w:rPr>
          </w:pPr>
          <w:r>
            <w:rPr/>
            <w:t>9.3</w:t>
          </w:r>
          <w:r>
            <w:rPr>
              <w:rFonts w:eastAsia="" w:cs="" w:ascii="Calibri" w:hAnsi="Calibri" w:asciiTheme="minorHAnsi" w:cstheme="minorBidi" w:eastAsiaTheme="minorEastAsia" w:hAnsiTheme="minorHAnsi"/>
              <w:sz w:val="22"/>
              <w:szCs w:val="22"/>
            </w:rPr>
            <w:tab/>
          </w:r>
          <w:r>
            <w:rPr/>
            <w:t>Testausführung</w:t>
            <w:tab/>
            <w:t>28</w:t>
          </w:r>
        </w:p>
        <w:p>
          <w:pPr>
            <w:pStyle w:val="Inhaltsverzeichnis2"/>
            <w:rPr>
              <w:rFonts w:ascii="Calibri" w:hAnsi="Calibri" w:eastAsia="" w:cs="" w:asciiTheme="minorHAnsi" w:cstheme="minorBidi" w:eastAsiaTheme="minorEastAsia" w:hAnsiTheme="minorHAnsi"/>
              <w:sz w:val="22"/>
              <w:szCs w:val="22"/>
            </w:rPr>
          </w:pPr>
          <w:r>
            <w:rPr/>
            <w:t>9.4</w:t>
          </w:r>
          <w:r>
            <w:rPr>
              <w:rFonts w:eastAsia="" w:cs="" w:ascii="Calibri" w:hAnsi="Calibri" w:asciiTheme="minorHAnsi" w:cstheme="minorBidi" w:eastAsiaTheme="minorEastAsia" w:hAnsiTheme="minorHAnsi"/>
              <w:sz w:val="22"/>
              <w:szCs w:val="22"/>
            </w:rPr>
            <w:tab/>
          </w:r>
          <w:r>
            <w:rPr/>
            <w:t>Testauswertung</w:t>
            <w:tab/>
            <w:t>32</w:t>
          </w:r>
        </w:p>
        <w:p>
          <w:pPr>
            <w:pStyle w:val="Inhaltsverzeichnis1"/>
            <w:tabs>
              <w:tab w:val="clear" w:pos="1134"/>
              <w:tab w:val="right" w:pos="8505" w:leader="dot"/>
            </w:tabs>
            <w:rPr>
              <w:rFonts w:ascii="Calibri" w:hAnsi="Calibri" w:eastAsia="" w:cs="" w:asciiTheme="minorHAnsi" w:cstheme="minorBidi" w:eastAsiaTheme="minorEastAsia" w:hAnsiTheme="minorHAnsi"/>
              <w:sz w:val="22"/>
              <w:szCs w:val="22"/>
            </w:rPr>
          </w:pPr>
          <w:r>
            <w:rPr/>
            <w:t>10</w:t>
          </w:r>
          <w:r>
            <w:rPr>
              <w:rFonts w:eastAsia="" w:cs="" w:ascii="Calibri" w:hAnsi="Calibri" w:asciiTheme="minorHAnsi" w:cstheme="minorBidi" w:eastAsiaTheme="minorEastAsia" w:hAnsiTheme="minorHAnsi"/>
              <w:sz w:val="22"/>
              <w:szCs w:val="22"/>
            </w:rPr>
            <w:tab/>
          </w:r>
          <w:r>
            <w:rPr/>
            <w:t>Fazit</w:t>
            <w:tab/>
            <w:t>34</w:t>
          </w:r>
        </w:p>
        <w:p>
          <w:pPr>
            <w:pStyle w:val="Inhaltsverzeichnis8"/>
            <w:rPr>
              <w:rFonts w:ascii="Calibri" w:hAnsi="Calibri" w:eastAsia="" w:cs="" w:asciiTheme="minorHAnsi" w:cstheme="minorBidi" w:eastAsiaTheme="minorEastAsia" w:hAnsiTheme="minorHAnsi"/>
              <w:sz w:val="22"/>
              <w:szCs w:val="22"/>
            </w:rPr>
          </w:pPr>
          <w:r>
            <w:rPr/>
            <w:t>A</w:t>
          </w:r>
          <w:r>
            <w:rPr>
              <w:rFonts w:eastAsia="" w:cs="" w:ascii="Calibri" w:hAnsi="Calibri" w:asciiTheme="minorHAnsi" w:cstheme="minorBidi" w:eastAsiaTheme="minorEastAsia" w:hAnsiTheme="minorHAnsi"/>
              <w:sz w:val="22"/>
              <w:szCs w:val="22"/>
            </w:rPr>
            <w:tab/>
          </w:r>
          <w:r>
            <w:rPr/>
            <w:t>Anforderungen aus dem Anforderungsdokument ReqSpec 1.001 vom 26.06.2023</w:t>
            <w:tab/>
            <w:t>35</w:t>
          </w:r>
        </w:p>
        <w:p>
          <w:pPr>
            <w:pStyle w:val="Inhaltsverzeichnis8"/>
            <w:rPr>
              <w:rFonts w:ascii="Calibri" w:hAnsi="Calibri" w:eastAsia="" w:cs="" w:asciiTheme="minorHAnsi" w:cstheme="minorBidi" w:eastAsiaTheme="minorEastAsia" w:hAnsiTheme="minorHAnsi"/>
              <w:sz w:val="22"/>
              <w:szCs w:val="22"/>
            </w:rPr>
          </w:pPr>
          <w:r>
            <w:rPr>
              <w:bCs/>
            </w:rPr>
            <w:t>B</w:t>
          </w:r>
          <w:r>
            <w:rPr>
              <w:rFonts w:eastAsia="" w:cs="" w:ascii="Calibri" w:hAnsi="Calibri" w:asciiTheme="minorHAnsi" w:cstheme="minorBidi" w:eastAsiaTheme="minorEastAsia" w:hAnsiTheme="minorHAnsi"/>
              <w:sz w:val="22"/>
              <w:szCs w:val="22"/>
            </w:rPr>
            <w:tab/>
          </w:r>
          <w:r>
            <w:rPr>
              <w:bCs/>
            </w:rPr>
            <w:t>Risikokatalog</w:t>
          </w:r>
          <w:r>
            <w:rPr/>
            <w:tab/>
            <w:t>38</w:t>
          </w:r>
        </w:p>
        <w:p>
          <w:pPr>
            <w:pStyle w:val="Inhaltsverzeichnis8"/>
            <w:rPr>
              <w:rFonts w:ascii="Calibri" w:hAnsi="Calibri" w:eastAsia="" w:cs="" w:asciiTheme="minorHAnsi" w:cstheme="minorBidi" w:eastAsiaTheme="minorEastAsia" w:hAnsiTheme="minorHAnsi"/>
              <w:sz w:val="22"/>
              <w:szCs w:val="22"/>
            </w:rPr>
          </w:pPr>
          <w:r>
            <w:rPr/>
            <w:t>C</w:t>
          </w:r>
          <w:r>
            <w:rPr>
              <w:rFonts w:eastAsia="" w:cs="" w:ascii="Calibri" w:hAnsi="Calibri" w:asciiTheme="minorHAnsi" w:cstheme="minorBidi" w:eastAsiaTheme="minorEastAsia" w:hAnsiTheme="minorHAnsi"/>
              <w:sz w:val="22"/>
              <w:szCs w:val="22"/>
            </w:rPr>
            <w:tab/>
          </w:r>
          <w:r>
            <w:rPr/>
            <w:t>Testbericht zum Test der Software „Progress-Monitor“</w:t>
            <w:tab/>
            <w:t>41</w:t>
          </w:r>
        </w:p>
        <w:p>
          <w:pPr>
            <w:pStyle w:val="Inhaltsverzeichnis8"/>
            <w:rPr>
              <w:rFonts w:ascii="Calibri" w:hAnsi="Calibri" w:eastAsia="" w:cs="" w:asciiTheme="minorHAnsi" w:cstheme="minorBidi" w:eastAsiaTheme="minorEastAsia" w:hAnsiTheme="minorHAnsi"/>
              <w:sz w:val="22"/>
              <w:szCs w:val="22"/>
            </w:rPr>
          </w:pPr>
          <w:r>
            <w:rPr>
              <w:bCs/>
            </w:rPr>
            <w:t>D</w:t>
          </w:r>
          <w:r>
            <w:rPr>
              <w:rFonts w:eastAsia="" w:cs="" w:ascii="Calibri" w:hAnsi="Calibri" w:asciiTheme="minorHAnsi" w:cstheme="minorBidi" w:eastAsiaTheme="minorEastAsia" w:hAnsiTheme="minorHAnsi"/>
              <w:sz w:val="22"/>
              <w:szCs w:val="22"/>
            </w:rPr>
            <w:tab/>
          </w:r>
          <w:r>
            <w:rPr>
              <w:bCs/>
            </w:rPr>
            <w:t>BPMN zum Prozess „Softwaretest“</w:t>
          </w:r>
          <w:r>
            <w:rPr/>
            <w:tab/>
            <w:t>46</w:t>
          </w:r>
        </w:p>
        <w:p>
          <w:pPr>
            <w:pStyle w:val="Inhaltsverzeichnis1"/>
            <w:rPr>
              <w:rFonts w:ascii="Calibri" w:hAnsi="Calibri" w:eastAsia="" w:cs="" w:asciiTheme="minorHAnsi" w:cstheme="minorBidi" w:eastAsiaTheme="minorEastAsia" w:hAnsiTheme="minorHAnsi"/>
              <w:sz w:val="22"/>
              <w:szCs w:val="22"/>
            </w:rPr>
          </w:pPr>
          <w:r>
            <w:rPr/>
            <w:t>Literaturverzeichnis</w:t>
            <w:tab/>
            <w:t>47</w:t>
          </w:r>
          <w:r>
            <w:rPr/>
            <w:fldChar w:fldCharType="end"/>
          </w:r>
        </w:p>
      </w:sdtContent>
    </w:sdt>
    <w:p>
      <w:pPr>
        <w:pStyle w:val="AnmdAutors"/>
        <w:widowControl/>
        <w:bidi w:val="0"/>
        <w:spacing w:before="160" w:after="320"/>
        <w:ind w:left="567" w:right="567" w:hanging="0"/>
        <w:jc w:val="left"/>
        <w:rPr>
          <w:i/>
          <w:i/>
          <w:sz w:val="24"/>
        </w:rPr>
      </w:pPr>
      <w:r>
        <w:rPr>
          <w:i/>
          <w:sz w:val="24"/>
        </w:rPr>
      </w:r>
    </w:p>
    <w:p>
      <w:pPr>
        <w:pStyle w:val="BerschriftVerzeichnis"/>
        <w:numPr>
          <w:ilvl w:val="0"/>
          <w:numId w:val="0"/>
        </w:numPr>
        <w:ind w:left="851" w:hanging="851"/>
        <w:rPr/>
      </w:pPr>
      <w:bookmarkStart w:id="4" w:name="_Toc532290619"/>
      <w:bookmarkStart w:id="5" w:name="_Toc532295852"/>
      <w:bookmarkStart w:id="6" w:name="_Toc141868464"/>
      <w:bookmarkStart w:id="7" w:name="Abkürzungsverzeichnis"/>
      <w:bookmarkStart w:id="8" w:name="_Toc395354957"/>
      <w:r>
        <w:rPr/>
        <w:t>Verzeichnis der Abkürzung</w:t>
      </w:r>
      <w:bookmarkEnd w:id="7"/>
      <w:bookmarkEnd w:id="8"/>
      <w:r>
        <w:rPr/>
        <w:t>en und Akronyme</w:t>
      </w:r>
      <w:bookmarkEnd w:id="4"/>
      <w:bookmarkEnd w:id="5"/>
      <w:bookmarkEnd w:id="6"/>
    </w:p>
    <w:p>
      <w:pPr>
        <w:pStyle w:val="GrundtextEinrckung"/>
        <w:rPr/>
      </w:pPr>
      <w:r>
        <w:rPr/>
        <w:t>API</w:t>
        <w:tab/>
        <w:tab/>
        <w:t>Application Programming Interface</w:t>
      </w:r>
    </w:p>
    <w:p>
      <w:pPr>
        <w:pStyle w:val="GrundtextEinrckung"/>
        <w:rPr/>
      </w:pPr>
      <w:r>
        <w:rPr/>
        <w:t>AS2</w:t>
        <w:tab/>
        <w:tab/>
        <w:t>Applicability Statement 2</w:t>
      </w:r>
    </w:p>
    <w:p>
      <w:pPr>
        <w:pStyle w:val="GrundtextEinrckung"/>
        <w:rPr/>
      </w:pPr>
      <w:r>
        <w:rPr/>
        <w:t>bzw.</w:t>
        <w:tab/>
        <w:tab/>
        <w:t>beziehungsweise</w:t>
      </w:r>
      <w:r>
        <w:rPr/>
        <w:commentReference w:id="2"/>
      </w:r>
    </w:p>
    <w:p>
      <w:pPr>
        <w:pStyle w:val="GrundtextEinrckung"/>
        <w:rPr/>
      </w:pPr>
      <w:r>
        <w:rPr/>
        <w:t>BPMN</w:t>
        <w:tab/>
        <w:tab/>
        <w:t xml:space="preserve">Business Process Model and Notation </w:t>
      </w:r>
    </w:p>
    <w:p>
      <w:pPr>
        <w:pStyle w:val="GrundtextEinrckung"/>
        <w:rPr/>
      </w:pPr>
      <w:r>
        <w:rPr/>
        <w:t>CSV</w:t>
        <w:tab/>
        <w:tab/>
        <w:t>Comma Separated Value</w:t>
      </w:r>
    </w:p>
    <w:p>
      <w:pPr>
        <w:pStyle w:val="GrundtextEinrckung"/>
        <w:rPr/>
      </w:pPr>
      <w:r>
        <w:rPr/>
        <w:t>CI</w:t>
        <w:tab/>
        <w:tab/>
        <w:t>Continuous Integration</w:t>
      </w:r>
    </w:p>
    <w:p>
      <w:pPr>
        <w:pStyle w:val="GrundtextEinrckung"/>
        <w:rPr/>
      </w:pPr>
      <w:r>
        <w:rPr/>
        <w:t>CD</w:t>
        <w:tab/>
        <w:tab/>
        <w:t>Continuous Deployment</w:t>
      </w:r>
    </w:p>
    <w:p>
      <w:pPr>
        <w:pStyle w:val="GrundtextEinrckung"/>
        <w:rPr/>
      </w:pPr>
      <w:r>
        <w:rPr/>
        <w:t>CM</w:t>
        <w:tab/>
        <w:tab/>
        <w:t>Change Management</w:t>
      </w:r>
    </w:p>
    <w:p>
      <w:pPr>
        <w:pStyle w:val="GrundtextEinrckung"/>
        <w:rPr/>
      </w:pPr>
      <w:r>
        <w:rPr/>
        <w:t xml:space="preserve">Cascading Style </w:t>
        <w:tab/>
        <w:tab/>
        <w:t>CSS</w:t>
      </w:r>
    </w:p>
    <w:p>
      <w:pPr>
        <w:pStyle w:val="GrundtextEinrckung"/>
        <w:rPr/>
      </w:pPr>
      <w:r>
        <w:rPr/>
        <w:t>Sheets</w:t>
      </w:r>
    </w:p>
    <w:p>
      <w:pPr>
        <w:pStyle w:val="GrundtextEinrckung"/>
        <w:rPr/>
      </w:pPr>
      <w:r>
        <w:rPr/>
        <w:t>DBMS</w:t>
        <w:tab/>
        <w:tab/>
        <w:t>Datenbankmanagementsystem</w:t>
      </w:r>
    </w:p>
    <w:p>
      <w:pPr>
        <w:pStyle w:val="GrundtextEinrckung"/>
        <w:rPr/>
      </w:pPr>
      <w:r>
        <w:rPr/>
        <w:t>DevOps</w:t>
        <w:tab/>
        <w:tab/>
        <w:t>Development- und IT Operations</w:t>
      </w:r>
      <w:r>
        <w:rPr/>
        <w:commentReference w:id="3"/>
      </w:r>
    </w:p>
    <w:p>
      <w:pPr>
        <w:pStyle w:val="GrundtextEinrckung"/>
        <w:rPr/>
      </w:pPr>
      <w:r>
        <w:rPr/>
        <w:t>ERP</w:t>
        <w:tab/>
        <w:tab/>
        <w:t>Enterprise-Resource-Planning</w:t>
      </w:r>
    </w:p>
    <w:p>
      <w:pPr>
        <w:pStyle w:val="GrundtextEinrckung"/>
        <w:rPr/>
      </w:pPr>
      <w:r>
        <w:rPr/>
        <w:t>GUI</w:t>
        <w:tab/>
        <w:tab/>
        <w:t>Graphical User Interface (Benutzeroberfläche)</w:t>
      </w:r>
    </w:p>
    <w:p>
      <w:pPr>
        <w:pStyle w:val="GrundtextEinrckung"/>
        <w:rPr/>
      </w:pPr>
      <w:r>
        <w:rPr/>
        <w:t>EDI</w:t>
        <w:tab/>
        <w:tab/>
        <w:t>Electronic Data Interchange</w:t>
      </w:r>
    </w:p>
    <w:p>
      <w:pPr>
        <w:pStyle w:val="GrundtextEinrckung"/>
        <w:ind w:left="2124" w:hanging="2124"/>
        <w:rPr/>
      </w:pPr>
      <w:r>
        <w:rPr/>
        <w:t>EDIFACT</w:t>
        <w:tab/>
        <w:t>Electronic Data Interchange for Administration, Commerce and Transport</w:t>
      </w:r>
    </w:p>
    <w:p>
      <w:pPr>
        <w:pStyle w:val="GrundtextEinrckung"/>
        <w:rPr/>
      </w:pPr>
      <w:r>
        <w:rPr>
          <w:szCs w:val="24"/>
        </w:rPr>
        <w:t>ETL</w:t>
        <w:tab/>
        <w:tab/>
        <w:t>Extract</w:t>
        <w:noBreakHyphen/>
        <w:t>Transform</w:t>
        <w:noBreakHyphen/>
        <w:t>Load</w:t>
      </w:r>
    </w:p>
    <w:p>
      <w:pPr>
        <w:pStyle w:val="GrundtextEinrckung"/>
        <w:rPr/>
      </w:pPr>
      <w:r>
        <w:rPr/>
        <w:t>Ewk</w:t>
        <w:tab/>
        <w:tab/>
        <w:t xml:space="preserve">Eintrittswahrscheinlichkeit </w:t>
      </w:r>
    </w:p>
    <w:p>
      <w:pPr>
        <w:pStyle w:val="GrundtextEinrckung"/>
        <w:rPr/>
      </w:pPr>
      <w:r>
        <w:rPr/>
        <w:t>FF</w:t>
        <w:tab/>
        <w:tab/>
        <w:t>Fix Format</w:t>
      </w:r>
    </w:p>
    <w:p>
      <w:pPr>
        <w:pStyle w:val="GrundtextEinrckung"/>
        <w:rPr/>
      </w:pPr>
      <w:r>
        <w:rPr/>
        <w:t>FTP</w:t>
        <w:tab/>
        <w:tab/>
        <w:t>File Transfer Protocol</w:t>
      </w:r>
    </w:p>
    <w:p>
      <w:pPr>
        <w:pStyle w:val="GrundtextEinrckung"/>
        <w:rPr/>
      </w:pPr>
      <w:r>
        <w:rPr/>
        <w:t>HTML</w:t>
        <w:tab/>
        <w:tab/>
        <w:t>Hypertext Markup Language</w:t>
      </w:r>
    </w:p>
    <w:p>
      <w:pPr>
        <w:pStyle w:val="GrundtextEinrckung"/>
        <w:rPr/>
      </w:pPr>
      <w:r>
        <w:rPr/>
        <w:t>HTTP</w:t>
        <w:tab/>
        <w:tab/>
        <w:t>Hypertext Transfer Protocol</w:t>
      </w:r>
    </w:p>
    <w:p>
      <w:pPr>
        <w:pStyle w:val="GrundtextEinrckung"/>
        <w:rPr/>
      </w:pPr>
      <w:r>
        <w:rPr>
          <w:szCs w:val="24"/>
        </w:rPr>
        <w:t>HTTPS</w:t>
        <w:tab/>
        <w:tab/>
        <w:t>Hypertext Transfer Protocol Secure</w:t>
      </w:r>
    </w:p>
    <w:p>
      <w:pPr>
        <w:pStyle w:val="GrundtextEinrckung"/>
        <w:rPr/>
      </w:pPr>
      <w:r>
        <w:rPr/>
        <w:t>Infor</w:t>
        <w:tab/>
        <w:tab/>
      </w:r>
      <w:r>
        <w:rPr/>
        <w:commentReference w:id="4"/>
      </w:r>
    </w:p>
    <w:p>
      <w:pPr>
        <w:pStyle w:val="GrundtextEinrckung"/>
        <w:ind w:left="2124" w:hanging="2124"/>
        <w:rPr/>
      </w:pPr>
      <w:r>
        <w:rPr/>
        <w:t xml:space="preserve">IDE </w:t>
        <w:tab/>
        <w:t xml:space="preserve">Integrated Development Environment </w:t>
        <w:br/>
        <w:t>(integrierte Entwicklungsumgebung)</w:t>
      </w:r>
    </w:p>
    <w:p>
      <w:pPr>
        <w:pStyle w:val="GrundtextEinrckung"/>
        <w:rPr/>
      </w:pPr>
      <w:r>
        <w:rPr/>
        <w:t>IDoc</w:t>
        <w:tab/>
        <w:tab/>
        <w:t>Intermediate Document</w:t>
      </w:r>
    </w:p>
    <w:p>
      <w:pPr>
        <w:pStyle w:val="GrundtextEinrckung"/>
        <w:rPr/>
      </w:pPr>
      <w:r>
        <w:rPr/>
        <w:t>JDBC</w:t>
        <w:tab/>
        <w:tab/>
        <w:t>Java Database Connectivity</w:t>
      </w:r>
    </w:p>
    <w:p>
      <w:pPr>
        <w:pStyle w:val="GrundtextEinrckung"/>
        <w:rPr/>
      </w:pPr>
      <w:r>
        <w:rPr/>
        <w:t>JDE</w:t>
        <w:tab/>
        <w:tab/>
        <w:t>JD Edwards</w:t>
      </w:r>
    </w:p>
    <w:p>
      <w:pPr>
        <w:pStyle w:val="GrundtextEinrckung"/>
        <w:rPr/>
      </w:pPr>
      <w:r>
        <w:rPr/>
        <w:t>JDK</w:t>
        <w:tab/>
        <w:tab/>
        <w:t>Java Development Kit</w:t>
      </w:r>
    </w:p>
    <w:p>
      <w:pPr>
        <w:pStyle w:val="GrundtextEinrckung"/>
        <w:rPr/>
      </w:pPr>
      <w:r>
        <w:rPr>
          <w:szCs w:val="24"/>
        </w:rPr>
        <w:t>JRE</w:t>
        <w:tab/>
        <w:tab/>
        <w:t>Java Runtime Environment</w:t>
      </w:r>
    </w:p>
    <w:p>
      <w:pPr>
        <w:pStyle w:val="GrundtextEinrckung"/>
        <w:rPr/>
      </w:pPr>
      <w:r>
        <w:rPr/>
        <w:t>KVP</w:t>
        <w:tab/>
        <w:tab/>
        <w:t>kontinuierlicher Verbesserungsprozess</w:t>
      </w:r>
    </w:p>
    <w:p>
      <w:pPr>
        <w:pStyle w:val="GrundtextEinrckung"/>
        <w:rPr/>
      </w:pPr>
      <w:r>
        <w:rPr/>
        <w:t>OFTP</w:t>
        <w:tab/>
        <w:tab/>
        <w:t xml:space="preserve">Odette File Transfer Protocol </w:t>
      </w:r>
    </w:p>
    <w:p>
      <w:pPr>
        <w:pStyle w:val="GrundtextEinrckung"/>
        <w:rPr/>
      </w:pPr>
      <w:r>
        <w:rPr/>
        <w:t>RC</w:t>
        <w:tab/>
        <w:tab/>
        <w:t>Release Candidates</w:t>
      </w:r>
    </w:p>
    <w:p>
      <w:pPr>
        <w:pStyle w:val="GrundtextEinrckung"/>
        <w:ind w:left="2124" w:hanging="2124"/>
        <w:rPr/>
      </w:pPr>
      <w:r>
        <w:rPr/>
        <w:t>RDBMS</w:t>
        <w:tab/>
        <w:t xml:space="preserve">Relational Database Management System </w:t>
        <w:br/>
        <w:t>(relationales Datenbankverwaltungssystem)</w:t>
      </w:r>
      <w:r>
        <w:rPr/>
        <w:commentReference w:id="5"/>
      </w:r>
    </w:p>
    <w:p>
      <w:pPr>
        <w:pStyle w:val="GrundtextEinrckung"/>
        <w:rPr/>
      </w:pPr>
      <w:r>
        <w:rPr/>
        <w:t>RE</w:t>
        <w:tab/>
        <w:tab/>
        <w:t>Requirements Engineering</w:t>
      </w:r>
    </w:p>
    <w:p>
      <w:pPr>
        <w:pStyle w:val="GrundtextEinrckung"/>
        <w:rPr/>
      </w:pPr>
      <w:r>
        <w:rPr/>
        <w:t>RM</w:t>
        <w:tab/>
        <w:tab/>
        <w:t>Requirements Management</w:t>
      </w:r>
    </w:p>
    <w:p>
      <w:pPr>
        <w:pStyle w:val="GrundtextEinrckung"/>
        <w:rPr/>
      </w:pPr>
      <w:r>
        <w:rPr/>
        <w:t>PDF</w:t>
        <w:tab/>
        <w:tab/>
        <w:t>Portable Document Format</w:t>
      </w:r>
    </w:p>
    <w:p>
      <w:pPr>
        <w:pStyle w:val="GrundtextEinrckung"/>
        <w:rPr/>
      </w:pPr>
      <w:r>
        <w:rPr/>
        <w:t>SAP</w:t>
        <w:tab/>
        <w:tab/>
        <w:t>Systeme Anwendungen und Produkt</w:t>
      </w:r>
    </w:p>
    <w:p>
      <w:pPr>
        <w:pStyle w:val="GrundtextEinrckung"/>
        <w:rPr/>
      </w:pPr>
      <w:r>
        <w:rPr/>
        <w:t>SFTP</w:t>
        <w:tab/>
        <w:tab/>
        <w:t>Secure File Transfer Protocol</w:t>
      </w:r>
    </w:p>
    <w:p>
      <w:pPr>
        <w:pStyle w:val="GrundtextEinrckung"/>
        <w:rPr/>
      </w:pPr>
      <w:r>
        <w:rPr/>
        <w:t>SMTP</w:t>
        <w:tab/>
        <w:tab/>
        <w:t>Simple Mail Transfer Protocol</w:t>
      </w:r>
    </w:p>
    <w:p>
      <w:pPr>
        <w:pStyle w:val="GrundtextEinrckung"/>
        <w:rPr/>
      </w:pPr>
      <w:r>
        <w:rPr/>
        <w:t>SQL</w:t>
        <w:tab/>
        <w:tab/>
        <w:t>Structured Query Language</w:t>
      </w:r>
    </w:p>
    <w:p>
      <w:pPr>
        <w:pStyle w:val="GrundtextEinrckung"/>
        <w:rPr/>
      </w:pPr>
      <w:r>
        <w:rPr/>
        <w:t>SVN</w:t>
        <w:tab/>
        <w:tab/>
      </w:r>
      <w:r>
        <w:rPr>
          <w:szCs w:val="24"/>
        </w:rPr>
        <w:t>Subversion</w:t>
      </w:r>
    </w:p>
    <w:p>
      <w:pPr>
        <w:pStyle w:val="GrundtextEinrckung"/>
        <w:rPr/>
      </w:pPr>
      <w:r>
        <w:rPr/>
        <w:t>TRC</w:t>
        <w:tab/>
        <w:tab/>
        <w:t>Tradacoms</w:t>
      </w:r>
    </w:p>
    <w:p>
      <w:pPr>
        <w:pStyle w:val="GrundtextEinrckung"/>
        <w:rPr/>
      </w:pPr>
      <w:r>
        <w:rPr/>
        <w:t>WWW</w:t>
        <w:tab/>
        <w:tab/>
        <w:t>World Wide Web</w:t>
      </w:r>
    </w:p>
    <w:p>
      <w:pPr>
        <w:pStyle w:val="GrundtextEinrckung"/>
        <w:rPr/>
      </w:pPr>
      <w:r>
        <w:rPr/>
        <w:t>X12</w:t>
        <w:tab/>
        <w:tab/>
        <w:t>ANSI X12</w:t>
      </w:r>
    </w:p>
    <w:p>
      <w:pPr>
        <w:pStyle w:val="GrundtextEinrckung"/>
        <w:rPr/>
      </w:pPr>
      <w:r>
        <w:rPr/>
        <w:t>X.400</w:t>
        <w:tab/>
        <w:tab/>
        <w:t>E-Mail-System basierend auf P7-Protokoll</w:t>
      </w:r>
    </w:p>
    <w:p>
      <w:pPr>
        <w:pStyle w:val="GrundtextEinrckung"/>
        <w:rPr/>
      </w:pPr>
      <w:r>
        <w:rPr/>
        <w:t>XML</w:t>
        <w:tab/>
        <w:tab/>
        <w:t>Extensible Markup Language</w:t>
      </w:r>
    </w:p>
    <w:p>
      <w:pPr>
        <w:pStyle w:val="Grundtext"/>
        <w:rPr/>
      </w:pPr>
      <w:r>
        <w:rPr/>
      </w:r>
    </w:p>
    <w:p>
      <w:pPr>
        <w:pStyle w:val="BerschriftVerzeichnis"/>
        <w:numPr>
          <w:ilvl w:val="0"/>
          <w:numId w:val="0"/>
        </w:numPr>
        <w:ind w:left="851" w:hanging="851"/>
        <w:rPr/>
      </w:pPr>
      <w:bookmarkStart w:id="9" w:name="_Toc395354958"/>
      <w:bookmarkStart w:id="10" w:name="_Toc532290621"/>
      <w:bookmarkStart w:id="11" w:name="_Toc532295854"/>
      <w:bookmarkStart w:id="12" w:name="_Toc141868465"/>
      <w:r>
        <w:rPr/>
        <w:t>Abbildungsverzeichnis</w:t>
      </w:r>
      <w:bookmarkEnd w:id="9"/>
      <w:bookmarkEnd w:id="10"/>
      <w:bookmarkEnd w:id="11"/>
      <w:bookmarkEnd w:id="12"/>
    </w:p>
    <w:p>
      <w:pPr>
        <w:pStyle w:val="Tableoffigures"/>
        <w:rPr>
          <w:rFonts w:ascii="Calibri" w:hAnsi="Calibri" w:eastAsia="" w:cs="" w:asciiTheme="minorHAnsi" w:cstheme="minorBidi" w:eastAsiaTheme="minorEastAsia" w:hAnsiTheme="minorHAnsi"/>
          <w:sz w:val="22"/>
          <w:szCs w:val="22"/>
        </w:rPr>
      </w:pPr>
      <w:r>
        <w:fldChar w:fldCharType="begin"/>
      </w:r>
      <w:r>
        <w:rPr>
          <w:rStyle w:val="Verzeichnissprung"/>
          <w:b/>
        </w:rPr>
        <w:instrText> TOC \c </w:instrText>
      </w:r>
      <w:r>
        <w:rPr>
          <w:rStyle w:val="Verzeichnissprung"/>
          <w:b/>
        </w:rPr>
        <w:fldChar w:fldCharType="separate"/>
      </w:r>
      <w:hyperlink w:anchor="_Toc141868538">
        <w:r>
          <w:rPr>
            <w:rStyle w:val="Verzeichnissprung"/>
            <w:b/>
          </w:rPr>
          <w:t>Abb. 5.1:</w:t>
        </w:r>
        <w:r>
          <w:rPr>
            <w:rStyle w:val="Verzeichnissprung"/>
          </w:rPr>
          <w:t xml:space="preserve"> User Story Map</w:t>
        </w:r>
        <w:r>
          <w:rPr>
            <w:webHidden/>
          </w:rPr>
          <w:fldChar w:fldCharType="begin"/>
        </w:r>
        <w:r>
          <w:rPr>
            <w:webHidden/>
          </w:rPr>
          <w:instrText>PAGEREF _Toc141868538 \h</w:instrText>
        </w:r>
        <w:r>
          <w:rPr>
            <w:webHidden/>
          </w:rPr>
          <w:fldChar w:fldCharType="separate"/>
        </w:r>
        <w:r>
          <w:rPr>
            <w:rStyle w:val="Verzeichnissprung"/>
            <w:vanish w:val="false"/>
          </w:rPr>
          <w:tab/>
          <w:t>6</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39">
        <w:r>
          <w:rPr>
            <w:rStyle w:val="Verzeichnissprung"/>
            <w:b/>
          </w:rPr>
          <w:t>Abb. 6.1:</w:t>
        </w:r>
        <w:r>
          <w:rPr>
            <w:rStyle w:val="Verzeichnissprung"/>
          </w:rPr>
          <w:t xml:space="preserve"> BPMN-Diagramm zum Prozess "Datenkonvertierung"</w:t>
        </w:r>
        <w:r>
          <w:rPr>
            <w:webHidden/>
          </w:rPr>
          <w:fldChar w:fldCharType="begin"/>
        </w:r>
        <w:r>
          <w:rPr>
            <w:webHidden/>
          </w:rPr>
          <w:instrText>PAGEREF _Toc141868539 \h</w:instrText>
        </w:r>
        <w:r>
          <w:rPr>
            <w:webHidden/>
          </w:rPr>
          <w:fldChar w:fldCharType="separate"/>
        </w:r>
        <w:r>
          <w:rPr>
            <w:rStyle w:val="Verzeichnissprung"/>
            <w:vanish w:val="false"/>
          </w:rPr>
          <w:tab/>
          <w:t>11</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0">
        <w:r>
          <w:rPr>
            <w:rStyle w:val="Verzeichnissprung"/>
            <w:b/>
          </w:rPr>
          <w:t>Abb. 9.1:</w:t>
        </w:r>
        <w:r>
          <w:rPr>
            <w:rStyle w:val="Verzeichnissprung"/>
          </w:rPr>
          <w:t xml:space="preserve"> Grundlegende Teststrategie</w:t>
        </w:r>
        <w:r>
          <w:rPr>
            <w:webHidden/>
          </w:rPr>
          <w:fldChar w:fldCharType="begin"/>
        </w:r>
        <w:r>
          <w:rPr>
            <w:webHidden/>
          </w:rPr>
          <w:instrText>PAGEREF _Toc141868540 \h</w:instrText>
        </w:r>
        <w:r>
          <w:rPr>
            <w:webHidden/>
          </w:rPr>
          <w:fldChar w:fldCharType="separate"/>
        </w:r>
        <w:r>
          <w:rPr>
            <w:rStyle w:val="Verzeichnissprung"/>
            <w:vanish w:val="false"/>
          </w:rPr>
          <w:tab/>
          <w:t>20</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1">
        <w:r>
          <w:rPr>
            <w:rStyle w:val="Verzeichnissprung"/>
            <w:b/>
          </w:rPr>
          <w:t>Abb. 9.2:</w:t>
        </w:r>
        <w:r>
          <w:rPr>
            <w:rStyle w:val="Verzeichnissprung"/>
          </w:rPr>
          <w:t xml:space="preserve"> Die vier Prüfebenen des Software-Tests</w:t>
        </w:r>
        <w:r>
          <w:rPr>
            <w:rStyle w:val="Verzeichnissprung"/>
            <w:vanish w:val="false"/>
          </w:rPr>
          <w:tab/>
          <w:t>22</w:t>
        </w:r>
        <w:r>
          <w:rPr>
            <w:webHidden/>
          </w:rPr>
          <w:fldChar w:fldCharType="begin"/>
        </w:r>
        <w:r>
          <w:rPr>
            <w:webHidden/>
          </w:rPr>
          <w:instrText>PAGEREF _Toc141868541 \h</w:instrText>
        </w:r>
        <w:r>
          <w:rPr>
            <w:webHidden/>
          </w:rPr>
          <w:fldChar w:fldCharType="separate"/>
        </w:r>
        <w:r>
          <w:rPr>
            <w:rFonts w:eastAsia="" w:cs="" w:ascii="Calibri" w:hAnsi="Calibri" w:asciiTheme="minorHAnsi" w:cstheme="minorBidi" w:eastAsiaTheme="minorEastAsia" w:hAnsiTheme="minorHAnsi"/>
            <w:vanish w:val="false"/>
            <w:sz w:val="22"/>
            <w:szCs w:val="22"/>
          </w:rPr>
          <w:commentReference w:id="6"/>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2">
        <w:r>
          <w:rPr>
            <w:rStyle w:val="Verzeichnissprung"/>
            <w:b/>
          </w:rPr>
          <w:t>Abb. 9.3:</w:t>
        </w:r>
        <w:r>
          <w:rPr>
            <w:rStyle w:val="Verzeichnissprung"/>
          </w:rPr>
          <w:t xml:space="preserve"> Schematische Darstellung eines Black-Box-Tests</w:t>
        </w:r>
        <w:r>
          <w:rPr>
            <w:webHidden/>
          </w:rPr>
          <w:fldChar w:fldCharType="begin"/>
        </w:r>
        <w:r>
          <w:rPr>
            <w:webHidden/>
          </w:rPr>
          <w:instrText>PAGEREF _Toc141868542 \h</w:instrText>
        </w:r>
        <w:r>
          <w:rPr>
            <w:webHidden/>
          </w:rPr>
          <w:fldChar w:fldCharType="separate"/>
        </w:r>
        <w:r>
          <w:rPr>
            <w:rStyle w:val="Verzeichnissprung"/>
            <w:vanish w:val="false"/>
          </w:rPr>
          <w:tab/>
          <w:t>23</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3">
        <w:r>
          <w:rPr>
            <w:rStyle w:val="Verzeichnissprung"/>
            <w:b/>
          </w:rPr>
          <w:t>Abb. 9.4:</w:t>
        </w:r>
        <w:r>
          <w:rPr>
            <w:rStyle w:val="Verzeichnissprung"/>
          </w:rPr>
          <w:t xml:space="preserve"> Schematischer Testablauf</w:t>
        </w:r>
        <w:r>
          <w:rPr>
            <w:webHidden/>
          </w:rPr>
          <w:fldChar w:fldCharType="begin"/>
        </w:r>
        <w:r>
          <w:rPr>
            <w:webHidden/>
          </w:rPr>
          <w:instrText>PAGEREF _Toc141868543 \h</w:instrText>
        </w:r>
        <w:r>
          <w:rPr>
            <w:webHidden/>
          </w:rPr>
          <w:fldChar w:fldCharType="separate"/>
        </w:r>
        <w:r>
          <w:rPr>
            <w:rStyle w:val="Verzeichnissprung"/>
            <w:vanish w:val="false"/>
          </w:rPr>
          <w:tab/>
          <w:t>24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4">
        <w:r>
          <w:rPr>
            <w:rStyle w:val="Verzeichnissprung"/>
            <w:b/>
          </w:rPr>
          <w:t>Abb. 9.5:</w:t>
        </w:r>
        <w:r>
          <w:rPr>
            <w:rStyle w:val="Verzeichnissprung"/>
          </w:rPr>
          <w:t xml:space="preserve"> Einrichten der Umgebungsvariablen im Betriebssystem des Web-Servers</w:t>
        </w:r>
        <w:r>
          <w:rPr>
            <w:webHidden/>
          </w:rPr>
          <w:fldChar w:fldCharType="begin"/>
        </w:r>
        <w:r>
          <w:rPr>
            <w:webHidden/>
          </w:rPr>
          <w:instrText>PAGEREF _Toc141868544 \h</w:instrText>
        </w:r>
        <w:r>
          <w:rPr>
            <w:webHidden/>
          </w:rPr>
          <w:fldChar w:fldCharType="separate"/>
        </w:r>
        <w:r>
          <w:rPr>
            <w:rStyle w:val="Verzeichnissprung"/>
            <w:vanish w:val="false"/>
          </w:rPr>
          <w:tab/>
          <w:t>26</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5">
        <w:r>
          <w:rPr>
            <w:rStyle w:val="Verzeichnissprung"/>
            <w:b/>
          </w:rPr>
          <w:t xml:space="preserve">Abb. 9.6: </w:t>
        </w:r>
        <w:r>
          <w:rPr>
            <w:rStyle w:val="Verzeichnissprung"/>
          </w:rPr>
          <w:t>Progress Monitor: Mandantenanalage im "Progress Monitor"</w:t>
        </w:r>
        <w:r>
          <w:rPr>
            <w:webHidden/>
          </w:rPr>
          <w:fldChar w:fldCharType="begin"/>
        </w:r>
        <w:r>
          <w:rPr>
            <w:webHidden/>
          </w:rPr>
          <w:instrText>PAGEREF _Toc141868545 \h</w:instrText>
        </w:r>
        <w:r>
          <w:rPr>
            <w:webHidden/>
          </w:rPr>
          <w:fldChar w:fldCharType="separate"/>
        </w:r>
        <w:r>
          <w:rPr>
            <w:rStyle w:val="Verzeichnissprung"/>
            <w:vanish w:val="false"/>
          </w:rPr>
          <w:tab/>
          <w:t>26</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6">
        <w:r>
          <w:rPr>
            <w:rStyle w:val="Verzeichnissprung"/>
            <w:b/>
          </w:rPr>
          <w:t>Abb. 9.7:</w:t>
        </w:r>
        <w:r>
          <w:rPr>
            <w:rStyle w:val="Verzeichnissprung"/>
          </w:rPr>
          <w:t xml:space="preserve"> Progress Monitor: Benutzeranalage im "Progress Monitor"</w:t>
        </w:r>
        <w:r>
          <w:rPr>
            <w:webHidden/>
          </w:rPr>
          <w:fldChar w:fldCharType="begin"/>
        </w:r>
        <w:r>
          <w:rPr>
            <w:webHidden/>
          </w:rPr>
          <w:instrText>PAGEREF _Toc141868546 \h</w:instrText>
        </w:r>
        <w:r>
          <w:rPr>
            <w:webHidden/>
          </w:rPr>
          <w:fldChar w:fldCharType="separate"/>
        </w:r>
        <w:r>
          <w:rPr>
            <w:rStyle w:val="Verzeichnissprung"/>
            <w:vanish w:val="false"/>
          </w:rPr>
          <w:tab/>
          <w:t>27</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7">
        <w:r>
          <w:rPr>
            <w:rStyle w:val="Verzeichnissprung"/>
            <w:b/>
          </w:rPr>
          <w:t>Abb. 9.8:</w:t>
        </w:r>
        <w:r>
          <w:rPr>
            <w:rStyle w:val="Verzeichnissprung"/>
          </w:rPr>
          <w:t xml:space="preserve"> Progress Monitor: Anlage eines Testkunden</w:t>
        </w:r>
        <w:r>
          <w:rPr>
            <w:webHidden/>
          </w:rPr>
          <w:fldChar w:fldCharType="begin"/>
        </w:r>
        <w:r>
          <w:rPr>
            <w:webHidden/>
          </w:rPr>
          <w:instrText>PAGEREF _Toc141868547 \h</w:instrText>
        </w:r>
        <w:r>
          <w:rPr>
            <w:webHidden/>
          </w:rPr>
          <w:fldChar w:fldCharType="separate"/>
        </w:r>
        <w:r>
          <w:rPr>
            <w:rStyle w:val="Verzeichnissprung"/>
            <w:vanish w:val="false"/>
          </w:rPr>
          <w:tab/>
          <w:t>27</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8">
        <w:r>
          <w:rPr>
            <w:rStyle w:val="Verzeichnissprung"/>
            <w:b/>
          </w:rPr>
          <w:t>Abb. 9.9:</w:t>
        </w:r>
        <w:r>
          <w:rPr>
            <w:rStyle w:val="Verzeichnissprung"/>
          </w:rPr>
          <w:t xml:space="preserve"> Progress Monitor: Anlage eines Testlieferanten</w:t>
        </w:r>
        <w:r>
          <w:rPr>
            <w:webHidden/>
          </w:rPr>
          <w:fldChar w:fldCharType="begin"/>
        </w:r>
        <w:r>
          <w:rPr>
            <w:webHidden/>
          </w:rPr>
          <w:instrText>PAGEREF _Toc141868548 \h</w:instrText>
        </w:r>
        <w:r>
          <w:rPr>
            <w:webHidden/>
          </w:rPr>
          <w:fldChar w:fldCharType="separate"/>
        </w:r>
        <w:r>
          <w:rPr>
            <w:rStyle w:val="Verzeichnissprung"/>
            <w:vanish w:val="false"/>
          </w:rPr>
          <w:tab/>
          <w:t>27</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49">
        <w:r>
          <w:rPr>
            <w:rStyle w:val="Verzeichnissprung"/>
            <w:b/>
          </w:rPr>
          <w:t>Abb. 9.10</w:t>
        </w:r>
        <w:r>
          <w:rPr>
            <w:rStyle w:val="Verzeichnissprung"/>
          </w:rPr>
          <w:t>: Progress Monitor: Anlage eines Workflows</w:t>
        </w:r>
        <w:r>
          <w:rPr>
            <w:webHidden/>
          </w:rPr>
          <w:fldChar w:fldCharType="begin"/>
        </w:r>
        <w:r>
          <w:rPr>
            <w:webHidden/>
          </w:rPr>
          <w:instrText>PAGEREF _Toc141868549 \h</w:instrText>
        </w:r>
        <w:r>
          <w:rPr>
            <w:webHidden/>
          </w:rPr>
          <w:fldChar w:fldCharType="separate"/>
        </w:r>
        <w:r>
          <w:rPr>
            <w:rStyle w:val="Verzeichnissprung"/>
            <w:vanish w:val="false"/>
          </w:rPr>
          <w:tab/>
          <w:t>28</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0">
        <w:r>
          <w:rPr>
            <w:rStyle w:val="Verzeichnissprung"/>
            <w:b/>
          </w:rPr>
          <w:t>Abb. 9.11:</w:t>
        </w:r>
        <w:r>
          <w:rPr>
            <w:rStyle w:val="Verzeichnissprung"/>
          </w:rPr>
          <w:t xml:space="preserve"> Abbildung zum Testfall 6.1.3 in der Testsequenz TS-6.1</w:t>
        </w:r>
        <w:r>
          <w:rPr>
            <w:webHidden/>
          </w:rPr>
          <w:fldChar w:fldCharType="begin"/>
        </w:r>
        <w:r>
          <w:rPr>
            <w:webHidden/>
          </w:rPr>
          <w:instrText>PAGEREF _Toc141868550 \h</w:instrText>
        </w:r>
        <w:r>
          <w:rPr>
            <w:webHidden/>
          </w:rPr>
          <w:fldChar w:fldCharType="separate"/>
        </w:r>
        <w:r>
          <w:rPr>
            <w:rStyle w:val="Verzeichnissprung"/>
            <w:vanish w:val="false"/>
          </w:rPr>
          <w:tab/>
          <w:t>30</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1">
        <w:r>
          <w:rPr>
            <w:rStyle w:val="Verzeichnissprung"/>
            <w:b/>
          </w:rPr>
          <w:t xml:space="preserve">Abb. 9.12: </w:t>
        </w:r>
        <w:r>
          <w:rPr>
            <w:rStyle w:val="Verzeichnissprung"/>
          </w:rPr>
          <w:t>Übergabe der Test-Datei an den Datenkonverter, Testfall "TF-6.1.3"</w:t>
        </w:r>
        <w:r>
          <w:rPr>
            <w:webHidden/>
          </w:rPr>
          <w:fldChar w:fldCharType="begin"/>
        </w:r>
        <w:r>
          <w:rPr>
            <w:webHidden/>
          </w:rPr>
          <w:instrText>PAGEREF _Toc141868551 \h</w:instrText>
        </w:r>
        <w:r>
          <w:rPr>
            <w:webHidden/>
          </w:rPr>
          <w:fldChar w:fldCharType="separate"/>
        </w:r>
        <w:r>
          <w:rPr>
            <w:rStyle w:val="Verzeichnissprung"/>
            <w:vanish w:val="false"/>
          </w:rPr>
          <w:tab/>
          <w:t>31</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2">
        <w:r>
          <w:rPr>
            <w:rStyle w:val="Verzeichnissprung"/>
            <w:b/>
          </w:rPr>
          <w:t>Abb. 9.13:</w:t>
        </w:r>
        <w:r>
          <w:rPr>
            <w:rStyle w:val="Verzeichnissprung"/>
          </w:rPr>
          <w:t xml:space="preserve"> Bildschirmausgabe zum Testfall 6.1.3</w:t>
        </w:r>
        <w:r>
          <w:rPr>
            <w:webHidden/>
          </w:rPr>
          <w:fldChar w:fldCharType="begin"/>
        </w:r>
        <w:r>
          <w:rPr>
            <w:webHidden/>
          </w:rPr>
          <w:instrText>PAGEREF _Toc141868552 \h</w:instrText>
        </w:r>
        <w:r>
          <w:rPr>
            <w:webHidden/>
          </w:rPr>
          <w:fldChar w:fldCharType="separate"/>
        </w:r>
        <w:r>
          <w:rPr>
            <w:rStyle w:val="Verzeichnissprung"/>
            <w:vanish w:val="false"/>
          </w:rPr>
          <w:tab/>
          <w:t>32</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3">
        <w:r>
          <w:rPr>
            <w:rStyle w:val="Verzeichnissprung"/>
            <w:b/>
          </w:rPr>
          <w:t>Abb. 10.1:</w:t>
        </w:r>
        <w:r>
          <w:rPr>
            <w:rStyle w:val="Verzeichnissprung"/>
          </w:rPr>
          <w:t xml:space="preserve"> Testbericht zum Test der Software „Progress Monitor“, Seite 2</w:t>
        </w:r>
        <w:r>
          <w:rPr>
            <w:webHidden/>
          </w:rPr>
          <w:fldChar w:fldCharType="begin"/>
        </w:r>
        <w:r>
          <w:rPr>
            <w:webHidden/>
          </w:rPr>
          <w:instrText>PAGEREF _Toc141868553 \h</w:instrText>
        </w:r>
        <w:r>
          <w:rPr>
            <w:webHidden/>
          </w:rPr>
          <w:fldChar w:fldCharType="separate"/>
        </w:r>
        <w:r>
          <w:rPr>
            <w:rStyle w:val="Verzeichnissprung"/>
            <w:vanish w:val="false"/>
          </w:rPr>
          <w:tab/>
          <w:t>41</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4">
        <w:r>
          <w:rPr>
            <w:rStyle w:val="Verzeichnissprung"/>
            <w:b/>
          </w:rPr>
          <w:t>Abb. 10.2:</w:t>
        </w:r>
        <w:r>
          <w:rPr>
            <w:rStyle w:val="Verzeichnissprung"/>
          </w:rPr>
          <w:t xml:space="preserve"> Testbericht zum Test der Software „Progress Monitor“, Seite 3</w:t>
        </w:r>
        <w:r>
          <w:rPr>
            <w:webHidden/>
          </w:rPr>
          <w:fldChar w:fldCharType="begin"/>
        </w:r>
        <w:r>
          <w:rPr>
            <w:webHidden/>
          </w:rPr>
          <w:instrText>PAGEREF _Toc141868554 \h</w:instrText>
        </w:r>
        <w:r>
          <w:rPr>
            <w:webHidden/>
          </w:rPr>
          <w:fldChar w:fldCharType="separate"/>
        </w:r>
        <w:r>
          <w:rPr>
            <w:rStyle w:val="Verzeichnissprung"/>
            <w:vanish w:val="false"/>
          </w:rPr>
          <w:tab/>
          <w:t>42</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5">
        <w:r>
          <w:rPr>
            <w:rStyle w:val="Verzeichnissprung"/>
            <w:b/>
          </w:rPr>
          <w:t>Abb. 10.3:</w:t>
        </w:r>
        <w:r>
          <w:rPr>
            <w:rStyle w:val="Verzeichnissprung"/>
          </w:rPr>
          <w:t xml:space="preserve"> Testbericht zum Test der Software „Progress Monitor“, Seite 4</w:t>
        </w:r>
        <w:r>
          <w:rPr>
            <w:webHidden/>
          </w:rPr>
          <w:fldChar w:fldCharType="begin"/>
        </w:r>
        <w:r>
          <w:rPr>
            <w:webHidden/>
          </w:rPr>
          <w:instrText>PAGEREF _Toc141868555 \h</w:instrText>
        </w:r>
        <w:r>
          <w:rPr>
            <w:webHidden/>
          </w:rPr>
          <w:fldChar w:fldCharType="separate"/>
        </w:r>
        <w:r>
          <w:rPr>
            <w:rStyle w:val="Verzeichnissprung"/>
            <w:vanish w:val="false"/>
          </w:rPr>
          <w:tab/>
          <w:t>43</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6">
        <w:r>
          <w:rPr>
            <w:rStyle w:val="Verzeichnissprung"/>
            <w:b/>
          </w:rPr>
          <w:t>Abb. 10.4:</w:t>
        </w:r>
        <w:r>
          <w:rPr>
            <w:rStyle w:val="Verzeichnissprung"/>
          </w:rPr>
          <w:t xml:space="preserve"> Testbericht zum Test der Software „Progress Monitor“, Seite 5</w:t>
        </w:r>
        <w:r>
          <w:rPr>
            <w:webHidden/>
          </w:rPr>
          <w:fldChar w:fldCharType="begin"/>
        </w:r>
        <w:r>
          <w:rPr>
            <w:webHidden/>
          </w:rPr>
          <w:instrText>PAGEREF _Toc141868556 \h</w:instrText>
        </w:r>
        <w:r>
          <w:rPr>
            <w:webHidden/>
          </w:rPr>
          <w:fldChar w:fldCharType="separate"/>
        </w:r>
        <w:r>
          <w:rPr>
            <w:rStyle w:val="Verzeichnissprung"/>
            <w:vanish w:val="false"/>
          </w:rPr>
          <w:tab/>
          <w:t>44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7">
        <w:r>
          <w:rPr>
            <w:rStyle w:val="Verzeichnissprung"/>
            <w:b/>
          </w:rPr>
          <w:t>Abb. 10.5:</w:t>
        </w:r>
        <w:r>
          <w:rPr>
            <w:rStyle w:val="Verzeichnissprung"/>
          </w:rPr>
          <w:t xml:space="preserve"> Testbericht zum Test der Software „Progress Monitor“, Seite 6</w:t>
        </w:r>
        <w:r>
          <w:rPr>
            <w:webHidden/>
          </w:rPr>
          <w:fldChar w:fldCharType="begin"/>
        </w:r>
        <w:r>
          <w:rPr>
            <w:webHidden/>
          </w:rPr>
          <w:instrText>PAGEREF _Toc141868557 \h</w:instrText>
        </w:r>
        <w:r>
          <w:rPr>
            <w:webHidden/>
          </w:rPr>
          <w:fldChar w:fldCharType="separate"/>
        </w:r>
        <w:r>
          <w:rPr>
            <w:rStyle w:val="Verzeichnissprung"/>
            <w:vanish w:val="false"/>
          </w:rPr>
          <w:tab/>
          <w:t>45</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58">
        <w:r>
          <w:rPr>
            <w:rStyle w:val="Verzeichnissprung"/>
            <w:b/>
          </w:rPr>
          <w:t>Abb. 10.6:</w:t>
        </w:r>
        <w:r>
          <w:rPr>
            <w:rStyle w:val="Verzeichnissprung"/>
          </w:rPr>
          <w:t xml:space="preserve"> BPMN zum Prozess „Softwaretest“</w:t>
        </w:r>
        <w:r>
          <w:rPr>
            <w:webHidden/>
          </w:rPr>
          <w:fldChar w:fldCharType="begin"/>
        </w:r>
        <w:r>
          <w:rPr>
            <w:webHidden/>
          </w:rPr>
          <w:instrText>PAGEREF _Toc141868558 \h</w:instrText>
        </w:r>
        <w:r>
          <w:rPr>
            <w:webHidden/>
          </w:rPr>
          <w:fldChar w:fldCharType="separate"/>
        </w:r>
        <w:r>
          <w:rPr>
            <w:rStyle w:val="Verzeichnissprung"/>
            <w:vanish w:val="false"/>
          </w:rPr>
          <w:tab/>
          <w:t>46</w:t>
        </w:r>
        <w:r>
          <w:rPr>
            <w:webHidden/>
          </w:rPr>
          <w:fldChar w:fldCharType="end"/>
        </w:r>
      </w:hyperlink>
      <w:r>
        <w:rPr>
          <w:rStyle w:val="Verzeichnissprung"/>
          <w:vanish w:val="false"/>
        </w:rPr>
        <w:fldChar w:fldCharType="end"/>
      </w:r>
    </w:p>
    <w:p>
      <w:pPr>
        <w:pStyle w:val="Grundtext"/>
        <w:rPr/>
      </w:pPr>
      <w:r>
        <w:rPr/>
      </w:r>
    </w:p>
    <w:p>
      <w:pPr>
        <w:pStyle w:val="BerschriftVerzeichnis"/>
        <w:numPr>
          <w:ilvl w:val="0"/>
          <w:numId w:val="0"/>
        </w:numPr>
        <w:ind w:left="851" w:hanging="851"/>
        <w:rPr/>
      </w:pPr>
      <w:bookmarkStart w:id="13" w:name="_Toc395354959"/>
      <w:bookmarkStart w:id="14" w:name="_Toc532290622"/>
      <w:bookmarkStart w:id="15" w:name="_Toc532295855"/>
      <w:bookmarkStart w:id="16" w:name="_Toc141868466"/>
      <w:r>
        <w:rPr/>
        <w:t>Tabellenverzeichnis</w:t>
      </w:r>
      <w:bookmarkEnd w:id="13"/>
      <w:bookmarkEnd w:id="14"/>
      <w:bookmarkEnd w:id="15"/>
      <w:bookmarkEnd w:id="16"/>
    </w:p>
    <w:p>
      <w:pPr>
        <w:pStyle w:val="Tableoffigures"/>
        <w:rPr>
          <w:rFonts w:ascii="Calibri" w:hAnsi="Calibri" w:eastAsia="" w:cs="" w:asciiTheme="minorHAnsi" w:cstheme="minorBidi" w:eastAsiaTheme="minorEastAsia" w:hAnsiTheme="minorHAnsi"/>
          <w:sz w:val="22"/>
          <w:szCs w:val="22"/>
        </w:rPr>
      </w:pPr>
      <w:r>
        <w:fldChar w:fldCharType="begin"/>
      </w:r>
      <w:r>
        <w:rPr>
          <w:rStyle w:val="Verzeichnissprung"/>
          <w:b/>
        </w:rPr>
        <w:instrText> TOC \c "Tab." </w:instrText>
      </w:r>
      <w:r>
        <w:rPr>
          <w:rStyle w:val="Verzeichnissprung"/>
          <w:b/>
        </w:rPr>
        <w:fldChar w:fldCharType="separate"/>
      </w:r>
      <w:hyperlink w:anchor="_Toc141868559">
        <w:r>
          <w:rPr>
            <w:rStyle w:val="Verzeichnissprung"/>
            <w:b/>
          </w:rPr>
          <w:t>Tab. 6.1:</w:t>
        </w:r>
        <w:r>
          <w:rPr>
            <w:rStyle w:val="Verzeichnissprung"/>
          </w:rPr>
          <w:t xml:space="preserve"> Übersicht zu unterstützten Datenformaten und Kommunikationsprotokollen</w:t>
        </w:r>
        <w:r>
          <w:rPr>
            <w:webHidden/>
          </w:rPr>
          <w:fldChar w:fldCharType="begin"/>
        </w:r>
        <w:r>
          <w:rPr>
            <w:webHidden/>
          </w:rPr>
          <w:instrText>PAGEREF _Toc141868559 \h</w:instrText>
        </w:r>
        <w:r>
          <w:rPr>
            <w:webHidden/>
          </w:rPr>
          <w:fldChar w:fldCharType="separate"/>
        </w:r>
        <w:r>
          <w:rPr>
            <w:rStyle w:val="Verzeichnissprung"/>
            <w:vanish w:val="false"/>
          </w:rPr>
          <w:tab/>
          <w:t>10</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60">
        <w:r>
          <w:rPr>
            <w:rStyle w:val="Verzeichnissprung"/>
            <w:b/>
          </w:rPr>
          <w:t>Tab. 6.2:</w:t>
        </w:r>
        <w:r>
          <w:rPr>
            <w:rStyle w:val="Verzeichnissprung"/>
          </w:rPr>
          <w:t xml:space="preserve"> Übersicht zu den existierenden Systemkomponenten</w:t>
        </w:r>
        <w:r>
          <w:rPr>
            <w:webHidden/>
          </w:rPr>
          <w:fldChar w:fldCharType="begin"/>
        </w:r>
        <w:r>
          <w:rPr>
            <w:webHidden/>
          </w:rPr>
          <w:instrText>PAGEREF _Toc141868560 \h</w:instrText>
        </w:r>
        <w:r>
          <w:rPr>
            <w:webHidden/>
          </w:rPr>
          <w:fldChar w:fldCharType="separate"/>
        </w:r>
        <w:r>
          <w:rPr>
            <w:rStyle w:val="Verzeichnissprung"/>
            <w:vanish w:val="false"/>
          </w:rPr>
          <w:tab/>
          <w:t>12</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61">
        <w:r>
          <w:rPr>
            <w:rStyle w:val="Verzeichnissprung"/>
            <w:b/>
          </w:rPr>
          <w:t>Tab. 7.1:</w:t>
        </w:r>
        <w:r>
          <w:rPr>
            <w:rStyle w:val="Verzeichnissprung"/>
          </w:rPr>
          <w:t xml:space="preserve"> Spezifikation und Entwurfsentscheidungen</w:t>
        </w:r>
        <w:r>
          <w:rPr>
            <w:webHidden/>
          </w:rPr>
          <w:fldChar w:fldCharType="begin"/>
        </w:r>
        <w:r>
          <w:rPr>
            <w:webHidden/>
          </w:rPr>
          <w:instrText>PAGEREF _Toc141868561 \h</w:instrText>
        </w:r>
        <w:r>
          <w:rPr>
            <w:webHidden/>
          </w:rPr>
          <w:fldChar w:fldCharType="separate"/>
        </w:r>
        <w:r>
          <w:rPr>
            <w:rStyle w:val="Verzeichnissprung"/>
            <w:vanish w:val="false"/>
          </w:rPr>
          <w:tab/>
          <w:t>15</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62">
        <w:r>
          <w:rPr>
            <w:rStyle w:val="Verzeichnissprung"/>
            <w:b/>
          </w:rPr>
          <w:t>Tab.  9.1:</w:t>
        </w:r>
        <w:r>
          <w:rPr>
            <w:rStyle w:val="Verzeichnissprung"/>
          </w:rPr>
          <w:t xml:space="preserve"> Übersicht über die zu installierenden Programme</w:t>
        </w:r>
        <w:r>
          <w:rPr>
            <w:webHidden/>
          </w:rPr>
          <w:fldChar w:fldCharType="begin"/>
        </w:r>
        <w:r>
          <w:rPr>
            <w:webHidden/>
          </w:rPr>
          <w:instrText>PAGEREF _Toc141868562 \h</w:instrText>
        </w:r>
        <w:r>
          <w:rPr>
            <w:webHidden/>
          </w:rPr>
          <w:fldChar w:fldCharType="separate"/>
        </w:r>
        <w:r>
          <w:rPr>
            <w:rStyle w:val="Verzeichnissprung"/>
            <w:vanish w:val="false"/>
          </w:rPr>
          <w:tab/>
          <w:t>25</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63">
        <w:r>
          <w:rPr>
            <w:rStyle w:val="Verzeichnissprung"/>
            <w:b/>
          </w:rPr>
          <w:t>Tab. 10.1:</w:t>
        </w:r>
        <w:r>
          <w:rPr>
            <w:rStyle w:val="Verzeichnissprung"/>
          </w:rPr>
          <w:t xml:space="preserve"> Anforderungsdokument ReqSpec 1.001 vom 26.06.2023</w:t>
        </w:r>
        <w:r>
          <w:rPr>
            <w:webHidden/>
          </w:rPr>
          <w:fldChar w:fldCharType="begin"/>
        </w:r>
        <w:r>
          <w:rPr>
            <w:webHidden/>
          </w:rPr>
          <w:instrText>PAGEREF _Toc141868563 \h</w:instrText>
        </w:r>
        <w:r>
          <w:rPr>
            <w:webHidden/>
          </w:rPr>
          <w:fldChar w:fldCharType="separate"/>
        </w:r>
        <w:r>
          <w:rPr>
            <w:rStyle w:val="Verzeichnissprung"/>
            <w:vanish w:val="false"/>
          </w:rPr>
          <w:tab/>
          <w:t>35</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1868564">
        <w:r>
          <w:rPr>
            <w:rStyle w:val="Verzeichnissprung"/>
            <w:b/>
          </w:rPr>
          <w:t>Tab. 10.2:</w:t>
        </w:r>
        <w:r>
          <w:rPr>
            <w:rStyle w:val="Verzeichnissprung"/>
          </w:rPr>
          <w:t xml:space="preserve"> Risikokatalog</w:t>
        </w:r>
        <w:r>
          <w:rPr>
            <w:webHidden/>
          </w:rPr>
          <w:fldChar w:fldCharType="begin"/>
        </w:r>
        <w:r>
          <w:rPr>
            <w:webHidden/>
          </w:rPr>
          <w:instrText>PAGEREF _Toc141868564 \h</w:instrText>
        </w:r>
        <w:r>
          <w:rPr>
            <w:webHidden/>
          </w:rPr>
          <w:fldChar w:fldCharType="separate"/>
        </w:r>
        <w:r>
          <w:rPr>
            <w:rStyle w:val="Verzeichnissprung"/>
            <w:vanish w:val="false"/>
          </w:rPr>
          <w:tab/>
          <w:t>38</w:t>
        </w:r>
        <w:r>
          <w:rPr>
            <w:webHidden/>
          </w:rPr>
          <w:fldChar w:fldCharType="end"/>
        </w:r>
      </w:hyperlink>
      <w:r>
        <w:rPr>
          <w:rStyle w:val="Verzeichnissprung"/>
          <w:vanish w:val="false"/>
        </w:rPr>
        <w:fldChar w:fldCharType="end"/>
      </w:r>
    </w:p>
    <w:p>
      <w:pPr>
        <w:sectPr>
          <w:headerReference w:type="default" r:id="rId5"/>
          <w:headerReference w:type="first" r:id="rId6"/>
          <w:type w:val="nextPage"/>
          <w:pgSz w:w="11906" w:h="16838"/>
          <w:pgMar w:left="1701" w:right="1701" w:header="720" w:top="1701" w:footer="0" w:bottom="1134" w:gutter="0"/>
          <w:pgNumType w:fmt="upperRoman"/>
          <w:formProt w:val="false"/>
          <w:titlePg/>
          <w:textDirection w:val="lrTb"/>
          <w:docGrid w:type="default" w:linePitch="100" w:charSpace="0"/>
        </w:sectPr>
      </w:pPr>
    </w:p>
    <w:p>
      <w:pPr>
        <w:pStyle w:val="Berschrift1"/>
        <w:numPr>
          <w:ilvl w:val="0"/>
          <w:numId w:val="0"/>
        </w:numPr>
        <w:ind w:left="0" w:hanging="0"/>
        <w:rPr>
          <w:b/>
          <w:b/>
          <w:u w:val="single"/>
        </w:rPr>
      </w:pPr>
      <w:bookmarkStart w:id="17" w:name="_Toc141868467"/>
      <w:r>
        <w:rPr/>
        <w:t>Definition der Begriffe</w:t>
      </w:r>
      <w:bookmarkEnd w:id="17"/>
    </w:p>
    <w:p>
      <w:pPr>
        <w:pStyle w:val="Grundtext"/>
        <w:rPr>
          <w:b/>
          <w:b/>
          <w:u w:val="single"/>
        </w:rPr>
      </w:pPr>
      <w:r>
        <w:rPr/>
        <w:t>Für das Verständnis der Arbeit und die richtige semantische Einordnung der Fachbegriffe werden diese folgend definiert.</w:t>
      </w:r>
    </w:p>
    <w:p>
      <w:pPr>
        <w:pStyle w:val="Grundtext"/>
        <w:rPr>
          <w:b/>
          <w:b/>
          <w:u w:val="single"/>
        </w:rPr>
      </w:pPr>
      <w:r>
        <w:rPr>
          <w:i/>
        </w:rPr>
        <w:t>Apache Tomcat</w:t>
      </w:r>
    </w:p>
    <w:p>
      <w:pPr>
        <w:pStyle w:val="Grundtext"/>
        <w:rPr>
          <w:b/>
          <w:b/>
          <w:u w:val="single"/>
        </w:rPr>
      </w:pPr>
      <w:r>
        <w:rPr/>
        <w:t>Apache Tomcat</w:t>
      </w:r>
      <w:r>
        <w:rPr>
          <w:vertAlign w:val="superscript"/>
        </w:rPr>
        <w:t>®</w:t>
      </w:r>
      <w:r>
        <w:rPr/>
        <w:t xml:space="preserve"> ist eine Open Source Software und stellt die Dienste eines World Wide Web (WWW)-Servers (Web-Servers) zur Verfügung </w:t>
      </w:r>
      <w:r>
        <w:fldChar w:fldCharType="begin"/>
      </w:r>
      <w:r>
        <w:rPr/>
        <w:instrText>ADDIN ZOTERO_ITEM CSL_CITATION {"citationID":"xBfj94TG","properties":{"formattedCitation":"(Vgl. Alpar et al., (2023), S. 537)","plainCitation":"(Vgl. Alpar et al., (2023), S. 537)","noteIndex":0},"citationItems":[{"id":"RLKPnpNr/m4iW34uq","uris":["http://zotero.org/users/10411486/items/TNMHKFRS"],"itemData":{"id":833,"type":"book","event-place":"Wiesbaden","ISBN":"978-3-658-40351-5","language":"de","note":"DOI: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w:instrText>
      </w:r>
      <w:r>
        <w:rPr/>
      </w:r>
      <w:r>
        <w:rPr/>
        <w:fldChar w:fldCharType="separate"/>
      </w:r>
      <w:r>
        <w:rPr/>
        <w:t>(Vgl. Alpar et al., (2023), S. 537)</w:t>
      </w:r>
      <w:r>
        <w:rPr/>
      </w:r>
      <w:r>
        <w:rPr/>
        <w:fldChar w:fldCharType="end"/>
      </w:r>
      <w:r>
        <w:rPr/>
        <w:t>.</w:t>
      </w:r>
    </w:p>
    <w:p>
      <w:pPr>
        <w:pStyle w:val="Grundtext"/>
        <w:rPr>
          <w:i/>
          <w:i/>
        </w:rPr>
      </w:pPr>
      <w:r>
        <w:rPr>
          <w:i/>
        </w:rPr>
        <w:t>Application Programming Interface (API)</w:t>
      </w:r>
    </w:p>
    <w:p>
      <w:pPr>
        <w:pStyle w:val="Grundtext"/>
        <w:rPr>
          <w:b/>
          <w:b/>
          <w:u w:val="single"/>
        </w:rPr>
      </w:pPr>
      <w:r>
        <w:rPr/>
        <w:t xml:space="preserve">Über ein API werden andere Programme an ein Softwaresystem angebunden, um die Systemfunktionen den Programmen zur Verfügung zu stellen </w:t>
      </w:r>
      <w:r>
        <w:fldChar w:fldCharType="begin"/>
      </w:r>
      <w:r>
        <w:rPr/>
        <w:instrText>ADDIN ZOTERO_ITEM CSL_CITATION {"citationID":"DZuW3z22","properties":{"formattedCitation":"(Vgl. Kaufmann &amp; M\\uc0\\u252{}lder, (2023)a, S. 241)","plainCitation":"(Vgl. Kaufmann &amp; Mülder, (2023)a, S. 241)","noteIndex":0},"citationItems":[{"id":"RLKPnpNr/6JPmRgCV","uris":["http://zotero.org/users/10411486/items/F3X9WZDX"],"itemData":{"id":798,"type":"book","event-place":"Wiesbaden","ISBN":"978-3-658-37936-0","language":"de","note":"DOI: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w:instrText>
      </w:r>
      <w:r>
        <w:rPr/>
      </w:r>
      <w:r>
        <w:rPr/>
        <w:fldChar w:fldCharType="separate"/>
      </w:r>
      <w:r>
        <w:rPr/>
      </w:r>
      <w:r>
        <w:rPr>
          <w:szCs w:val="24"/>
        </w:rPr>
        <w:t>(Vgl. Kaufmann &amp; Mülder, (2023)a, S. 241)</w:t>
      </w:r>
      <w:r>
        <w:rPr/>
      </w:r>
      <w:r>
        <w:rPr/>
        <w:fldChar w:fldCharType="end"/>
      </w:r>
      <w:r>
        <w:rPr/>
        <w:t xml:space="preserve">. Das API fungiert somit als Schnittstelle, die alle relevanten Informationen über das Zusammenwirken des Systems mit seiner Umgebung beschreibt </w:t>
      </w:r>
      <w:r>
        <w:fldChar w:fldCharType="begin"/>
      </w:r>
      <w:r>
        <w:rPr/>
        <w:instrText>ADDIN ZOTERO_ITEM CSL_CITATION {"citationID":"XyUqIfM5","properties":{"formattedCitation":"(Vgl. Broy, (2023), S. 180)","plainCitation":"(Vgl. Broy, (2023), S. 180)","noteIndex":0},"citationItems":[{"id":"RLKPnpNr/wchoNQs4","uris":["http://zotero.org/users/10411486/items/GR22XDMT"],"itemData":{"id":820,"type":"book","event-place":"Berlin,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w:instrText>
      </w:r>
      <w:r>
        <w:rPr/>
      </w:r>
      <w:r>
        <w:rPr/>
        <w:fldChar w:fldCharType="separate"/>
      </w:r>
      <w:r>
        <w:rPr/>
        <w:t>(Vgl. Broy, (2023), S. 180)</w:t>
      </w:r>
      <w:r>
        <w:rPr/>
      </w:r>
      <w:r>
        <w:rPr/>
        <w:fldChar w:fldCharType="end"/>
      </w:r>
      <w:r>
        <w:rPr/>
        <w:t>.</w:t>
      </w:r>
    </w:p>
    <w:p>
      <w:pPr>
        <w:pStyle w:val="Grundtext"/>
        <w:rPr>
          <w:b/>
          <w:b/>
          <w:u w:val="single"/>
        </w:rPr>
      </w:pPr>
      <w:r>
        <w:rPr>
          <w:i/>
        </w:rPr>
        <w:t>Business Process Management Notation (BPMN)</w:t>
      </w:r>
    </w:p>
    <w:p>
      <w:pPr>
        <w:pStyle w:val="Grundtext"/>
        <w:rPr>
          <w:b/>
          <w:b/>
          <w:u w:val="single"/>
        </w:rPr>
      </w:pPr>
      <w:r>
        <w:rPr/>
        <w:t xml:space="preserve">BPMN ist eine Notation zur Modellierung von Geschäftsprozessen und dient der Analyse und Dokumentation dieser. Über grafische Symbole lassen sich komplexe Geschäftsprozesse übersichtlich darstellen </w:t>
      </w:r>
      <w:r>
        <w:fldChar w:fldCharType="begin"/>
      </w:r>
      <w:r>
        <w:rPr/>
        <w:instrText>ADDIN ZOTERO_ITEM CSL_CITATION {"citationID":"nyMgF1YU","properties":{"formattedCitation":"(Vgl. Kaufmann &amp; M\\uc0\\u252{}lder, (2023)a, S. 316, 322)","plainCitation":"(Vgl. Kaufmann &amp; Mülder, (2023)a, S. 316, 322)","noteIndex":0},"citationItems":[{"id":"RLKPnpNr/6JPmRgCV","uris":["http://zotero.org/users/10411486/items/F3X9WZDX"],"itemData":{"id":798,"type":"book","event-place":"Wiesbaden","ISBN":"978-3-658-37936-0","language":"de","note":"DOI: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w:instrText>
      </w:r>
      <w:r>
        <w:rPr/>
      </w:r>
      <w:r>
        <w:rPr/>
        <w:fldChar w:fldCharType="separate"/>
      </w:r>
      <w:r>
        <w:rPr/>
      </w:r>
      <w:r>
        <w:rPr>
          <w:szCs w:val="24"/>
        </w:rPr>
        <w:t>(Vgl. Kaufmann &amp; Mülder, (2023), S. 316, 322)</w:t>
      </w:r>
      <w:bookmarkStart w:id="18" w:name="_GoBack"/>
      <w:r>
        <w:rPr/>
      </w:r>
      <w:r>
        <w:rPr/>
        <w:fldChar w:fldCharType="end"/>
      </w:r>
      <w:bookmarkEnd w:id="18"/>
      <w:r>
        <w:rPr/>
        <w:t>.</w:t>
      </w:r>
    </w:p>
    <w:p>
      <w:pPr>
        <w:pStyle w:val="Grundtext"/>
        <w:rPr>
          <w:b/>
          <w:b/>
          <w:u w:val="single"/>
        </w:rPr>
      </w:pPr>
      <w:r>
        <w:rPr>
          <w:i/>
        </w:rPr>
        <w:t>Change Management (CM)</w:t>
      </w:r>
    </w:p>
    <w:p>
      <w:pPr>
        <w:pStyle w:val="Grundtext"/>
        <w:rPr>
          <w:b/>
          <w:b/>
          <w:u w:val="single"/>
        </w:rPr>
      </w:pPr>
      <w:r>
        <w:rPr/>
        <w:t xml:space="preserve">Im CM werden nach Eintreten einer Veränderung in den Geschäftsprozessen oder in den Anforderungen alle Maßnahmen, die für die Berücksichtigung der Veränderung notwendig sind, kontrolliert eingeleitet sowie schnell und effektiv durchgeführt </w:t>
      </w:r>
      <w:r>
        <w:fldChar w:fldCharType="begin"/>
      </w:r>
      <w:r>
        <w:rPr/>
        <w:instrText>ADDIN ZOTERO_ITEM CSL_CITATION {"citationID":"yRqNeQw3","properties":{"formattedCitation":"(Vgl. Scheer et al., (2003), S. 5)","plainCitation":"(Vgl. Scheer et al., (2003), S. 5)","noteIndex":0},"citationItems":[{"id":"RLKPnpNr/KT6b4e96","uris":["http://zotero.org/users/10411486/items/JP8BMRA5"],"itemData":{"id":796,"type":"book","event-place":"Berlin,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w:instrText>
      </w:r>
      <w:r>
        <w:rPr/>
      </w:r>
      <w:r>
        <w:rPr/>
        <w:fldChar w:fldCharType="separate"/>
      </w:r>
      <w:r>
        <w:rPr/>
        <w:t>(Vgl. Scheer et al., (2003), S. 5)</w:t>
      </w:r>
      <w:r>
        <w:rPr/>
      </w:r>
      <w:r>
        <w:rPr/>
        <w:fldChar w:fldCharType="end"/>
      </w:r>
      <w:r>
        <w:rPr/>
        <w:t>.</w:t>
      </w:r>
    </w:p>
    <w:p>
      <w:pPr>
        <w:pStyle w:val="Grundtext"/>
        <w:rPr>
          <w:b/>
          <w:b/>
          <w:u w:val="single"/>
        </w:rPr>
      </w:pPr>
      <w:r>
        <w:rPr>
          <w:i/>
        </w:rPr>
        <w:t>Continuous Delivery (CD)</w:t>
      </w:r>
    </w:p>
    <w:p>
      <w:pPr>
        <w:pStyle w:val="Grundtext"/>
        <w:rPr>
          <w:b/>
          <w:b/>
          <w:u w:val="single"/>
        </w:rPr>
      </w:pPr>
      <w:r>
        <w:rPr/>
        <w:t xml:space="preserve">Unter CD wird in der Softwareentwicklung die kontinuierliche automatisierte Software-Auslieferung mittels der „Delivery Pipeline“ verstanden </w:t>
      </w:r>
      <w:r>
        <w:fldChar w:fldCharType="begin"/>
      </w:r>
      <w:r>
        <w:rPr/>
        <w:instrText>ADDIN ZOTERO_ITEM CSL_CITATION {"citationID":"G17z5q8A","properties":{"formattedCitation":"(Vgl. Alt et al., (2017), S. 27)","plainCitation":"(Vgl. Alt et al., (2017), S. 27)","noteIndex":0},"citationItems":[{"id":"RLKPnpNr/EuCcAXxs","uris":["http://zotero.org/users/10411486/items/A9ADBCEP"],"itemData":{"id":802,"type":"book","collection-title":"essentials","event-place":"Wiesbaden","ISBN":"978-3-658-18703-3","language":"en","note":"DOI: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w:instrText>
      </w:r>
      <w:r>
        <w:rPr/>
      </w:r>
      <w:r>
        <w:rPr/>
        <w:fldChar w:fldCharType="separate"/>
      </w:r>
      <w:r>
        <w:rPr/>
        <w:t>(Vgl. Alt et al., (2017), S. 27)</w:t>
      </w:r>
      <w:r>
        <w:rPr/>
      </w:r>
      <w:r>
        <w:rPr/>
        <w:fldChar w:fldCharType="end"/>
      </w:r>
      <w:r>
        <w:rPr/>
        <w:t>.</w:t>
      </w:r>
    </w:p>
    <w:p>
      <w:pPr>
        <w:pStyle w:val="Grundtext"/>
        <w:rPr>
          <w:i/>
          <w:i/>
        </w:rPr>
      </w:pPr>
      <w:r>
        <w:rPr>
          <w:i/>
        </w:rPr>
        <w:t>Cascading Stylesheets (CSS)</w:t>
      </w:r>
    </w:p>
    <w:p>
      <w:pPr>
        <w:pStyle w:val="Grundtext"/>
        <w:rPr>
          <w:rStyle w:val="Grundzkursiv"/>
        </w:rPr>
      </w:pPr>
      <w:r>
        <w:rPr/>
        <w:t xml:space="preserve">Mittels Cascading Stylesheets (CSS) lässt sich das Layout von HTML-Seiten, wie z. B. Hintergrund, Schriftgrößen, Rahmen etc. gestalten. CSS ermöglicht die gleichen Styleinformationen für alle Seiten einer Website zu bestimmen, ohne dass einzelne HTML-Seiten angepasst werden müssen. </w:t>
      </w:r>
      <w:r>
        <w:fldChar w:fldCharType="begin"/>
      </w:r>
      <w:r>
        <w:rPr/>
        <w:instrText>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w:instrText>
      </w:r>
      <w:r>
        <w:rPr/>
      </w:r>
      <w:r>
        <w:rPr/>
        <w:fldChar w:fldCharType="separate"/>
      </w:r>
      <w:r>
        <w:rPr/>
      </w:r>
      <w:r>
        <w:rPr>
          <w:szCs w:val="24"/>
        </w:rPr>
        <w:t>(Vgl. Kaufmann &amp; Mülder, (2023), S. 224 f.)</w:t>
      </w:r>
      <w:r>
        <w:rPr/>
      </w:r>
      <w:r>
        <w:rPr/>
        <w:fldChar w:fldCharType="end"/>
      </w:r>
      <w:r>
        <w:rPr/>
        <w:t>.</w:t>
      </w:r>
      <w:r>
        <w:rPr/>
        <w:commentReference w:id="7"/>
      </w:r>
      <w:r>
        <w:br w:type="page"/>
      </w:r>
    </w:p>
    <w:p>
      <w:pPr>
        <w:pStyle w:val="Grundtext"/>
        <w:rPr>
          <w:b/>
          <w:b/>
          <w:u w:val="single"/>
        </w:rPr>
      </w:pPr>
      <w:r>
        <w:rPr>
          <w:i/>
        </w:rPr>
        <w:t>Continuous Integration (CI)</w:t>
      </w:r>
    </w:p>
    <w:p>
      <w:pPr>
        <w:pStyle w:val="Grundtext"/>
        <w:rPr>
          <w:b/>
          <w:b/>
          <w:u w:val="single"/>
        </w:rPr>
      </w:pPr>
      <w:r>
        <w:rPr/>
        <w:t xml:space="preserve">CI verfolgt das Konzept, Änderungen am Quellcode bzw. Entwicklungsfortschritte von einzelnen Entwicklern eines Teams schnell zusammenzuführen und zu testen. Dadurch werden Fehler frühzeitig erkannt und Softwareprototypen (funktionsfähige Software) in kurzer Zeit entwickelt </w:t>
      </w:r>
      <w:r>
        <w:fldChar w:fldCharType="begin"/>
      </w:r>
      <w:r>
        <w:rPr/>
        <w:instrText>ADDIN ZOTERO_ITEM CSL_CITATION {"citationID":"04D4J92V","properties":{"formattedCitation":"(Vgl. Alt et al., (2017), S. 29)","plainCitation":"(Vgl. Alt et al., (2017), S. 29)","noteIndex":0},"citationItems":[{"id":"RLKPnpNr/EuCcAXxs","uris":["http://zotero.org/users/10411486/items/A9ADBCEP"],"itemData":{"id":802,"type":"book","collection-title":"essentials","event-place":"Wiesbaden","ISBN":"978-3-658-18703-3","language":"en","note":"DOI: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w:instrText>
      </w:r>
      <w:r>
        <w:rPr/>
      </w:r>
      <w:r>
        <w:rPr/>
        <w:fldChar w:fldCharType="separate"/>
      </w:r>
      <w:r>
        <w:rPr/>
        <w:t>(Vgl. Alt et al., (2017), S. 29)</w:t>
      </w:r>
      <w:r>
        <w:rPr/>
      </w:r>
      <w:r>
        <w:rPr/>
        <w:fldChar w:fldCharType="end"/>
      </w:r>
      <w:r>
        <w:rPr/>
        <w:t>.</w:t>
      </w:r>
    </w:p>
    <w:p>
      <w:pPr>
        <w:pStyle w:val="Grundtext"/>
        <w:rPr>
          <w:b/>
          <w:b/>
          <w:u w:val="single"/>
        </w:rPr>
      </w:pPr>
      <w:r>
        <w:rPr>
          <w:i/>
        </w:rPr>
        <w:t>Development“ und „(IT)-Operations (DevOps)</w:t>
      </w:r>
    </w:p>
    <w:p>
      <w:pPr>
        <w:pStyle w:val="Grundtext"/>
        <w:rPr>
          <w:b/>
          <w:b/>
          <w:u w:val="single"/>
        </w:rPr>
      </w:pPr>
      <w:r>
        <w:rPr/>
        <w:t>Der Begriff „DevOps“ setzt sich aus den Worten „Development“ und „(IT)-Operations“</w:t>
      </w:r>
      <w:r>
        <w:rPr/>
        <w:commentReference w:id="8"/>
      </w:r>
      <w:r>
        <w:rPr/>
        <w:t xml:space="preserve"> zusammen und betont dabei die Zusammenarbeit dieser beiden Bereiche. Dabei werden die Geschäftsprozesse eingeschlossen und der Kundennutzen in den Mittelpunkt gestellt </w:t>
      </w:r>
      <w:r>
        <w:fldChar w:fldCharType="begin"/>
      </w:r>
      <w:r>
        <w:rPr/>
        <w:instrText>ADDIN ZOTERO_ITEM CSL_CITATION {"citationID":"CIZDUmYN","properties":{"formattedCitation":"(Vgl.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w:instrText>
      </w:r>
      <w:r>
        <w:rPr/>
      </w:r>
      <w:r>
        <w:rPr/>
        <w:fldChar w:fldCharType="separate"/>
      </w:r>
      <w:r>
        <w:rPr/>
        <w:t>(Vgl. Halstenberg et al., (2020), S. 1)</w:t>
      </w:r>
      <w:r>
        <w:rPr/>
      </w:r>
      <w:r>
        <w:rPr/>
        <w:fldChar w:fldCharType="end"/>
      </w:r>
      <w:r>
        <w:rPr/>
        <w:t xml:space="preserve">. „Development“ und „Operations“ sind eigenständige funktionale Organisationseinheiten im IT-Bereich mit unterschiedlichen Zielsetzungen </w:t>
      </w:r>
      <w:r>
        <w:fldChar w:fldCharType="begin"/>
      </w:r>
      <w:r>
        <w:rPr/>
        <w:instrText>ADDIN ZOTERO_ITEM CSL_CITATION {"citationID":"BPK9WbOa","properties":{"formattedCitation":"(Vgl. Alt et al., (2017), S. 23)","plainCitation":"(Vgl. Alt et al., (2017), S. 23)","noteIndex":0},"citationItems":[{"id":"RLKPnpNr/EuCcAXxs","uris":["http://zotero.org/users/10411486/items/A9ADBCEP"],"itemData":{"id":802,"type":"book","collection-title":"essentials","event-place":"Wiesbaden","ISBN":"978-3-658-18703-3","language":"en","note":"DOI: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w:instrText>
      </w:r>
      <w:r>
        <w:rPr/>
      </w:r>
      <w:r>
        <w:rPr/>
        <w:fldChar w:fldCharType="separate"/>
      </w:r>
      <w:r>
        <w:rPr/>
        <w:t>(Vgl. Alt et al., (2017), S. 23)</w:t>
      </w:r>
      <w:r>
        <w:rPr/>
      </w:r>
      <w:r>
        <w:rPr/>
        <w:fldChar w:fldCharType="end"/>
      </w:r>
      <w:r>
        <w:rPr/>
        <w:t xml:space="preserve">. Beim DevOps-Ansatz wird auf die ganzheitliche Zusammenarbeit zwischen der Softwareentwicklung, dem IT-Betrieb und den Geschäftsprozessen fokussiert </w:t>
      </w:r>
      <w:r>
        <w:fldChar w:fldCharType="begin"/>
      </w:r>
      <w:r>
        <w:rPr/>
        <w:instrText>ADDIN ZOTERO_ITEM CSL_CITATION {"citationID":"rUNRvkIO","properties":{"formattedCitation":"(Vgl.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w:instrText>
      </w:r>
      <w:r>
        <w:rPr/>
      </w:r>
      <w:r>
        <w:rPr/>
        <w:fldChar w:fldCharType="separate"/>
      </w:r>
      <w:r>
        <w:rPr/>
        <w:t>(Vgl. Halstenberg et al., (2020), S. 1)</w:t>
      </w:r>
      <w:r>
        <w:rPr/>
      </w:r>
      <w:r>
        <w:rPr/>
        <w:fldChar w:fldCharType="end"/>
      </w:r>
      <w:r>
        <w:rPr/>
        <w:t>.</w:t>
      </w:r>
    </w:p>
    <w:p>
      <w:pPr>
        <w:pStyle w:val="Grundtext"/>
        <w:rPr>
          <w:b/>
          <w:b/>
          <w:u w:val="single"/>
        </w:rPr>
      </w:pPr>
      <w:r>
        <w:rPr>
          <w:i/>
        </w:rPr>
        <w:t>Electronic Data Interchange (EDI)</w:t>
      </w:r>
    </w:p>
    <w:p>
      <w:pPr>
        <w:pStyle w:val="Grundtext"/>
        <w:rPr>
          <w:b/>
          <w:b/>
          <w:u w:val="single"/>
        </w:rPr>
      </w:pPr>
      <w:r>
        <w:rPr/>
        <w:t xml:space="preserve">EDI ist die Übertragung von Geschäftsdokumenten in einem standardisierten Datenformat zwischen verschiedenen Anwendungssystemen </w:t>
      </w:r>
      <w:r>
        <w:fldChar w:fldCharType="begin"/>
      </w:r>
      <w:r>
        <w:rPr/>
        <w:instrText>ADDIN ZOTERO_ITEM CSL_CITATION {"citationID":"n9Xzg3go","properties":{"formattedCitation":"(Vgl. Kaufmann &amp; M\\uc0\\u252{}lder, (2023)a, S. 99)","plainCitation":"(Vgl. Kaufmann &amp; Mülder, (2023)a, S. 99)","noteIndex":0},"citationItems":[{"id":"RLKPnpNr/6JPmRgCV","uris":["http://zotero.org/users/10411486/items/F3X9WZDX"],"itemData":{"id":798,"type":"book","event-place":"Wiesbaden","ISBN":"978-3-658-37936-0","language":"de","note":"DOI: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w:instrText>
      </w:r>
      <w:r>
        <w:rPr/>
      </w:r>
      <w:r>
        <w:rPr/>
        <w:fldChar w:fldCharType="separate"/>
      </w:r>
      <w:r>
        <w:rPr/>
      </w:r>
      <w:r>
        <w:rPr>
          <w:szCs w:val="24"/>
        </w:rPr>
        <w:t>(Vgl. Kaufmann &amp; Mülder, (2023)a, S. 99)</w:t>
      </w:r>
      <w:r>
        <w:rPr/>
      </w:r>
      <w:r>
        <w:rPr/>
        <w:fldChar w:fldCharType="end"/>
      </w:r>
      <w:r>
        <w:rPr/>
        <w:t>.</w:t>
      </w:r>
    </w:p>
    <w:p>
      <w:pPr>
        <w:pStyle w:val="Grundtext"/>
        <w:rPr>
          <w:b/>
          <w:b/>
          <w:u w:val="single"/>
        </w:rPr>
      </w:pPr>
      <w:r>
        <w:rPr>
          <w:i/>
        </w:rPr>
        <w:t>Electronic Data Interchange for Administration, Commerce and Transport (EDIFACT)</w:t>
      </w:r>
    </w:p>
    <w:p>
      <w:pPr>
        <w:pStyle w:val="Grundtext"/>
        <w:rPr>
          <w:b/>
          <w:b/>
          <w:u w:val="single"/>
        </w:rPr>
      </w:pPr>
      <w:r>
        <w:rPr/>
        <w:t xml:space="preserve">Unter EDIFACT wird ein einheitliches Regelwerk für den elektronischen Geschäftsverkehr verstanden. Dieses bezieht sich ausschließlich auf strukturierte Daten </w:t>
      </w:r>
      <w:r>
        <w:fldChar w:fldCharType="begin"/>
      </w:r>
      <w:r>
        <w:rPr/>
        <w:instrText>ADDIN ZOTERO_ITEM CSL_CITATION {"citationID":"NEuoRIzm","properties":{"formattedCitation":"(Vgl. Kaufmann &amp; M\\uc0\\u252{}lder, (2023)a, S. 99)","plainCitation":"(Vgl. Kaufmann &amp; Mülder, (2023)a, S. 99)","noteIndex":0},"citationItems":[{"id":"RLKPnpNr/6JPmRgCV","uris":["http://zotero.org/users/10411486/items/F3X9WZDX"],"itemData":{"id":798,"type":"book","event-place":"Wiesbaden","ISBN":"978-3-658-37936-0","language":"de","note":"DOI: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w:instrText>
      </w:r>
      <w:r>
        <w:rPr/>
      </w:r>
      <w:r>
        <w:rPr/>
        <w:fldChar w:fldCharType="separate"/>
      </w:r>
      <w:r>
        <w:rPr/>
      </w:r>
      <w:r>
        <w:rPr>
          <w:szCs w:val="24"/>
        </w:rPr>
        <w:t>(Vgl. Kaufmann &amp; Mülder, (2023)a, S. 99)</w:t>
      </w:r>
      <w:r>
        <w:rPr/>
      </w:r>
      <w:r>
        <w:rPr/>
        <w:fldChar w:fldCharType="end"/>
      </w:r>
      <w:r>
        <w:rPr/>
        <w:t>.</w:t>
      </w:r>
    </w:p>
    <w:p>
      <w:pPr>
        <w:pStyle w:val="Grundtext"/>
        <w:rPr>
          <w:b/>
          <w:b/>
          <w:u w:val="single"/>
        </w:rPr>
      </w:pPr>
      <w:r>
        <w:rPr>
          <w:i/>
        </w:rPr>
        <w:t>Enterprise Resource Planning (ERP)</w:t>
      </w:r>
    </w:p>
    <w:p>
      <w:pPr>
        <w:pStyle w:val="Grundtext"/>
        <w:rPr>
          <w:b/>
          <w:b/>
          <w:u w:val="single"/>
        </w:rPr>
      </w:pPr>
      <w:r>
        <w:rPr/>
        <w:t xml:space="preserve">ERP-Systeme sind große, modulare Unternehmens-Anwendungen, die für die meisten Geschäftsprozesse im Unternehmen bestimmt sind </w:t>
      </w:r>
      <w:r>
        <w:fldChar w:fldCharType="begin"/>
      </w:r>
      <w:r>
        <w:rPr/>
        <w:instrText>ADDIN ZOTERO_ITEM CSL_CITATION {"citationID":"xZhA9pbs","properties":{"formattedCitation":"(Vgl. Pek\\uc0\\u353{}a, (2018), S. 1)","plainCitation":"(Vgl. Pekša, (2018), S. 1)","noteIndex":0},"citationItems":[{"id":"RLKPnpNr/JPCQrsXi","uris":["http://zotero.org/users/10411486/items/E4R6TA2V"],"itemData":{"id":804,"type":"article-journal","abstract":"Enterprise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w:instrText>
      </w:r>
      <w:r>
        <w:rPr/>
      </w:r>
      <w:r>
        <w:rPr/>
        <w:fldChar w:fldCharType="separate"/>
      </w:r>
      <w:r>
        <w:rPr/>
      </w:r>
      <w:r>
        <w:rPr>
          <w:szCs w:val="24"/>
        </w:rPr>
        <w:t>(Vgl. Pekša, (2018), S. 1)</w:t>
      </w:r>
      <w:r>
        <w:rPr/>
      </w:r>
      <w:r>
        <w:rPr/>
        <w:fldChar w:fldCharType="end"/>
      </w:r>
      <w:r>
        <w:rPr/>
        <w:t xml:space="preserve">. </w:t>
      </w:r>
    </w:p>
    <w:p>
      <w:pPr>
        <w:pStyle w:val="Grundtext"/>
        <w:rPr>
          <w:b/>
          <w:b/>
          <w:u w:val="single"/>
        </w:rPr>
      </w:pPr>
      <w:r>
        <w:rPr/>
        <w:t xml:space="preserve">Sie unterstützen ganzheitlich die Geschäftsprozesse in unterschiedlichen Funktionsbereichen des Unternehmens, wie zum Beispiel im Finanzwesen und Controlling, im Einkauf oder auch in der Produktionsplanung und Produktionssteuerung und in der Logistik. Dabei nutzen die verschiedenen Anwendungen des ERP-Systems eine gemeinsame Datenbasis </w:t>
      </w:r>
      <w:r>
        <w:fldChar w:fldCharType="begin"/>
      </w:r>
      <w:r>
        <w:rPr/>
        <w:instrText>ADDIN ZOTERO_ITEM CSL_CITATION {"citationID":"q0tKcDWX","properties":{"formattedCitation":"(Vgl. Frick et al., (2008), S. 1)","plainCitation":"(Vgl. Frick et al., (2008), S. 1)","noteIndex":0},"citationItems":[{"id":"RLKPnpNr/dMzsVWfE","uris":["http://zotero.org/users/10411486/items/RMKSKIW9"],"itemData":{"id":812,"type":"book","event-place":"Wiesbaden","ISBN":"978-3-8348-0361-0","language":"de","note":"DOI: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w:instrText>
      </w:r>
      <w:r>
        <w:rPr/>
      </w:r>
      <w:r>
        <w:rPr/>
        <w:fldChar w:fldCharType="separate"/>
      </w:r>
      <w:r>
        <w:rPr/>
        <w:t>(Vgl. Frick et al., (2008), S. 1)</w:t>
      </w:r>
      <w:r>
        <w:rPr/>
      </w:r>
      <w:r>
        <w:rPr/>
        <w:fldChar w:fldCharType="end"/>
      </w:r>
      <w:r>
        <w:rPr/>
        <w:t>.</w:t>
      </w:r>
    </w:p>
    <w:p>
      <w:pPr>
        <w:pStyle w:val="Normal"/>
        <w:rPr>
          <w:szCs w:val="20"/>
        </w:rPr>
      </w:pPr>
      <w:r>
        <w:rPr>
          <w:szCs w:val="20"/>
        </w:rPr>
      </w:r>
      <w:r>
        <w:br w:type="page"/>
      </w:r>
    </w:p>
    <w:p>
      <w:pPr>
        <w:pStyle w:val="Grundtext"/>
        <w:rPr>
          <w:b/>
          <w:b/>
          <w:u w:val="single"/>
        </w:rPr>
      </w:pPr>
      <w:r>
        <w:rPr>
          <w:i/>
        </w:rPr>
        <w:t>Extract</w:t>
        <w:noBreakHyphen/>
        <w:t>Transform</w:t>
        <w:noBreakHyphen/>
        <w:t>Load (ETL)</w:t>
      </w:r>
    </w:p>
    <w:p>
      <w:pPr>
        <w:pStyle w:val="Grundtext"/>
        <w:rPr>
          <w:b/>
          <w:b/>
          <w:u w:val="single"/>
        </w:rPr>
      </w:pPr>
      <w:r>
        <w:rPr/>
        <w:t>Die Übernahme des operativen Datenbestands in den analytischen Datenbestand eines Data Warehouse bzw. eines Relational Database Management System</w:t>
      </w:r>
      <w:r>
        <w:rPr>
          <w:rStyle w:val="Grundzkursiv"/>
        </w:rPr>
        <w:t xml:space="preserve"> </w:t>
      </w:r>
      <w:r>
        <w:rPr/>
        <w:t xml:space="preserve">(RDBMS) wird als ETL bezeichnet </w:t>
      </w:r>
      <w:r>
        <w:fldChar w:fldCharType="begin"/>
      </w:r>
      <w:r>
        <w:rPr/>
        <w:instrText>ADDIN ZOTERO_ITEM CSL_CITATION {"citationID":"bIsmFruH","properties":{"formattedCitation":"(Vgl. Kaufmann &amp; M\\uc0\\u252{}lder, (2023)a, S. 380)","plainCitation":"(Vgl. Kaufmann &amp; Mülder, (2023)a, S. 380)","noteIndex":0},"citationItems":[{"id":"RLKPnpNr/6JPmRgCV","uris":["http://zotero.org/users/10411486/items/F3X9WZDX"],"itemData":{"id":798,"type":"book","event-place":"Wiesbaden","ISBN":"978-3-658-37936-0","language":"de","note":"DOI: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w:instrText>
      </w:r>
      <w:r>
        <w:rPr/>
      </w:r>
      <w:r>
        <w:rPr/>
        <w:fldChar w:fldCharType="separate"/>
      </w:r>
      <w:r>
        <w:rPr/>
      </w:r>
      <w:r>
        <w:rPr>
          <w:szCs w:val="24"/>
        </w:rPr>
        <w:t>(Vgl. Kaufmann &amp; Mülder, (2023)a, S. 380)</w:t>
      </w:r>
      <w:r>
        <w:rPr/>
      </w:r>
      <w:r>
        <w:rPr/>
        <w:fldChar w:fldCharType="end"/>
      </w:r>
      <w:r>
        <w:rPr/>
        <w:t>.</w:t>
      </w:r>
    </w:p>
    <w:p>
      <w:pPr>
        <w:pStyle w:val="Grundtext"/>
        <w:rPr>
          <w:b/>
          <w:b/>
          <w:u w:val="single"/>
        </w:rPr>
      </w:pPr>
      <w:r>
        <w:rPr>
          <w:i/>
        </w:rPr>
        <w:t xml:space="preserve">Integrated Development Environment (IDE) </w:t>
      </w:r>
    </w:p>
    <w:p>
      <w:pPr>
        <w:pStyle w:val="Grundtext"/>
        <w:rPr>
          <w:b/>
          <w:b/>
          <w:u w:val="single"/>
        </w:rPr>
      </w:pPr>
      <w:r>
        <w:rPr/>
        <w:t xml:space="preserve">Eine IDE (integrierte Entwicklungsumgebung) ist eine Sammlung von verschiedenen Werkzeugen, wie Editor, Compiler, Interpreter, Debugger, die für die Softwareentwicklung genutzt werden </w:t>
      </w:r>
      <w:r>
        <w:fldChar w:fldCharType="begin"/>
      </w:r>
      <w:r>
        <w:rPr/>
        <w:instrText>ADDIN ZOTERO_ITEM CSL_CITATION {"citationID":"4JfT0Tjv","properties":{"formattedCitation":"(Vgl. Kaufmann &amp; M\\uc0\\u252{}lder, (2023)a, S. 503)","plainCitation":"(Vgl. Kaufmann &amp; Mülder, (2023)a, S. 503)","noteIndex":0},"citationItems":[{"id":"RLKPnpNr/6JPmRgCV","uris":["http://zotero.org/users/10411486/items/F3X9WZDX"],"itemData":{"id":798,"type":"book","event-place":"Wiesbaden","ISBN":"978-3-658-37936-0","language":"de","note":"DOI: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w:instrText>
      </w:r>
      <w:r>
        <w:rPr/>
      </w:r>
      <w:r>
        <w:rPr/>
        <w:fldChar w:fldCharType="separate"/>
      </w:r>
      <w:r>
        <w:rPr/>
      </w:r>
      <w:r>
        <w:rPr>
          <w:szCs w:val="24"/>
        </w:rPr>
        <w:t>(Vgl. Kaufmann &amp; Mülder, (2023)a, S. 503)</w:t>
      </w:r>
      <w:r>
        <w:rPr/>
      </w:r>
      <w:r>
        <w:rPr/>
        <w:fldChar w:fldCharType="end"/>
      </w:r>
      <w:r>
        <w:rPr/>
        <w:t>.</w:t>
      </w:r>
    </w:p>
    <w:p>
      <w:pPr>
        <w:pStyle w:val="Grundtext"/>
        <w:rPr>
          <w:b/>
          <w:b/>
          <w:u w:val="single"/>
        </w:rPr>
      </w:pPr>
      <w:r>
        <w:rPr>
          <w:i/>
        </w:rPr>
        <w:t>Java Database Connectivity (JDBC)</w:t>
      </w:r>
    </w:p>
    <w:p>
      <w:pPr>
        <w:pStyle w:val="Grundtext"/>
        <w:rPr>
          <w:b/>
          <w:b/>
          <w:u w:val="single"/>
        </w:rPr>
      </w:pPr>
      <w:r>
        <w:rPr/>
        <w:t xml:space="preserve">JDBC ist eine API zum Zugriff auf tabellarische Daten, insbesondere auf Daten in einem RDBMS </w:t>
      </w:r>
      <w:r>
        <w:fldChar w:fldCharType="begin"/>
      </w:r>
      <w:r>
        <w:rPr/>
        <w:instrText>ADDIN ZOTERO_ITEM CSL_CITATION {"citationID":"xoCqZj9D","properties":{"formattedCitation":"(Vgl. ORACLE, (2023))","plainCitation":"(Vgl. ORACLE, (2023))","noteIndex":0},"citationItems":[{"id":"RLKPnpNr/ewlyJMFs","uris":["http://zotero.org/users/10411486/items/DRADJSLZ"],"itemData":{"id":818,"type":"document","title":"ORACLE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w:instrText>
      </w:r>
      <w:r>
        <w:rPr/>
      </w:r>
      <w:r>
        <w:rPr/>
        <w:fldChar w:fldCharType="separate"/>
      </w:r>
      <w:r>
        <w:rPr/>
        <w:t>(Vgl. ORACLE, (2023))</w:t>
      </w:r>
      <w:r>
        <w:rPr/>
      </w:r>
      <w:r>
        <w:rPr/>
        <w:fldChar w:fldCharType="end"/>
      </w:r>
      <w:r>
        <w:rPr/>
        <w:t>.</w:t>
      </w:r>
    </w:p>
    <w:p>
      <w:pPr>
        <w:pStyle w:val="Grundtext"/>
        <w:rPr>
          <w:b/>
          <w:b/>
          <w:u w:val="single"/>
        </w:rPr>
      </w:pPr>
      <w:r>
        <w:rPr>
          <w:i/>
        </w:rPr>
        <w:t>MySQL</w:t>
      </w:r>
    </w:p>
    <w:p>
      <w:pPr>
        <w:pStyle w:val="Grundtext"/>
        <w:rPr>
          <w:rStyle w:val="Grundzkursiv"/>
          <w:i w:val="false"/>
          <w:i w:val="false"/>
        </w:rPr>
      </w:pPr>
      <w:r>
        <w:rPr>
          <w:rStyle w:val="Grundzkursiv"/>
          <w:i w:val="false"/>
        </w:rPr>
        <w:t xml:space="preserve">Die Open Source Software MySQL stellt sämtliche Funktionalitäten eines </w:t>
      </w:r>
      <w:r>
        <w:rPr/>
        <w:t>Relational Database Management System</w:t>
      </w:r>
      <w:r>
        <w:rPr>
          <w:rStyle w:val="Grundzkursiv"/>
        </w:rPr>
        <w:t xml:space="preserve"> </w:t>
      </w:r>
      <w:r>
        <w:rPr>
          <w:rStyle w:val="Grundzkursiv"/>
          <w:i w:val="false"/>
        </w:rPr>
        <w:t xml:space="preserve">(RDBMS) zur Verfügung </w:t>
      </w:r>
      <w:r>
        <w:fldChar w:fldCharType="begin"/>
      </w:r>
      <w:r>
        <w:rPr>
          <w:rStyle w:val="Grundzkursiv"/>
          <w:i w:val="false"/>
        </w:rPr>
        <w:instrText>ADDIN ZOTERO_ITEM CSL_CITATION {"citationID":"80uJuiX7","properties":{"formattedCitation":"(Vgl. Burnus, (2008), S. 81)","plainCitation":"(Vgl. Burnus, (2008), S. 81)","noteIndex":0},"citationItems":[{"id":"RLKPnpNr/9KaQZeE5","uris":["http://zotero.org/users/10411486/items/8FS6RD42"],"itemData":{"id":857,"type":"book","abstract":"Datenbanksysteme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w:instrText>
      </w:r>
      <w:r>
        <w:rPr>
          <w:rStyle w:val="Grundzkursiv"/>
          <w:i w:val="false"/>
        </w:rPr>
      </w:r>
      <w:r>
        <w:rPr>
          <w:rStyle w:val="Grundzkursiv"/>
          <w:i w:val="false"/>
        </w:rPr>
        <w:fldChar w:fldCharType="separate"/>
      </w:r>
      <w:r>
        <w:rPr>
          <w:rStyle w:val="Grundzkursiv"/>
          <w:i w:val="false"/>
        </w:rPr>
      </w:r>
      <w:r>
        <w:rPr/>
        <w:t>(Vgl. Burnus, (2008), S. 81)</w:t>
      </w:r>
      <w:r>
        <w:rPr>
          <w:rStyle w:val="Grundzkursiv"/>
          <w:i w:val="false"/>
        </w:rPr>
      </w:r>
      <w:r>
        <w:rPr>
          <w:rStyle w:val="Grundzkursiv"/>
          <w:i w:val="false"/>
        </w:rPr>
        <w:fldChar w:fldCharType="end"/>
      </w:r>
      <w:r>
        <w:rPr>
          <w:rStyle w:val="Grundzkursiv"/>
          <w:i w:val="false"/>
        </w:rPr>
        <w:t>.</w:t>
      </w:r>
    </w:p>
    <w:p>
      <w:pPr>
        <w:pStyle w:val="Grundtext"/>
        <w:rPr>
          <w:b/>
          <w:b/>
          <w:u w:val="single"/>
        </w:rPr>
      </w:pPr>
      <w:r>
        <w:rPr>
          <w:i/>
        </w:rPr>
        <w:t>Open Source</w:t>
      </w:r>
    </w:p>
    <w:p>
      <w:pPr>
        <w:pStyle w:val="Grundtext"/>
        <w:rPr>
          <w:rStyle w:val="Grundzkursiv"/>
          <w:i w:val="false"/>
          <w:i w:val="false"/>
        </w:rPr>
      </w:pPr>
      <w:r>
        <w:rPr>
          <w:rStyle w:val="Grundzkursiv"/>
          <w:i w:val="false"/>
        </w:rPr>
        <w:t xml:space="preserve">Die präzise Bezeichnung ist „Open-Source-Software“ und bezieht sich auf Software, deren Quellcode (Sourcecode) öffentlich zugänglich ist. Open-Source-Software darf ergänzt oder erweitert sowie kopiert und weitergegeben werden </w:t>
      </w:r>
      <w:r>
        <w:fldChar w:fldCharType="begin"/>
      </w:r>
      <w:r>
        <w:rPr>
          <w:rStyle w:val="Grundzkursiv"/>
          <w:i w:val="false"/>
        </w:rPr>
        <w:instrText>ADDIN ZOTERO_ITEM CSL_CITATION {"citationID":"qQZs5SUa","properties":{"formattedCitation":"(Vgl. Kaufmann &amp; M\\uc0\\u252{}lder, (2023)a, S. 283)","plainCitation":"(Vgl. Kaufmann &amp; Mülder, (2023)a, S. 283)","noteIndex":0},"citationItems":[{"id":"RLKPnpNr/6JPmRgCV","uris":["http://zotero.org/users/10411486/items/F3X9WZDX"],"itemData":{"id":798,"type":"book","event-place":"Wiesbaden","ISBN":"978-3-658-37936-0","language":"de","note":"DOI: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w:instrText>
      </w:r>
      <w:r>
        <w:rPr>
          <w:rStyle w:val="Grundzkursiv"/>
          <w:i w:val="false"/>
        </w:rPr>
      </w:r>
      <w:r>
        <w:rPr>
          <w:rStyle w:val="Grundzkursiv"/>
          <w:i w:val="false"/>
        </w:rPr>
        <w:fldChar w:fldCharType="separate"/>
      </w:r>
      <w:r>
        <w:rPr>
          <w:rStyle w:val="Grundzkursiv"/>
          <w:i w:val="false"/>
        </w:rPr>
      </w:r>
      <w:r>
        <w:rPr>
          <w:szCs w:val="24"/>
        </w:rPr>
        <w:t>(Vgl. Kaufmann &amp; Mülder, (2023)a, S. 283)</w:t>
      </w:r>
      <w:r>
        <w:rPr>
          <w:rStyle w:val="Grundzkursiv"/>
          <w:i w:val="false"/>
        </w:rPr>
      </w:r>
      <w:r>
        <w:rPr>
          <w:rStyle w:val="Grundzkursiv"/>
          <w:i w:val="false"/>
        </w:rPr>
        <w:fldChar w:fldCharType="end"/>
      </w:r>
      <w:r>
        <w:rPr>
          <w:rStyle w:val="Grundzkursiv"/>
          <w:i w:val="false"/>
        </w:rPr>
        <w:t>.</w:t>
      </w:r>
    </w:p>
    <w:p>
      <w:pPr>
        <w:pStyle w:val="Grundtext"/>
        <w:rPr>
          <w:i/>
          <w:i/>
        </w:rPr>
      </w:pPr>
      <w:r>
        <w:rPr>
          <w:i/>
        </w:rPr>
        <w:t>Release Candidates (RC )</w:t>
      </w:r>
    </w:p>
    <w:p>
      <w:pPr>
        <w:pStyle w:val="Grundtext"/>
        <w:rPr>
          <w:rStyle w:val="Grundzkursiv"/>
          <w:i w:val="false"/>
          <w:i w:val="false"/>
        </w:rPr>
      </w:pPr>
      <w:r>
        <w:rPr>
          <w:rStyle w:val="Grundzkursiv"/>
          <w:i w:val="false"/>
        </w:rPr>
        <w:t xml:space="preserve">Ein Software-Release ist ein (Software)-Produkt, das (an den Kunden) ausgeliefert wird. Release Candidate bezeichnet eine Softwareversion, die zur Auslieferung vorgesehen ist, aber noch nicht für den (End)-Anwender bereitgestellt wurde </w:t>
      </w:r>
      <w:r>
        <w:fldChar w:fldCharType="begin"/>
      </w:r>
      <w:r>
        <w:rPr>
          <w:rStyle w:val="Grundzkursiv"/>
          <w:i w:val="false"/>
        </w:rPr>
        <w:instrText>ADDIN ZOTERO_ITEM CSL_CITATION {"citationID":"TIa2T8US","properties":{"formattedCitation":"(Vgl. Kusay-Merkle, (2018), S. 292)","plainCitation":"(Vgl. Kusay-Merkle, (2018), S. 292)","noteIndex":0},"citationItems":[{"id":"RLKPnpNr/rmw1GEsm","uris":["http://zotero.org/users/10411486/items/WH8QGAUR"],"itemData":{"id":83,"type":"book","event-place":"Berlin,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w:instrText>
      </w:r>
      <w:r>
        <w:rPr>
          <w:rStyle w:val="Grundzkursiv"/>
          <w:i w:val="false"/>
        </w:rPr>
      </w:r>
      <w:r>
        <w:rPr>
          <w:rStyle w:val="Grundzkursiv"/>
          <w:i w:val="false"/>
        </w:rPr>
        <w:fldChar w:fldCharType="separate"/>
      </w:r>
      <w:r>
        <w:rPr>
          <w:rStyle w:val="Grundzkursiv"/>
          <w:i w:val="false"/>
        </w:rPr>
      </w:r>
      <w:r>
        <w:rPr/>
        <w:t>(Vgl. Kusay-Merkle, (2018), S. 292)</w:t>
      </w:r>
      <w:r>
        <w:rPr>
          <w:rStyle w:val="Grundzkursiv"/>
          <w:i w:val="false"/>
        </w:rPr>
      </w:r>
      <w:r>
        <w:rPr>
          <w:rStyle w:val="Grundzkursiv"/>
          <w:i w:val="false"/>
        </w:rPr>
        <w:fldChar w:fldCharType="end"/>
      </w:r>
      <w:r>
        <w:rPr>
          <w:rStyle w:val="Grundzkursiv"/>
          <w:i w:val="false"/>
        </w:rPr>
        <w:t>.</w:t>
      </w:r>
    </w:p>
    <w:p>
      <w:pPr>
        <w:pStyle w:val="Grundtext"/>
        <w:rPr>
          <w:b/>
          <w:b/>
          <w:u w:val="single"/>
        </w:rPr>
      </w:pPr>
      <w:r>
        <w:rPr>
          <w:i/>
        </w:rPr>
        <w:t>Relational Database Management System (RDBMS</w:t>
        <w:tab/>
        <w:t>)</w:t>
        <w:br/>
        <w:t>(relationales Datenbankverwaltungssystem)</w:t>
      </w:r>
    </w:p>
    <w:p>
      <w:pPr>
        <w:pStyle w:val="Grundtext"/>
        <w:rPr>
          <w:b/>
          <w:b/>
          <w:u w:val="single"/>
        </w:rPr>
      </w:pPr>
      <w:r>
        <w:rPr/>
        <w:t xml:space="preserve">In einem RDBMS werden die Daten in zueinander in Relation stehenden Tabellen gespeichert </w:t>
      </w:r>
      <w:r>
        <w:fldChar w:fldCharType="begin"/>
      </w:r>
      <w:r>
        <w:rPr/>
        <w:instrText>ADDIN ZOTERO_ITEM CSL_CITATION {"citationID":"8lS1vShr","properties":{"formattedCitation":"(Vgl. Meier, (2010), S. 6)","plainCitation":"(Vgl. Meier, (2010), S. 6)","noteIndex":0},"citationItems":[{"id":"RLKPnpNr/SIiUc3gS","uris":["http://zotero.org/users/10411486/items/PTKNK9QG"],"itemData":{"id":815,"type":"book","collection-title":"eXamen.press","event-place":"Berlin,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w:instrText>
      </w:r>
      <w:r>
        <w:rPr/>
      </w:r>
      <w:r>
        <w:rPr/>
        <w:fldChar w:fldCharType="separate"/>
      </w:r>
      <w:r>
        <w:rPr/>
        <w:t>(Vgl. Meier, (2010), S. 6)</w:t>
      </w:r>
      <w:r>
        <w:rPr/>
      </w:r>
      <w:r>
        <w:rPr/>
        <w:fldChar w:fldCharType="end"/>
      </w:r>
      <w:r>
        <w:rPr/>
        <w:t>.</w:t>
      </w:r>
    </w:p>
    <w:p>
      <w:pPr>
        <w:pStyle w:val="Normal"/>
        <w:rPr>
          <w:szCs w:val="20"/>
        </w:rPr>
      </w:pPr>
      <w:r>
        <w:rPr>
          <w:szCs w:val="20"/>
        </w:rPr>
      </w:r>
      <w:r>
        <w:br w:type="page"/>
      </w:r>
    </w:p>
    <w:p>
      <w:pPr>
        <w:pStyle w:val="Grundtext"/>
        <w:rPr>
          <w:b/>
          <w:b/>
          <w:u w:val="single"/>
        </w:rPr>
      </w:pPr>
      <w:r>
        <w:rPr>
          <w:i/>
        </w:rPr>
        <w:t>Requirements Engineering (Anforderungsmanagement)</w:t>
      </w:r>
    </w:p>
    <w:p>
      <w:pPr>
        <w:pStyle w:val="Grundtext"/>
        <w:rPr>
          <w:b/>
          <w:b/>
          <w:u w:val="single"/>
        </w:rPr>
      </w:pPr>
      <w:r>
        <w:rPr/>
        <w:t xml:space="preserve">Das Requirements Engineering (RE) beinhaltet alle Tätigkeiten, die zur Erhebung und Analyse sowie dem Verständnis und zur Dokumentation der Anforderungen erforderlich sind </w:t>
      </w:r>
      <w:r>
        <w:fldChar w:fldCharType="begin"/>
      </w:r>
      <w:r>
        <w:rPr/>
        <w:instrText>ADDIN ZOTERO_ITEM CSL_CITATION {"citationID":"LkwMDTB2","properties":{"formattedCitation":"(Vgl. Valentini et al., (2013), S. 9)","plainCitation":"(Vgl. Valentini et al., (2013), S. 9)","noteIndex":0},"citationItems":[{"id":"RLKPnpNr/lZDeM7Ks","uris":["http://zotero.org/users/10411486/items/SFULUNLV"],"itemData":{"id":794,"type":"book","collection-title":"Xpert.press","event-place":"Berlin,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w:instrText>
      </w:r>
      <w:r>
        <w:rPr/>
      </w:r>
      <w:r>
        <w:rPr/>
        <w:fldChar w:fldCharType="separate"/>
      </w:r>
      <w:r>
        <w:rPr/>
        <w:t>(Vgl. Valentini et al., (2013), S. 9)</w:t>
      </w:r>
      <w:r>
        <w:rPr/>
      </w:r>
      <w:r>
        <w:rPr/>
        <w:fldChar w:fldCharType="end"/>
      </w:r>
      <w:r>
        <w:rPr/>
        <w:t>.</w:t>
      </w:r>
    </w:p>
    <w:p>
      <w:pPr>
        <w:pStyle w:val="Grundtext"/>
        <w:rPr>
          <w:b/>
          <w:b/>
          <w:u w:val="single"/>
        </w:rPr>
      </w:pPr>
      <w:r>
        <w:rPr>
          <w:i/>
        </w:rPr>
        <w:t>Requirements Management (RM)</w:t>
      </w:r>
    </w:p>
    <w:p>
      <w:pPr>
        <w:pStyle w:val="Grundtext"/>
        <w:rPr>
          <w:b/>
          <w:b/>
          <w:u w:val="single"/>
        </w:rPr>
      </w:pPr>
      <w:r>
        <w:rPr/>
        <w:t xml:space="preserve">Zum Requirements Management (RM) gehören alle für die Verwaltung und Bereitstellung und der Kommunikation von Anforderungen erforderlichen Tätigkeiten </w:t>
      </w:r>
      <w:r>
        <w:fldChar w:fldCharType="begin"/>
      </w:r>
      <w:r>
        <w:rPr/>
        <w:instrText>ADDIN ZOTERO_ITEM CSL_CITATION {"citationID":"arn4y3yt","properties":{"formattedCitation":"(Vgl. Valentini et al., (2013), S. 9)","plainCitation":"(Vgl. Valentini et al., (2013), S. 9)","noteIndex":0},"citationItems":[{"id":"RLKPnpNr/lZDeM7Ks","uris":["http://zotero.org/users/10411486/items/SFULUNLV"],"itemData":{"id":794,"type":"book","collection-title":"Xpert.press","event-place":"Berlin,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w:instrText>
      </w:r>
      <w:r>
        <w:rPr/>
      </w:r>
      <w:r>
        <w:rPr/>
        <w:fldChar w:fldCharType="separate"/>
      </w:r>
      <w:r>
        <w:rPr/>
        <w:t>(Vgl. Valentini et al., (2013), S. 9)</w:t>
      </w:r>
      <w:r>
        <w:rPr/>
      </w:r>
      <w:r>
        <w:rPr/>
        <w:fldChar w:fldCharType="end"/>
      </w:r>
      <w:r>
        <w:rPr/>
        <w:t>.</w:t>
      </w:r>
    </w:p>
    <w:p>
      <w:pPr>
        <w:pStyle w:val="Grundtext"/>
        <w:rPr>
          <w:b/>
          <w:b/>
          <w:u w:val="single"/>
        </w:rPr>
      </w:pPr>
      <w:r>
        <w:rPr>
          <w:i/>
        </w:rPr>
        <w:t>Repository</w:t>
      </w:r>
    </w:p>
    <w:p>
      <w:pPr>
        <w:pStyle w:val="Grundtext"/>
        <w:rPr>
          <w:b/>
          <w:b/>
          <w:u w:val="single"/>
        </w:rPr>
      </w:pPr>
      <w:r>
        <w:rPr/>
        <w:t xml:space="preserve">Eine Bibliothek zur Verwaltung von Programmcode wird Repository genannt </w:t>
      </w:r>
      <w:r>
        <w:fldChar w:fldCharType="begin"/>
      </w:r>
      <w:r>
        <w:rPr/>
        <w:instrText>ADDIN ZOTERO_ITEM CSL_CITATION {"citationID":"rMdQceUr","properties":{"formattedCitation":"(Vgl. Kaufmann &amp; M\\uc0\\u252{}lder, (2023)a, S. 502)","plainCitation":"(Vgl. Kaufmann &amp; Mülder, (2023)a, S. 502)","noteIndex":0},"citationItems":[{"id":"RLKPnpNr/6JPmRgCV","uris":["http://zotero.org/users/10411486/items/F3X9WZDX"],"itemData":{"id":798,"type":"book","event-place":"Wiesbaden","ISBN":"978-3-658-37936-0","language":"de","note":"DOI: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w:instrText>
      </w:r>
      <w:r>
        <w:rPr/>
      </w:r>
      <w:r>
        <w:rPr/>
        <w:fldChar w:fldCharType="separate"/>
      </w:r>
      <w:r>
        <w:rPr/>
      </w:r>
      <w:r>
        <w:rPr>
          <w:szCs w:val="24"/>
        </w:rPr>
        <w:t>(Vgl. Kaufmann &amp; Mülder, (2023)a, S. 502)</w:t>
      </w:r>
      <w:r>
        <w:rPr/>
      </w:r>
      <w:r>
        <w:rPr/>
        <w:fldChar w:fldCharType="end"/>
      </w:r>
      <w:r>
        <w:rPr/>
        <w:t>.</w:t>
      </w:r>
    </w:p>
    <w:p>
      <w:pPr>
        <w:pStyle w:val="Grundtext"/>
        <w:rPr>
          <w:b/>
          <w:b/>
          <w:u w:val="single"/>
        </w:rPr>
      </w:pPr>
      <w:r>
        <w:rPr>
          <w:i/>
        </w:rPr>
        <w:t>Stakeholder</w:t>
      </w:r>
    </w:p>
    <w:p>
      <w:pPr>
        <w:pStyle w:val="Grundtext"/>
        <w:rPr>
          <w:b/>
          <w:b/>
          <w:u w:val="single"/>
        </w:rPr>
      </w:pPr>
      <w:r>
        <w:rPr/>
        <w:t xml:space="preserve">Stakeholder sind Personen oder Personengruppen, die am Projekt interessiert oder beteiligt oder vom Projekt betroffen sind bzw. das Projekt beeinflussen können </w:t>
      </w:r>
      <w:r>
        <w:fldChar w:fldCharType="begin"/>
      </w:r>
      <w:r>
        <w:rPr/>
        <w:instrText>ADDIN ZOTERO_ITEM CSL_CITATION {"citationID":"7E9WCAIJ","properties":{"formattedCitation":"(Vgl. Timinger, (2015), S. 314 f.)","plainCitation":"(Vgl. Timinger, (2015), S. 314 f.)","noteIndex":0},"citationItems":[{"id":"RLKPnpNr/G0hXzorN","uris":["http://zotero.org/users/10411486/items/PLLNAC9H"],"itemData":{"id":792,"type":"book","publisher":"Wiley-VCH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w:instrText>
      </w:r>
      <w:r>
        <w:rPr/>
      </w:r>
      <w:r>
        <w:rPr/>
        <w:fldChar w:fldCharType="separate"/>
      </w:r>
      <w:r>
        <w:rPr/>
        <w:t>(Vgl. Timinger, (2015), S. 314 f.)</w:t>
      </w:r>
      <w:r>
        <w:rPr/>
      </w:r>
      <w:r>
        <w:rPr/>
        <w:fldChar w:fldCharType="end"/>
      </w:r>
      <w:r>
        <w:rPr/>
        <w:t>.</w:t>
      </w:r>
    </w:p>
    <w:p>
      <w:pPr>
        <w:pStyle w:val="Grundtext"/>
        <w:rPr>
          <w:b/>
          <w:b/>
          <w:u w:val="single"/>
        </w:rPr>
      </w:pPr>
      <w:r>
        <w:rPr>
          <w:i/>
        </w:rPr>
        <w:t>Subversion (SVN)</w:t>
      </w:r>
    </w:p>
    <w:p>
      <w:pPr>
        <w:pStyle w:val="Grundtext"/>
        <w:rPr>
          <w:b/>
          <w:b/>
          <w:u w:val="single"/>
        </w:rPr>
      </w:pPr>
      <w:r>
        <w:rPr/>
        <w:t xml:space="preserve">SVN ist ein Versionsverwaltungsprogramm, das eine Repository-Plattform für Programmierer zur Verfügung stellt, um gemeinsam an einem Softwareprojekt zu arbeiten </w:t>
      </w:r>
      <w:r>
        <w:fldChar w:fldCharType="begin"/>
      </w:r>
      <w:r>
        <w:rPr/>
        <w:instrText>ADDIN ZOTERO_ITEM CSL_CITATION {"citationID":"iHSsjjJi","properties":{"formattedCitation":"(Vgl. Carle et al., (2013), S. 1)","plainCitation":"(Vgl. Carle et al., (2013), S. 1)","noteIndex":0},"citationItems":[{"id":"RLKPnpNr/km9lFwxB","uris":["http://zotero.org/users/10411486/items/FDYXVRMB"],"itemData":{"id":859,"type":"document","abstract":"Kurzeinführing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w:instrText>
      </w:r>
      <w:r>
        <w:rPr/>
      </w:r>
      <w:r>
        <w:rPr/>
        <w:fldChar w:fldCharType="separate"/>
      </w:r>
      <w:r>
        <w:rPr/>
        <w:t>(Vgl. Carle et al., (2013), S. 1)</w:t>
      </w:r>
      <w:r>
        <w:rPr/>
      </w:r>
      <w:r>
        <w:rPr/>
        <w:fldChar w:fldCharType="end"/>
      </w:r>
      <w:r>
        <w:rPr/>
        <w:t>.</w:t>
      </w:r>
    </w:p>
    <w:p>
      <w:pPr>
        <w:pStyle w:val="Grundtext"/>
        <w:rPr>
          <w:b/>
          <w:b/>
          <w:u w:val="single"/>
        </w:rPr>
      </w:pPr>
      <w:r>
        <w:rPr>
          <w:i/>
        </w:rPr>
        <w:t xml:space="preserve">Validation </w:t>
      </w:r>
    </w:p>
    <w:p>
      <w:pPr>
        <w:pStyle w:val="Grundtext"/>
        <w:rPr>
          <w:b/>
          <w:b/>
          <w:u w:val="single"/>
        </w:rPr>
      </w:pPr>
      <w:r>
        <w:rPr/>
        <w:t xml:space="preserve">Die Validation ist die Eignungsprüfung einer Systemkomponente bezogen auf ihren Einsatzzweck </w:t>
      </w:r>
      <w:r>
        <w:fldChar w:fldCharType="begin"/>
      </w:r>
      <w:r>
        <w:rPr/>
        <w:instrText>ADDIN ZOTERO_ITEM CSL_CITATION {"citationID":"Ya9GDYCO","properties":{"formattedCitation":"(Vgl. Alpar et al., (2023), S. 395)","plainCitation":"(Vgl. Alpar et al., (2023), S. 395)","noteIndex":0},"citationItems":[{"id":"RLKPnpNr/m4iW34uq","uris":["http://zotero.org/users/10411486/items/TNMHKFRS"],"itemData":{"id":833,"type":"book","event-place":"Wiesbaden","ISBN":"978-3-658-40351-5","language":"de","note":"DOI: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w:instrText>
      </w:r>
      <w:r>
        <w:rPr/>
      </w:r>
      <w:r>
        <w:rPr/>
        <w:fldChar w:fldCharType="separate"/>
      </w:r>
      <w:r>
        <w:rPr/>
        <w:t>(Vgl. Alpar et al., (2023), S. 395)</w:t>
      </w:r>
      <w:r>
        <w:rPr/>
      </w:r>
      <w:r>
        <w:rPr/>
        <w:fldChar w:fldCharType="end"/>
      </w:r>
      <w:r>
        <w:rPr/>
        <w:t>.</w:t>
      </w:r>
    </w:p>
    <w:p>
      <w:pPr>
        <w:pStyle w:val="Grundtext"/>
        <w:rPr>
          <w:b/>
          <w:b/>
          <w:u w:val="single"/>
        </w:rPr>
      </w:pPr>
      <w:r>
        <w:rPr>
          <w:i/>
        </w:rPr>
        <w:t xml:space="preserve">Verifizierung </w:t>
      </w:r>
    </w:p>
    <w:p>
      <w:pPr>
        <w:pStyle w:val="Grundtext"/>
        <w:rPr>
          <w:b/>
          <w:b/>
          <w:u w:val="single"/>
        </w:rPr>
      </w:pPr>
      <w:r>
        <w:rPr/>
        <w:t xml:space="preserve">Das Überprüfen der Übereinstimmung einer Systemkomponente mit ihrer Spezifikation wird als Verifizierung bezeichnet </w:t>
      </w:r>
      <w:r>
        <w:fldChar w:fldCharType="begin"/>
      </w:r>
      <w:r>
        <w:rPr/>
        <w:instrText>ADDIN ZOTERO_ITEM CSL_CITATION {"citationID":"U9XD3icP","properties":{"formattedCitation":"(Vgl. Alpar et al., (2023), S. 398)","plainCitation":"(Vgl. Alpar et al., (2023), S. 398)","noteIndex":0},"citationItems":[{"id":"RLKPnpNr/m4iW34uq","uris":["http://zotero.org/users/10411486/items/TNMHKFRS"],"itemData":{"id":833,"type":"book","event-place":"Wiesbaden","ISBN":"978-3-658-40351-5","language":"de","note":"DOI: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w:instrText>
      </w:r>
      <w:r>
        <w:rPr/>
      </w:r>
      <w:r>
        <w:rPr/>
        <w:fldChar w:fldCharType="separate"/>
      </w:r>
      <w:r>
        <w:rPr/>
        <w:t>(Vgl. Alpar et al., (2023), S. 398)</w:t>
      </w:r>
      <w:r>
        <w:rPr/>
      </w:r>
      <w:r>
        <w:rPr/>
        <w:fldChar w:fldCharType="end"/>
      </w:r>
      <w:r>
        <w:rPr/>
        <w:t>.</w:t>
      </w:r>
    </w:p>
    <w:p>
      <w:pPr>
        <w:pStyle w:val="Normal"/>
        <w:rPr>
          <w:szCs w:val="20"/>
        </w:rPr>
      </w:pPr>
      <w:r>
        <w:rPr>
          <w:szCs w:val="20"/>
        </w:rPr>
      </w:r>
      <w:r>
        <w:br w:type="page"/>
      </w:r>
    </w:p>
    <w:p>
      <w:pPr>
        <w:pStyle w:val="Grundtext"/>
        <w:rPr>
          <w:b/>
          <w:b/>
          <w:u w:val="single"/>
        </w:rPr>
      </w:pPr>
      <w:r>
        <w:rPr>
          <w:i/>
        </w:rPr>
        <w:t xml:space="preserve">Vorgehensmodell </w:t>
      </w:r>
    </w:p>
    <w:p>
      <w:pPr>
        <w:pStyle w:val="Grundtext"/>
        <w:rPr>
          <w:b/>
          <w:b/>
          <w:u w:val="single"/>
        </w:rPr>
      </w:pPr>
      <w:r>
        <w:rPr/>
        <w:t xml:space="preserve">Das Vorgehensmodell umfasst alle Aktivitäten und deren Reihenfolge, die zur Durchführung eines Projektes erforderlich sind </w:t>
      </w:r>
      <w:r>
        <w:fldChar w:fldCharType="begin"/>
      </w:r>
      <w:r>
        <w:rPr/>
        <w:instrText>ADDIN ZOTERO_ITEM CSL_CITATION {"citationID":"QWwv5R2T","properties":{"formattedCitation":"(Vgl. Aichele &amp; Sch\\uc0\\u246{}nberger, (2014), S. 138)","plainCitation":"(Vgl. Aichele &amp; Schönberger, (2014), S. 138)","noteIndex":0},"citationItems":[{"id":"RLKPnpNr/U2aOuvrC","uris":["http://zotero.org/users/10411486/items/L3II5ST8"],"itemData":{"id":824,"type":"book","event-place":"Wiesbaden","ISBN":"978-3-8348-2435-6","language":"de","note":"DOI: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w:instrText>
      </w:r>
      <w:r>
        <w:rPr/>
      </w:r>
      <w:r>
        <w:rPr/>
        <w:fldChar w:fldCharType="separate"/>
      </w:r>
      <w:r>
        <w:rPr/>
      </w:r>
      <w:r>
        <w:rPr>
          <w:szCs w:val="24"/>
        </w:rPr>
        <w:t>(Vgl. Aichele &amp; Schönberger, (2014), S. 138)</w:t>
      </w:r>
      <w:r>
        <w:rPr/>
      </w:r>
      <w:r>
        <w:rPr/>
        <w:fldChar w:fldCharType="end"/>
      </w:r>
      <w:r>
        <w:rPr/>
        <w:t>.</w:t>
      </w:r>
    </w:p>
    <w:p>
      <w:pPr>
        <w:pStyle w:val="Grundtext"/>
        <w:rPr>
          <w:i/>
          <w:i/>
        </w:rPr>
      </w:pPr>
      <w:r>
        <w:rPr>
          <w:i/>
        </w:rPr>
        <w:t>Workflow</w:t>
      </w:r>
    </w:p>
    <w:p>
      <w:pPr>
        <w:pStyle w:val="Grundtext"/>
        <w:rPr>
          <w:b/>
          <w:b/>
          <w:u w:val="single"/>
        </w:rPr>
      </w:pPr>
      <w:r>
        <w:rPr/>
        <w:t xml:space="preserve">In einem Workflow werden die zeitlichen, fachlichen und ressourcenbezogenen Spezifikationen für eine automatische Steuerung der Aufgaben  in einem Geschäftsprozess definiert. Die Festlegung und Steuerung der Aufgaben und Arbeitsschritte erfolgt in einem Workflow-Management-Systems </w:t>
      </w:r>
      <w:r>
        <w:fldChar w:fldCharType="begin"/>
      </w:r>
      <w:r>
        <w:rPr/>
        <w:instrText>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w:instrText>
      </w:r>
      <w:r>
        <w:rPr/>
      </w:r>
      <w:r>
        <w:rPr/>
        <w:fldChar w:fldCharType="separate"/>
      </w:r>
      <w:r>
        <w:rPr/>
        <w:t>(Vgl. Gehring &amp; Gabriel, (2022), S. 667 f.)</w:t>
      </w:r>
      <w:r>
        <w:rPr/>
      </w:r>
      <w:r>
        <w:rPr/>
        <w:fldChar w:fldCharType="end"/>
      </w:r>
      <w:r>
        <w:rPr/>
        <w:t>.</w:t>
      </w:r>
    </w:p>
    <w:p>
      <w:pPr>
        <w:pStyle w:val="Grundtext"/>
        <w:rPr>
          <w:i/>
          <w:i/>
        </w:rPr>
      </w:pPr>
      <w:r>
        <w:rPr>
          <w:i/>
        </w:rPr>
        <w:t>Workflow-Management-Systems (WFMS)</w:t>
      </w:r>
    </w:p>
    <w:p>
      <w:pPr>
        <w:pStyle w:val="Grundtext"/>
        <w:rPr>
          <w:b/>
          <w:b/>
          <w:u w:val="single"/>
        </w:rPr>
      </w:pPr>
      <w:r>
        <w:rPr/>
        <w:t xml:space="preserve">Die Aufgaben und Arbeitsschritte eines Workflows werden in einem WFMS automatisiert und gesteuert. Voraussetzung für die automatisierte Steuerung ist, dass die Aufgaben und Arbeitsschritte (Teilprozesse) strukturiert sind </w:t>
      </w:r>
      <w:r>
        <w:fldChar w:fldCharType="begin"/>
      </w:r>
      <w:r>
        <w:rPr/>
        <w:instrText>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w:instrText>
      </w:r>
      <w:r>
        <w:rPr/>
      </w:r>
      <w:r>
        <w:rPr/>
        <w:fldChar w:fldCharType="separate"/>
      </w:r>
      <w:r>
        <w:rPr/>
        <w:t>(Vgl. Gehring &amp; Gabriel, (2022), S. 394)</w:t>
      </w:r>
      <w:r>
        <w:rPr/>
      </w:r>
      <w:r>
        <w:rPr/>
        <w:fldChar w:fldCharType="end"/>
      </w:r>
      <w:r>
        <w:rPr/>
        <w:t>.</w:t>
      </w:r>
    </w:p>
    <w:p>
      <w:pPr>
        <w:pStyle w:val="Grundtext"/>
        <w:rPr>
          <w:i/>
          <w:i/>
        </w:rPr>
      </w:pPr>
      <w:r>
        <w:rPr>
          <w:i/>
        </w:rPr>
        <w:t>World Wide Web (WWW)</w:t>
      </w:r>
    </w:p>
    <w:p>
      <w:pPr>
        <w:pStyle w:val="Grundtext"/>
        <w:rPr>
          <w:b/>
          <w:b/>
          <w:u w:val="single"/>
        </w:rPr>
      </w:pPr>
      <w:r>
        <w:rPr/>
        <w:t xml:space="preserve">Das World Wide Web (WWW) ist ein verteiltes Informationssystem und stellt Dienste für die Übertragung von Webseiten über das Hypertext Transfer Protocol (HTTP) zur Verfügung </w:t>
      </w:r>
      <w:r>
        <w:fldChar w:fldCharType="begin"/>
      </w:r>
      <w:r>
        <w:rPr/>
        <w:instrText>ADDIN ZOTERO_ITEM CSL_CITATION {"citationID":"NA4ARKB8","properties":{"formattedCitation":"(Vgl. Kaufmann &amp; M\\uc0\\u252{}lder, (2023)a, S. 214 f.)","plainCitation":"(Vgl. Kaufmann &amp; Mülder, (2023)a, S. 214 f.)","noteIndex":0},"citationItems":[{"id":"RLKPnpNr/6JPmRgCV","uris":["http://zotero.org/users/10411486/items/F3X9WZDX"],"itemData":{"id":798,"type":"book","event-place":"Wiesbaden","ISBN":"978-3-658-37936-0","language":"de","note":"DOI: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w:instrText>
      </w:r>
      <w:r>
        <w:rPr/>
      </w:r>
      <w:r>
        <w:rPr/>
        <w:fldChar w:fldCharType="separate"/>
      </w:r>
      <w:r>
        <w:rPr/>
      </w:r>
      <w:r>
        <w:rPr>
          <w:szCs w:val="24"/>
        </w:rPr>
        <w:t>(Vgl. Kaufmann &amp; Mülder, (2023)a, S. 214 f.)</w:t>
      </w:r>
      <w:r>
        <w:rPr/>
      </w:r>
      <w:r>
        <w:rPr/>
        <w:fldChar w:fldCharType="end"/>
      </w:r>
      <w:r>
        <w:rPr/>
        <w:t>.</w:t>
      </w:r>
    </w:p>
    <w:p>
      <w:pPr>
        <w:pStyle w:val="Grundtext"/>
        <w:rPr>
          <w:i/>
          <w:i/>
        </w:rPr>
      </w:pPr>
      <w:r>
        <w:rPr>
          <w:i/>
        </w:rPr>
        <w:t xml:space="preserve">WWW-Server (Web-Server) </w:t>
      </w:r>
    </w:p>
    <w:p>
      <w:pPr>
        <w:sectPr>
          <w:headerReference w:type="default" r:id="rId7"/>
          <w:type w:val="nextPage"/>
          <w:pgSz w:w="11906" w:h="16838"/>
          <w:pgMar w:left="1701" w:right="1701" w:header="720" w:top="1701" w:footer="0" w:bottom="1134" w:gutter="0"/>
          <w:pgNumType w:fmt="upperRoman"/>
          <w:formProt w:val="false"/>
          <w:textDirection w:val="lrTb"/>
          <w:docGrid w:type="default" w:linePitch="360" w:charSpace="0"/>
        </w:sectPr>
        <w:pStyle w:val="Grundtext"/>
        <w:rPr>
          <w:b/>
          <w:b/>
          <w:u w:val="single"/>
        </w:rPr>
      </w:pPr>
      <w:r>
        <w:rPr/>
        <w:t xml:space="preserve">Ein WWW -Server (Web-Server) ist eine Software, die Anfragen über das HTTP-Protokoll empfängt und beantwortet </w:t>
      </w:r>
      <w:r>
        <w:fldChar w:fldCharType="begin"/>
      </w:r>
      <w:r>
        <w:rPr/>
        <w:instrText>ADDIN ZOTERO_ITEM CSL_CITATION {"citationID":"ZUMNBmLA","properties":{"formattedCitation":"(Vgl. Alpar et al., (2023), S. 537)","plainCitation":"(Vgl. Alpar et al., (2023), S. 537)","noteIndex":0},"citationItems":[{"id":"RLKPnpNr/m4iW34uq","uris":["http://zotero.org/users/10411486/items/TNMHKFRS"],"itemData":{"id":833,"type":"book","event-place":"Wiesbaden","ISBN":"978-3-658-40351-5","language":"de","note":"DOI: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w:instrText>
      </w:r>
      <w:r>
        <w:rPr/>
      </w:r>
      <w:r>
        <w:rPr/>
        <w:fldChar w:fldCharType="separate"/>
      </w:r>
      <w:r>
        <w:rPr/>
        <w:t>(Vgl. Alpar et al., (2023), S. 537)</w:t>
      </w:r>
      <w:r>
        <w:rPr/>
      </w:r>
      <w:r>
        <w:rPr/>
        <w:fldChar w:fldCharType="end"/>
      </w:r>
      <w:r>
        <w:rPr/>
        <w:t>.</w:t>
      </w:r>
    </w:p>
    <w:p>
      <w:pPr>
        <w:pStyle w:val="Berschrift1"/>
        <w:spacing w:before="0" w:after="0"/>
        <w:rPr>
          <w:b/>
          <w:b/>
          <w:u w:val="single"/>
        </w:rPr>
      </w:pPr>
      <w:bookmarkStart w:id="19" w:name="_Toc141868468"/>
      <w:bookmarkStart w:id="20" w:name="_Ref532289901"/>
      <w:bookmarkStart w:id="21" w:name="_Toc532290624"/>
      <w:bookmarkStart w:id="22" w:name="_Toc532295857"/>
      <w:r>
        <w:rPr/>
        <w:t>Einleitung</w:t>
      </w:r>
      <w:bookmarkEnd w:id="19"/>
      <w:bookmarkEnd w:id="20"/>
      <w:bookmarkEnd w:id="21"/>
      <w:bookmarkEnd w:id="22"/>
    </w:p>
    <w:p>
      <w:pPr>
        <w:pStyle w:val="Grundtext"/>
        <w:rPr>
          <w:b/>
          <w:b/>
          <w:u w:val="single"/>
        </w:rPr>
      </w:pPr>
      <w:r>
        <w:rPr/>
        <w:t xml:space="preserve">Im Rahmen der Praxisphase des Bachelor Studiengangs „Wirtschaftsinformatik Online“ an der Hochschule für Technik Berlin wurde das Projekt zur Bereitstellung und Test der Software „Progress Monitor“ im Unternehmen Softzoll GmbH &amp; Co. KG (Softzoll) durchgeführt. </w:t>
      </w:r>
    </w:p>
    <w:p>
      <w:pPr>
        <w:pStyle w:val="Grundtext"/>
        <w:rPr>
          <w:b/>
          <w:b/>
          <w:u w:val="single"/>
        </w:rPr>
      </w:pPr>
      <w:r>
        <w:rPr/>
        <w:t xml:space="preserve">Das operative Geschäft des Unternehmens besteht unter anderem in der Erbringung von Dienstleistungen im elektronischen Datenaustausch und der damit verbundenen Datenkonvertierung sowie dem Nachrichtenaustausch. Zur Umsetzung der Konvertierung und des Datenaustauschs werden die damit verbundenen Arbeitsschritte über Workflows in einem Workflow-Management-System (WFMS) organisiert und automatisiert. Für die Datenkonvertierung, den Nachrichtenaustausch und das WFMS kommen von Softzoll selbstentwickelte Softwarekomponenten  zum Einsatz. </w:t>
      </w:r>
    </w:p>
    <w:p>
      <w:pPr>
        <w:pStyle w:val="Grundtext"/>
        <w:rPr>
          <w:b/>
          <w:b/>
          <w:u w:val="single"/>
        </w:rPr>
      </w:pPr>
      <w:r>
        <w:rPr/>
        <w:t xml:space="preserve">Zur Festigung bzw. Ausbau der Marktposition und der Wettbewerbsvorteile muss jedes Unternehmen in einem kontinuierlichen Verbesserungsprozess (KVP) die Produktqualität sowie die technischen und organisatorischen Prozesse im Unternehmen überprüfen und durch stetige Veränderungen verbessern </w:t>
      </w:r>
      <w:r>
        <w:fldChar w:fldCharType="begin"/>
      </w:r>
      <w:r>
        <w:rPr/>
        <w:instrText>ADDIN ZOTERO_ITEM CSL_CITATION {"citationID":"bxMOBMdz","properties":{"formattedCitation":"(Vgl. Kirner et al., (2006), S. 2)","plainCitation":"(Vgl. Kirner et al., (2006), S. 2)","noteIndex":0},"citationItems":[{"id":"RLKPnpNr/BjAflkVG","uris":["http://zotero.org/users/10411486/items/2TD4K938"],"itemData":{"id":767,"type":"report","publisher":"Mitteilungen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w:instrText>
      </w:r>
      <w:r>
        <w:rPr/>
      </w:r>
      <w:r>
        <w:rPr/>
        <w:fldChar w:fldCharType="separate"/>
      </w:r>
      <w:r>
        <w:rPr/>
        <w:t>(Vgl. Kirner et al., (2006), S. 2)</w:t>
      </w:r>
      <w:r>
        <w:rPr/>
      </w:r>
      <w:r>
        <w:rPr/>
        <w:fldChar w:fldCharType="end"/>
      </w:r>
      <w:r>
        <w:rPr/>
        <w:t>. Dazu gehört auch das Qualitätsmanagement, das sicherstellt, dass der</w:t>
      </w:r>
      <w:r>
        <w:rPr/>
        <w:commentReference w:id="9"/>
      </w:r>
      <w:r>
        <w:rPr/>
        <w:t xml:space="preserve"> Produktqualität erhalten bleibt oder verbessert wird </w:t>
      </w:r>
      <w:r>
        <w:fldChar w:fldCharType="begin"/>
      </w:r>
      <w:r>
        <w:rPr/>
        <w:instrText>ADDIN ZOTERO_ITEM CSL_CITATION {"citationID":"QmlKJR6g","properties":{"formattedCitation":"(Vgl. Bechmann &amp; Landerer, (2010), S. 9 ff.)","plainCitation":"(Vgl. Bechmann &amp; Landerer, (2010), S. 9 ff.)","noteIndex":0},"citationItems":[{"id":"RLKPnpNr/wgzJPXIQ","uris":["http://zotero.org/users/10411486/items/9UUW8KYF"],"itemData":{"id":760,"type":"book","collection-title":"Betriebs-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w:instrText>
      </w:r>
      <w:r>
        <w:rPr/>
      </w:r>
      <w:r>
        <w:rPr/>
        <w:fldChar w:fldCharType="separate"/>
      </w:r>
      <w:r>
        <w:rPr/>
        <w:t>(Vgl. Bechmann &amp; Landerer, (2010), S. 9 ff.)</w:t>
      </w:r>
      <w:r>
        <w:rPr/>
      </w:r>
      <w:r>
        <w:rPr/>
        <w:fldChar w:fldCharType="end"/>
      </w:r>
      <w:r>
        <w:rPr/>
        <w:t xml:space="preserve">. </w:t>
      </w:r>
    </w:p>
    <w:p>
      <w:pPr>
        <w:pStyle w:val="Grundtext"/>
        <w:rPr>
          <w:b/>
          <w:b/>
          <w:u w:val="single"/>
        </w:rPr>
      </w:pPr>
      <w:r>
        <w:rPr/>
        <w:t xml:space="preserve">Als Teil des Qualitätsmanagements wurde zur Fehleranalyse und zur Überprüfung der Softwarequalität sowie zur Verifizierung der Datenkonvertierung 2023 bei Softzoll die Software „Progress Monitor“ eingeführt. </w:t>
      </w:r>
    </w:p>
    <w:p>
      <w:pPr>
        <w:sectPr>
          <w:headerReference w:type="default" r:id="rId8"/>
          <w:type w:val="nextPage"/>
          <w:pgSz w:w="11906" w:h="16838"/>
          <w:pgMar w:left="1701" w:right="1701" w:header="720" w:top="1701" w:footer="0" w:bottom="1134" w:gutter="0"/>
          <w:pgNumType w:start="1" w:fmt="decimal"/>
          <w:formProt w:val="false"/>
          <w:textDirection w:val="lrTb"/>
          <w:docGrid w:type="default" w:linePitch="360" w:charSpace="0"/>
        </w:sectPr>
        <w:pStyle w:val="Grundtext"/>
        <w:rPr>
          <w:b/>
          <w:b/>
          <w:u w:val="single"/>
        </w:rPr>
      </w:pPr>
      <w:r>
        <w:rPr/>
        <w:t xml:space="preserve">Folgender Bericht dokumentiert die Vorbereitung und Durchführung des Projekts. </w:t>
      </w:r>
    </w:p>
    <w:p>
      <w:pPr>
        <w:pStyle w:val="Berschrift1"/>
        <w:spacing w:before="0" w:after="0"/>
        <w:rPr>
          <w:b/>
          <w:b/>
          <w:u w:val="single"/>
        </w:rPr>
      </w:pPr>
      <w:bookmarkStart w:id="23" w:name="_Toc141868469"/>
      <w:r>
        <w:rPr/>
        <w:t>Methodik</w:t>
      </w:r>
      <w:bookmarkEnd w:id="23"/>
    </w:p>
    <w:p>
      <w:pPr>
        <w:pStyle w:val="Grundtext"/>
        <w:rPr>
          <w:b/>
          <w:b/>
          <w:u w:val="single"/>
        </w:rPr>
      </w:pPr>
      <w:r>
        <w:rPr/>
        <w:t xml:space="preserve">Im methodischen Vorgehen gilt es zwischen der Vorgehensweise in der Projektdurchführung bzw. im Projektmanagement und in der Erstellung dieser Arbeit zu unterscheiden. </w:t>
      </w:r>
      <w:r>
        <w:rPr/>
        <w:commentReference w:id="10"/>
      </w:r>
    </w:p>
    <w:p>
      <w:pPr>
        <w:pStyle w:val="Grundtext"/>
        <w:rPr>
          <w:b/>
          <w:b/>
          <w:u w:val="single"/>
        </w:rPr>
      </w:pPr>
      <w:r>
        <w:rPr/>
        <w:t xml:space="preserve">Zunächst erfolgt ein Einblick in die Methodik zur Erstellung der Arbeit. Diese beruht auf ein wissenschaftlich methodisches Vorgehen. In der Vorbereitung und beim Schreiben des Aufsatzes wurden die Methoden des Frameworks von Brocke et al angewandt. Dieses Framework umfasst die fünf Phasen </w:t>
      </w:r>
    </w:p>
    <w:p>
      <w:pPr>
        <w:pStyle w:val="Grundtext"/>
        <w:numPr>
          <w:ilvl w:val="0"/>
          <w:numId w:val="6"/>
        </w:numPr>
        <w:rPr>
          <w:b/>
          <w:b/>
          <w:u w:val="single"/>
        </w:rPr>
      </w:pPr>
      <w:r>
        <w:rPr/>
        <w:t>Definition des Rechercheumfangs</w:t>
      </w:r>
    </w:p>
    <w:p>
      <w:pPr>
        <w:pStyle w:val="Grundtext"/>
        <w:numPr>
          <w:ilvl w:val="0"/>
          <w:numId w:val="6"/>
        </w:numPr>
        <w:rPr>
          <w:b/>
          <w:b/>
          <w:u w:val="single"/>
        </w:rPr>
      </w:pPr>
      <w:r>
        <w:rPr/>
        <w:t>Strukturierung und Aufbereitung des Themas (Konzeptualisierung)</w:t>
      </w:r>
    </w:p>
    <w:p>
      <w:pPr>
        <w:pStyle w:val="Grundtext"/>
        <w:numPr>
          <w:ilvl w:val="0"/>
          <w:numId w:val="6"/>
        </w:numPr>
        <w:rPr>
          <w:b/>
          <w:b/>
          <w:u w:val="single"/>
        </w:rPr>
      </w:pPr>
      <w:r>
        <w:rPr/>
        <w:t>Durchführung der Literatur Recherche</w:t>
      </w:r>
    </w:p>
    <w:p>
      <w:pPr>
        <w:pStyle w:val="Grundtext"/>
        <w:numPr>
          <w:ilvl w:val="0"/>
          <w:numId w:val="6"/>
        </w:numPr>
        <w:rPr>
          <w:b/>
          <w:b/>
          <w:u w:val="single"/>
        </w:rPr>
      </w:pPr>
      <w:r>
        <w:rPr/>
        <w:t>Analyse und Synthese der gefundenen Literatur</w:t>
      </w:r>
    </w:p>
    <w:p>
      <w:pPr>
        <w:pStyle w:val="Grundtext"/>
        <w:numPr>
          <w:ilvl w:val="0"/>
          <w:numId w:val="6"/>
        </w:numPr>
        <w:rPr>
          <w:b/>
          <w:b/>
          <w:u w:val="single"/>
        </w:rPr>
      </w:pPr>
      <w:r>
        <w:rPr/>
        <w:t xml:space="preserve">Dokumentation der Forschungsergebnisse </w:t>
      </w:r>
    </w:p>
    <w:p>
      <w:pPr>
        <w:pStyle w:val="Grundtext"/>
        <w:rPr>
          <w:b/>
          <w:b/>
          <w:u w:val="single"/>
        </w:rPr>
      </w:pPr>
      <w:r>
        <w:fldChar w:fldCharType="begin"/>
      </w:r>
      <w:r>
        <w:rPr/>
        <w:instrText>ADDIN ZOTERO_ITEM CSL_CITATION {"citationID":"2dIWOGm3","properties":{"formattedCitation":"(Vgl. Simons et al., (2009), S. 9)","plainCitation":"(Vgl. Simons et al., (2009), S. 9)","noteIndex":0},"citationItems":[{"id":"RLKPnpNr/itMvzxWG","uris":["http://zotero.org/users/10411486/items/XV8FGX8M"],"itemData":{"id":787,"type":"article-journal","abstract":"Science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w:instrText>
      </w:r>
      <w:r>
        <w:rPr/>
      </w:r>
      <w:r>
        <w:rPr/>
        <w:fldChar w:fldCharType="separate"/>
      </w:r>
      <w:r>
        <w:rPr/>
        <w:t>(Vgl. Simons et al., (2009), S. 9)</w:t>
      </w:r>
      <w:r>
        <w:rPr/>
      </w:r>
      <w:r>
        <w:rPr/>
        <w:fldChar w:fldCharType="end"/>
      </w:r>
      <w:r>
        <w:rPr/>
        <w:t>.</w:t>
      </w:r>
    </w:p>
    <w:p>
      <w:pPr>
        <w:pStyle w:val="Grundtext"/>
        <w:rPr>
          <w:b/>
          <w:b/>
          <w:u w:val="single"/>
        </w:rPr>
      </w:pPr>
      <w:r>
        <w:rPr/>
        <w:t>Im ersten Schritt erfolgte die Abgrenzung der Themen und die Gliederung der Arbeit. Daran anschließend wurde die Gliederung und das Grobkonzept für die Literaturrecherche und die Artikelerstellung erstellt. Anhand der Gliederung und des Konzepts konnten die Kapitelüberschriften formuliert werden. Im nächsten Schritt erfolgte unter Verwendung der zuvor definierten Suchbegriffe die Literaturrecherche. Zur späteren Nachvollziehbarkeit der Recherche wurden in jeder Suche das Datum und die Uhrzeit, die verwendeten Suchbegriffe und Suchdatenbanken sowie der Literaturtitel, die Autoren, das Jahr der Publikation, den Verlag bzw. die Quelle der Publikation, die Art der Publikation und die DOI</w:t>
        <w:noBreakHyphen/>
        <w:t xml:space="preserve"> oder ISBN</w:t>
        <w:noBreakHyphen/>
        <w:t xml:space="preserve">Nummer dokumentiert. Dieses Vorgehen ermöglicht das Auffinden derselben Literatur bei einer erneuten Suche. </w:t>
      </w:r>
    </w:p>
    <w:p>
      <w:pPr>
        <w:pStyle w:val="Grundtext"/>
        <w:rPr>
          <w:b/>
          <w:b/>
          <w:u w:val="single"/>
        </w:rPr>
      </w:pPr>
      <w:r>
        <w:rPr/>
        <w:t xml:space="preserve">Durch das Lesen des Abstracts bzw. Vorworts wurde in der Analysephase die Literatur anhand der zuvor definierten Kriterien (Thema, Erscheinungsjahr, Quelle, fachliche Expertise) bewertet und selektiert. </w:t>
      </w:r>
    </w:p>
    <w:p>
      <w:pPr>
        <w:pStyle w:val="Grundtext"/>
        <w:rPr>
          <w:b/>
          <w:b/>
          <w:u w:val="single"/>
        </w:rPr>
      </w:pPr>
      <w:r>
        <w:rPr/>
        <w:t xml:space="preserve">Für die Recherche wurden die Datenbanken Google Scholar, Springer Link, „Webopac“ </w:t>
        <w:noBreakHyphen/>
        <w:t xml:space="preserve"> die Online-Bibliothek der BHT </w:t>
        <w:noBreakHyphen/>
        <w:t xml:space="preserve"> und Open Access genutzt. </w:t>
      </w:r>
    </w:p>
    <w:p>
      <w:pPr>
        <w:pStyle w:val="Normal"/>
        <w:rPr>
          <w:szCs w:val="20"/>
        </w:rPr>
      </w:pPr>
      <w:r>
        <w:rPr>
          <w:szCs w:val="20"/>
        </w:rPr>
      </w:r>
      <w:r>
        <w:br w:type="page"/>
      </w:r>
    </w:p>
    <w:p>
      <w:pPr>
        <w:pStyle w:val="Grundtext"/>
        <w:rPr>
          <w:b/>
          <w:b/>
          <w:u w:val="single"/>
        </w:rPr>
      </w:pPr>
      <w:r>
        <w:rPr/>
        <w:t>Mittels des Literaturverwaltungsprogramms Zotero ließ sich die Literatursammlung einfach verwalten und verschlagworten. Die Angabe der Literaturquellen in dieser Arbeit erfolgte ebenfalls mit Zotero.</w:t>
      </w:r>
    </w:p>
    <w:p>
      <w:pPr>
        <w:pStyle w:val="Grundtext"/>
        <w:rPr>
          <w:b/>
          <w:b/>
          <w:u w:val="single"/>
        </w:rPr>
      </w:pPr>
      <w:r>
        <w:rPr/>
        <w:t xml:space="preserve">Folgend wird die im Projektmanagement angewandte Methodik beschrieben. Nach </w:t>
      </w:r>
      <w:r>
        <w:rPr>
          <w:rStyle w:val="GrundzKapitlchen"/>
        </w:rPr>
        <w:t>Timinger</w:t>
      </w:r>
      <w:r>
        <w:rPr/>
        <w:t xml:space="preserve"> lassen sich im Projektmanagement je nach Anforderung verschiedene Arten von Vorgehensmodellen anwenden. Zum einen gibt es eine Differenzierung bezüglich des Einsatzbereiches. Darin wird zwischen allgemeinen und spezifischen Vorgehensmodellen, die nur für eine spezielle Branche oder eine konkrete Lösung oder ein spezifisches Unternehmen angewandt werden, unterschieden. Eine weitere Unterscheidung besteht in der Art des Projektdurchführung bzw. Projektorganisation. Hier wird in sequenziellen, nebenläufigen bzw. parallelen, wiederholenden, agilen Vorgehensmodellen und wiederverwendungsorientierte Vorgehensmodellen unterschieden. Beim sequenziellen Vorgehen wird das Projekt in einzelnen Phasen, die nacheinander abgearbeitet werden, untereilt.</w:t>
      </w:r>
      <w:r>
        <w:rPr/>
        <w:commentReference w:id="11"/>
      </w:r>
      <w:r>
        <w:rPr/>
        <w:t xml:space="preserve"> Jede Phase muss abgeschlossen sein, bevor die folgende Phase begonnen wird. Das Wasserfallmodell ist eines der bekanntesten sequenziellen Vorgehensmodelle. Es beinhaltet die Phasen:</w:t>
      </w:r>
    </w:p>
    <w:p>
      <w:pPr>
        <w:pStyle w:val="Grundtext"/>
        <w:numPr>
          <w:ilvl w:val="0"/>
          <w:numId w:val="7"/>
        </w:numPr>
        <w:rPr>
          <w:b/>
          <w:b/>
          <w:u w:val="single"/>
        </w:rPr>
      </w:pPr>
      <w:r>
        <w:rPr/>
        <w:t>Anforderungsphase</w:t>
      </w:r>
    </w:p>
    <w:p>
      <w:pPr>
        <w:pStyle w:val="Grundtext"/>
        <w:numPr>
          <w:ilvl w:val="0"/>
          <w:numId w:val="7"/>
        </w:numPr>
        <w:rPr>
          <w:b/>
          <w:b/>
          <w:u w:val="single"/>
        </w:rPr>
      </w:pPr>
      <w:r>
        <w:rPr/>
        <w:t>Analysephase</w:t>
      </w:r>
    </w:p>
    <w:p>
      <w:pPr>
        <w:pStyle w:val="Grundtext"/>
        <w:numPr>
          <w:ilvl w:val="0"/>
          <w:numId w:val="7"/>
        </w:numPr>
        <w:rPr>
          <w:b/>
          <w:b/>
          <w:u w:val="single"/>
        </w:rPr>
      </w:pPr>
      <w:r>
        <w:rPr/>
        <w:t>Entwurfsphase / Spezifikation</w:t>
      </w:r>
    </w:p>
    <w:p>
      <w:pPr>
        <w:pStyle w:val="Grundtext"/>
        <w:numPr>
          <w:ilvl w:val="0"/>
          <w:numId w:val="7"/>
        </w:numPr>
        <w:rPr>
          <w:b/>
          <w:b/>
          <w:u w:val="single"/>
        </w:rPr>
      </w:pPr>
      <w:r>
        <w:rPr/>
        <w:t>Implementierungsphase</w:t>
      </w:r>
    </w:p>
    <w:p>
      <w:pPr>
        <w:pStyle w:val="Grundtext"/>
        <w:numPr>
          <w:ilvl w:val="0"/>
          <w:numId w:val="7"/>
        </w:numPr>
        <w:rPr>
          <w:b/>
          <w:b/>
          <w:u w:val="single"/>
        </w:rPr>
      </w:pPr>
      <w:r>
        <w:rPr/>
        <w:t>Testphase</w:t>
      </w:r>
    </w:p>
    <w:p>
      <w:pPr>
        <w:pStyle w:val="Grundtext"/>
        <w:numPr>
          <w:ilvl w:val="0"/>
          <w:numId w:val="7"/>
        </w:numPr>
        <w:rPr>
          <w:b/>
          <w:b/>
          <w:u w:val="single"/>
        </w:rPr>
      </w:pPr>
      <w:r>
        <w:rPr/>
        <w:t>Transferphase</w:t>
      </w:r>
    </w:p>
    <w:p>
      <w:pPr>
        <w:pStyle w:val="Grundtext"/>
        <w:rPr>
          <w:b/>
          <w:b/>
          <w:u w:val="single"/>
        </w:rPr>
      </w:pPr>
      <w:r>
        <w:rPr/>
        <w:t xml:space="preserve">Dieses Vorgehensmodell ermöglicht während des Projektverlaufs den Rücksprung in eine vorausgegangene Phase </w:t>
      </w:r>
      <w:r>
        <w:fldChar w:fldCharType="begin"/>
      </w:r>
      <w:r>
        <w:rPr/>
        <w:instrText>ADDIN ZOTERO_ITEM CSL_CITATION {"citationID":"pWxgCI8m","properties":{"formattedCitation":"(Vgl. Timinger, (2015), S. 71 ff.)","plainCitation":"(Vgl. Timinger, (2015), S. 71 ff.)","noteIndex":0},"citationItems":[{"id":"RLKPnpNr/G0hXzorN","uris":["http://zotero.org/users/10411486/items/PLLNAC9H"],"itemData":{"id":792,"type":"book","publisher":"Wiley-VCH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w:instrText>
      </w:r>
      <w:r>
        <w:rPr/>
      </w:r>
      <w:r>
        <w:rPr/>
        <w:fldChar w:fldCharType="separate"/>
      </w:r>
      <w:r>
        <w:rPr/>
        <w:t>(Vgl. Timinger, (2015), S. 71 ff.)</w:t>
      </w:r>
      <w:r>
        <w:rPr/>
      </w:r>
      <w:r>
        <w:rPr/>
        <w:fldChar w:fldCharType="end"/>
      </w:r>
      <w:r>
        <w:rPr/>
        <w:t>.</w:t>
      </w:r>
    </w:p>
    <w:p>
      <w:pPr>
        <w:pStyle w:val="Grundtext"/>
        <w:rPr>
          <w:b/>
          <w:b/>
          <w:u w:val="single"/>
        </w:rPr>
      </w:pPr>
      <w:r>
        <w:rPr/>
        <w:t>Das Projektmanagement wurde in diesem Projekt nach dem Wasserfallmodell realisiert.</w:t>
      </w:r>
    </w:p>
    <w:p>
      <w:pPr>
        <w:pStyle w:val="Normal"/>
        <w:rPr>
          <w:b/>
          <w:b/>
          <w:kern w:val="2"/>
          <w:szCs w:val="20"/>
        </w:rPr>
      </w:pPr>
      <w:r>
        <w:rPr>
          <w:b/>
          <w:kern w:val="2"/>
          <w:szCs w:val="20"/>
        </w:rPr>
      </w:r>
      <w:r>
        <w:br w:type="page"/>
      </w:r>
    </w:p>
    <w:p>
      <w:pPr>
        <w:pStyle w:val="Berschrift1"/>
        <w:spacing w:before="0" w:after="0"/>
        <w:rPr>
          <w:bCs/>
        </w:rPr>
      </w:pPr>
      <w:bookmarkStart w:id="24" w:name="_Toc141868470"/>
      <w:r>
        <w:rPr>
          <w:bCs/>
        </w:rPr>
        <w:t>Unternehmensprofil der „Softzoll GmbH &amp; Co. KG“</w:t>
      </w:r>
      <w:bookmarkEnd w:id="24"/>
      <w:r>
        <w:rPr/>
        <w:commentReference w:id="12"/>
      </w:r>
    </w:p>
    <w:p>
      <w:pPr>
        <w:pStyle w:val="Grundtext"/>
        <w:rPr>
          <w:b/>
          <w:b/>
          <w:u w:val="single"/>
        </w:rPr>
      </w:pPr>
      <w:r>
        <w:rPr/>
        <w:t>Die Softzoll GmbH &amp; Co. KG (Softzoll) ist ein mittelständisches Unternehmen in der IT</w:t>
        <w:noBreakHyphen/>
        <w:t>Branche mit den Standorten in Berlin und Göttingen. Als IT</w:t>
        <w:noBreakHyphen/>
        <w:t>Dienstleister unterstützt das Unternehmen seine Kunden im elektronischen Datenaustausch (EDI) und in der damit verbundenen Datenkonvertierung. Die mit dem EDI verbundenen Dienste werden dabei zentral in einer Cloud sowie auch dezentral im IT</w:t>
        <w:noBreakHyphen/>
        <w:t xml:space="preserve">Netzwerk des Kunden erbracht. Für den Nachrichtenaustausch und die Datenkonvertierung kommen verschiedene Softwarekomponenten als Schnittstelle zwischen den Kunden der Softzoll GmbH &amp; Co. KG und deren Partner zum Einsatz. Der Austausch der Daten zwischen den Partnern erfolgt über verschiedene Kommunikationskanäle und Netzwerkprotokolle, wie Applicability Statement 2 (AS2), File Transfer Protocol (FTP), Hypertext Transfer Protocol (HTTP), </w:t>
      </w:r>
      <w:r>
        <w:rPr>
          <w:szCs w:val="24"/>
        </w:rPr>
        <w:t xml:space="preserve">Hypertext Transfer Protocol Secure (HTTPS), </w:t>
      </w:r>
      <w:r>
        <w:rPr/>
        <w:t xml:space="preserve">Secure File Transfer Protocol (SFTP), Simple Mail Transfer Protocol (SMTP), X.400. </w:t>
      </w:r>
    </w:p>
    <w:p>
      <w:pPr>
        <w:pStyle w:val="Grundtext"/>
        <w:rPr>
          <w:b/>
          <w:b/>
          <w:u w:val="single"/>
        </w:rPr>
      </w:pPr>
      <w:r>
        <w:rPr/>
        <w:t>Zum Leistungsportfolio gehören auch die Analyse der Ist</w:t>
        <w:noBreakHyphen/>
        <w:t xml:space="preserve">Situation und der Geschäftsprozesse beim Kunden, die Anforderungsanalyse, die Beratung und auch die Schulung der Anwender im Umgang mit der für den Nachrichtenaustausch und die Konvertierung genutzten Software. </w:t>
      </w:r>
    </w:p>
    <w:p>
      <w:pPr>
        <w:pStyle w:val="Grundtext"/>
        <w:rPr>
          <w:b/>
          <w:b/>
          <w:u w:val="single"/>
        </w:rPr>
      </w:pPr>
      <w:r>
        <w:rPr/>
        <w:t>Zum Kundenklientel gehören Kunden aus den Branchen Automotive, Handel, Logistik, Maschinenbau, Produktion, Elektronik und aus anderen Branchen.</w:t>
      </w:r>
    </w:p>
    <w:p>
      <w:pPr>
        <w:pStyle w:val="Grundtext"/>
        <w:rPr>
          <w:b/>
          <w:b/>
          <w:u w:val="single"/>
        </w:rPr>
      </w:pPr>
      <w:r>
        <w:rPr/>
        <w:t>Die Abteilungen der Softzoll sind hierarchisch in einer Linienorganisation strukturiert. Dabei sind die Aufgaben- und Verantwortungsbereiche in den Abteilungen klar voneinander abgegrenzt. Aus der Linienorganisation ergeben sich auch die strikte Weisungsbefugnis und der Berichtspfad.</w:t>
      </w:r>
    </w:p>
    <w:p>
      <w:pPr>
        <w:pStyle w:val="Grundtext"/>
        <w:rPr>
          <w:b/>
          <w:b/>
          <w:u w:val="single"/>
        </w:rPr>
      </w:pPr>
      <w:r>
        <w:rPr/>
        <w:t>Das folgende Kapitel beschreibt die Projektbegründung und Definition des Projektumfangs und des Projektziels.</w:t>
      </w:r>
    </w:p>
    <w:p>
      <w:pPr>
        <w:pStyle w:val="Normal"/>
        <w:rPr>
          <w:szCs w:val="20"/>
        </w:rPr>
      </w:pPr>
      <w:r>
        <w:rPr>
          <w:szCs w:val="20"/>
        </w:rPr>
      </w:r>
      <w:r>
        <w:br w:type="page"/>
      </w:r>
    </w:p>
    <w:p>
      <w:pPr>
        <w:pStyle w:val="Berschrift1"/>
        <w:spacing w:before="0" w:after="0"/>
        <w:rPr>
          <w:bCs/>
        </w:rPr>
      </w:pPr>
      <w:bookmarkStart w:id="25" w:name="_Toc141868471"/>
      <w:r>
        <w:rPr>
          <w:bCs/>
        </w:rPr>
        <w:t>Projektbegründung</w:t>
      </w:r>
      <w:bookmarkEnd w:id="25"/>
      <w:r>
        <w:rPr/>
        <w:commentReference w:id="13"/>
      </w:r>
    </w:p>
    <w:p>
      <w:pPr>
        <w:pStyle w:val="Grundtext"/>
        <w:rPr>
          <w:b/>
          <w:b/>
          <w:u w:val="single"/>
        </w:rPr>
      </w:pPr>
      <w:r>
        <w:rPr/>
        <w:t>Vor dem Start des Projekts wurden das Projektziel formuliert, der Untersuchungs</w:t>
        <w:noBreakHyphen/>
        <w:t xml:space="preserve"> und Aufgabenbereich zum Projekt abgegrenzt und die Probleme identifiziert.</w:t>
      </w:r>
      <w:r>
        <w:rPr/>
        <w:commentReference w:id="14"/>
      </w:r>
      <w:r>
        <w:rPr/>
        <w:t xml:space="preserve"> Aus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Machbarkeitsstudie zur Einschätzung, ob die Anforderungen mit den verfügbaren Ressourcen und im Zeit</w:t>
        <w:noBreakHyphen/>
        <w:t xml:space="preserve"> und Kostenrahmen erfüllt werden können und das Projektziel erreichbar ist. </w:t>
      </w:r>
    </w:p>
    <w:p>
      <w:pPr>
        <w:pStyle w:val="Grundtext"/>
        <w:rPr>
          <w:b/>
          <w:b/>
          <w:u w:val="single"/>
        </w:rPr>
      </w:pPr>
      <w:r>
        <w:rPr/>
        <w:t>Im nächsten Schritt wurde ein grober Projektplan mit Meilensteinen (Termine für Etappenziele im Projekt) erstellt, die im Projekt involvierten Stakeholder, Verantwortlichkeiten und Randbedingungen bestimmt sowie die Ressourcen den Projektaufgaben zugewiesen.</w:t>
      </w:r>
    </w:p>
    <w:p>
      <w:pPr>
        <w:pStyle w:val="Grundtext"/>
        <w:rPr>
          <w:b/>
          <w:b/>
          <w:u w:val="single"/>
        </w:rPr>
      </w:pPr>
      <w:r>
        <w:rPr/>
        <w:t>Aus den Ergebnissen der Projektbegründung wurden der Projektantrag und der dazugehörige Projektauftrag erstellt.</w:t>
      </w:r>
    </w:p>
    <w:p>
      <w:pPr>
        <w:pStyle w:val="Berschrift2"/>
        <w:rPr>
          <w:b/>
          <w:b/>
          <w:u w:val="single"/>
        </w:rPr>
      </w:pPr>
      <w:bookmarkStart w:id="26" w:name="_Toc141868472"/>
      <w:r>
        <w:rPr/>
        <w:t>Projektziel und Projektumfang</w:t>
      </w:r>
      <w:bookmarkEnd w:id="26"/>
      <w:r>
        <w:rPr/>
        <w:t xml:space="preserve"> </w:t>
      </w:r>
    </w:p>
    <w:p>
      <w:pPr>
        <w:pStyle w:val="Grundtext"/>
        <w:rPr>
          <w:b/>
          <w:b/>
          <w:u w:val="single"/>
        </w:rPr>
      </w:pPr>
      <w:r>
        <w:rPr/>
        <w:t xml:space="preserve">Das Ziel des unternehmensinternen Projekts ist die Entwicklung der Software „Progress Monitor“, die der Überwachung der Datenkonvertierung, der Fehleranalyse und dem Support dient. </w:t>
      </w:r>
    </w:p>
    <w:p>
      <w:pPr>
        <w:pStyle w:val="Grundtext"/>
        <w:rPr>
          <w:b/>
          <w:b/>
          <w:u w:val="single"/>
        </w:rPr>
      </w:pPr>
      <w:r>
        <w:rPr/>
        <w:t>Die Projektdurchführung beinhaltet Tätigkeiten des Projektmanagements, wie die Projektvorbereitung, die Projektorganisation und Projektsteuerung und die Tätigkeiten zur Projektdurchführung. Zur Projektdurchführung gehören die Anforderungs- und Risikoanalyse, die Erhebung der Ist</w:t>
        <w:noBreakHyphen/>
        <w:t>Situation und das Erstellen des Soll</w:t>
        <w:noBreakHyphen/>
        <w:t>Konzepts sowie die Implementierung der Software. In der Phase der Implementierung wurde die Software nach dem DevOps</w:t>
        <w:noBreakHyphen/>
        <w:t>Ansatz entwickelt, bereitgestellt und getestet. Dieser erlaubt eine kurzfristige Anpassung der Software auf geänderte bzw. erweiterte Anforderungen und einen kontinuierlichen Verbesserungsprozess (KVP), an dem sich die Unternehmensstrategie, die Planung und das Handeln des Unternehmens ausrichten.</w:t>
      </w:r>
    </w:p>
    <w:p>
      <w:pPr>
        <w:pStyle w:val="Grundtext"/>
        <w:rPr>
          <w:b/>
          <w:b/>
          <w:u w:val="single"/>
        </w:rPr>
      </w:pPr>
      <w:r>
        <w:rPr/>
        <w:t>An dem Projekt beteiligte Stakeholder waren die Mitarbeitenden der Funktionsbereiche „Geschäftsleitung“, „Change</w:t>
        <w:noBreakHyphen/>
        <w:t xml:space="preserve"> und Qualitätsmanagements“, „Controlling“ und „Softwareentwicklung“ als Verantwortliche für die Durchführung sowie die Mitarbeitenden der Abteilung „EDI</w:t>
        <w:noBreakHyphen/>
        <w:t>Projektmanagement“ als Kunden.</w:t>
      </w:r>
    </w:p>
    <w:p>
      <w:pPr>
        <w:pStyle w:val="Berschrift1"/>
        <w:spacing w:before="0" w:after="0"/>
        <w:rPr>
          <w:bCs/>
        </w:rPr>
      </w:pPr>
      <w:bookmarkStart w:id="27" w:name="_Ref141121592"/>
      <w:bookmarkStart w:id="28" w:name="_Toc141868473"/>
      <w:r>
        <w:rPr>
          <w:bCs/>
        </w:rPr>
        <w:t>Anforderungsanalyse (Requirements Engineering)</w:t>
      </w:r>
      <w:bookmarkEnd w:id="27"/>
      <w:bookmarkEnd w:id="28"/>
      <w:r>
        <w:rPr/>
        <w:commentReference w:id="15"/>
      </w:r>
    </w:p>
    <w:p>
      <w:pPr>
        <w:pStyle w:val="Grundtext"/>
        <w:rPr>
          <w:b/>
          <w:b/>
          <w:u w:val="single"/>
        </w:rPr>
      </w:pPr>
      <w:r>
        <w:rPr/>
        <w:t>Die Definition der Anforderungen (Requirements) ist eine notwendige Grundlage für die Entwickelung von IT</w:t>
        <w:noBreakHyphen/>
        <w:t xml:space="preserve">Systemen. Erst die präzise Beschreibung der zu erfüllenden Anforderungen ermöglicht die Erfüllung der Benutzeranforderungen und die Erreichung des Projektziels im geplanten Kostenrahmen und Zeitraum </w:t>
      </w:r>
      <w:r>
        <w:fldChar w:fldCharType="begin"/>
      </w:r>
      <w:r>
        <w:rPr/>
        <w:instrText>ADDIN ZOTERO_ITEM CSL_CITATION {"citationID":"xCR6mxvK","properties":{"formattedCitation":"(Vgl. Herrmann, (2022), S. 16 ff.)","plainCitation":"(Vgl. Herrmann, (2022), S. 16 ff.)","noteIndex":0},"citationItems":[{"id":"RLKPnpNr/XRTgGbsU","uris":["http://zotero.org/users/10411486/items/AYPXRINQ"],"itemData":{"id":769,"type":"book","event-place":"Wiesbaden","ISBN":"978-3-658-35459-6","language":"en","note":"DOI: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w:instrText>
      </w:r>
      <w:r>
        <w:rPr/>
      </w:r>
      <w:r>
        <w:rPr/>
        <w:fldChar w:fldCharType="separate"/>
      </w:r>
      <w:r>
        <w:rPr/>
        <w:t>(Vgl. Herrmann, (2022), S. 16 ff.)</w:t>
      </w:r>
      <w:r>
        <w:rPr/>
      </w:r>
      <w:r>
        <w:rPr/>
        <w:fldChar w:fldCharType="end"/>
      </w:r>
      <w:r>
        <w:rPr/>
        <w:t>.</w:t>
      </w:r>
    </w:p>
    <w:p>
      <w:pPr>
        <w:pStyle w:val="Grundtext"/>
        <w:rPr>
          <w:b/>
          <w:b/>
          <w:u w:val="single"/>
        </w:rPr>
      </w:pPr>
      <w:r>
        <w:rPr/>
        <w:t>Als innovative Technik in der agilen Prozess</w:t>
        <w:noBreakHyphen/>
        <w:t xml:space="preserve"> und Anforderungsanalyse hat sich das Story</w:t>
        <w:noBreakHyphen/>
        <w:t xml:space="preserve">Mapping etabliert. Darin werden unter der Beteiligung aller Stakeholder die Anforderungen der Benutzer in User Storys erfasst. </w:t>
      </w:r>
      <w:r>
        <w:fldChar w:fldCharType="begin"/>
      </w:r>
      <w:r>
        <w:rPr/>
        <w:instrText>ADDIN ZOTERO_ITEM CSL_CITATION {"citationID":"56uAwRdi","properties":{"formattedCitation":"(Vgl. Herrmann, (2022), S. 18)","plainCitation":"(Vgl. Herrmann, (2022), S. 18)","noteIndex":0},"citationItems":[{"id":"RLKPnpNr/XRTgGbsU","uris":["http://zotero.org/users/10411486/items/AYPXRINQ"],"itemData":{"id":769,"type":"book","event-place":"Wiesbaden","ISBN":"978-3-658-35459-6","language":"en","note":"DOI: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w:instrText>
      </w:r>
      <w:r>
        <w:rPr/>
      </w:r>
      <w:r>
        <w:rPr/>
        <w:fldChar w:fldCharType="separate"/>
      </w:r>
      <w:r>
        <w:rPr/>
        <w:t>(Vgl. Herrmann, (2022), S. 18)</w:t>
      </w:r>
      <w:r>
        <w:rPr/>
      </w:r>
      <w:r>
        <w:rPr/>
        <w:fldChar w:fldCharType="end"/>
      </w:r>
      <w:r>
        <w:rPr/>
        <w:t xml:space="preserve">. </w:t>
      </w:r>
    </w:p>
    <w:p>
      <w:pPr>
        <w:pStyle w:val="Grundtext"/>
        <w:rPr>
          <w:b/>
          <w:b/>
          <w:u w:val="single"/>
        </w:rPr>
      </w:pPr>
      <w:r>
        <w:rPr/>
        <w:t>Formulierte Anforderungen in den User Story werden im weiteren Verlauf mit dem Kunden diskutiert bis für den Kunden und den Auftragnehmer ein einheitliches Verständnis und eine Einigung über jede einzelne Anforderung besteht. In der Anforderungsanalyse erfolgt ferner eine Differenzierung der Anforderungen in funktionale und nicht funktionale Anforderungen. Nachfolgende Abbildung zeigt exemplarisch einen Auszug aus der in diesem Projekt erstellten User Story Map.</w:t>
      </w:r>
    </w:p>
    <w:p>
      <w:pPr>
        <w:pStyle w:val="Grundtext"/>
        <w:jc w:val="center"/>
        <w:rPr>
          <w:b/>
          <w:b/>
          <w:u w:val="single"/>
        </w:rPr>
      </w:pPr>
      <w:r>
        <w:rPr/>
        <w:drawing>
          <wp:inline distT="0" distB="0" distL="0" distR="0">
            <wp:extent cx="5245100" cy="4175760"/>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9"/>
                    <a:stretch>
                      <a:fillRect/>
                    </a:stretch>
                  </pic:blipFill>
                  <pic:spPr bwMode="auto">
                    <a:xfrm>
                      <a:off x="0" y="0"/>
                      <a:ext cx="5245100" cy="4175760"/>
                    </a:xfrm>
                    <a:prstGeom prst="rect">
                      <a:avLst/>
                    </a:prstGeom>
                  </pic:spPr>
                </pic:pic>
              </a:graphicData>
            </a:graphic>
          </wp:inline>
        </w:drawing>
      </w:r>
      <w:r>
        <w:rPr>
          <w:b/>
          <w:u w:val="single"/>
        </w:rPr>
        <w:commentReference w:id="16"/>
      </w:r>
    </w:p>
    <w:p>
      <w:pPr>
        <w:pStyle w:val="GrafikQuelle"/>
        <w:rPr>
          <w:b/>
          <w:b/>
          <w:u w:val="single"/>
        </w:rPr>
      </w:pPr>
      <w:r>
        <w:rPr/>
        <w:t>(Quelle: Softzoll GmbH &amp; Co. KG, Story Map, 2023)</w:t>
      </w:r>
    </w:p>
    <w:p>
      <w:pPr>
        <w:pStyle w:val="Abbildungstitel"/>
        <w:rPr>
          <w:b/>
          <w:b/>
          <w:u w:val="single"/>
        </w:rPr>
      </w:pPr>
      <w:bookmarkStart w:id="29" w:name="_Toc141868538"/>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5</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w:t>
      </w:r>
      <w:r>
        <w:rPr>
          <w:rStyle w:val="Grundzfett"/>
        </w:rPr>
        <w:fldChar w:fldCharType="end"/>
      </w:r>
      <w:r>
        <w:rPr>
          <w:rStyle w:val="Grundzfett"/>
        </w:rPr>
        <w:t>:</w:t>
      </w:r>
      <w:r>
        <w:rPr/>
        <w:t xml:space="preserve"> User Story Map</w:t>
      </w:r>
      <w:bookmarkEnd w:id="29"/>
      <w:r>
        <w:br w:type="page"/>
      </w:r>
    </w:p>
    <w:p>
      <w:pPr>
        <w:sectPr>
          <w:headerReference w:type="default" r:id="rId10"/>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Style w:val="Grundtext"/>
        <w:rPr>
          <w:b/>
          <w:b/>
          <w:u w:val="single"/>
        </w:rPr>
      </w:pPr>
      <w:r>
        <w:rPr/>
        <w:t>Im Anhang können der Tabelle „</w:t>
      </w:r>
      <w:r>
        <w:rPr/>
        <w:fldChar w:fldCharType="begin"/>
      </w:r>
      <w:r>
        <w:rPr/>
        <w:instrText> REF _Ref141543127 \h </w:instrText>
      </w:r>
      <w:r>
        <w:rPr/>
        <w:fldChar w:fldCharType="separate"/>
      </w:r>
      <w:r>
        <w:rPr/>
        <w:t>Anforderungen aus dem Anforderungsdokument ReqSpec 1.001 vom 26.06.2023</w:t>
      </w:r>
      <w:r>
        <w:rPr/>
        <w:fldChar w:fldCharType="end"/>
      </w:r>
      <w:r>
        <w:rPr/>
        <w:t>“</w:t>
      </w:r>
      <w:r>
        <w:rPr>
          <w:rStyle w:val="Funotenanker"/>
        </w:rPr>
        <w:footnoteReference w:id="2"/>
      </w:r>
      <w:r>
        <w:rPr/>
        <w:t xml:space="preserve"> die im Projekt identifizierten Anforderungen entnommen werden.</w:t>
      </w:r>
      <w:r>
        <w:rPr/>
        <w:commentReference w:id="17"/>
      </w:r>
    </w:p>
    <w:p>
      <w:pPr>
        <w:pStyle w:val="Berschrift2"/>
        <w:rPr>
          <w:b/>
          <w:b/>
          <w:u w:val="single"/>
        </w:rPr>
      </w:pPr>
      <w:bookmarkStart w:id="30" w:name="_Toc141868474"/>
      <w:r>
        <w:rPr/>
        <w:t>Risikoanalyse (Projekt Risikomanagement)</w:t>
      </w:r>
      <w:bookmarkEnd w:id="30"/>
    </w:p>
    <w:p>
      <w:pPr>
        <w:pStyle w:val="Grundtext"/>
        <w:rPr>
          <w:b/>
          <w:b/>
          <w:u w:val="single"/>
        </w:rPr>
      </w:pPr>
      <w:r>
        <w:rPr/>
        <w:t xml:space="preserve">Aus den typischen Merkmalen eines Projekts, wie hohe Komplexität, festgelegter Umfang, Interdisziplinarität, Einmaligkeit sowie zeitliche und finanzielle Einschränkungen, resultieren verschiedene Risiken in der Projektdurchführung </w:t>
      </w:r>
      <w:r>
        <w:fldChar w:fldCharType="begin"/>
      </w:r>
      <w:r>
        <w:rPr/>
        <w:instrText>ADDIN ZOTERO_ITEM CSL_CITATION {"citationID":"NQOGG3k8","properties":{"formattedCitation":"(Vgl. Wack, (2007), S. 5)","plainCitation":"(Vgl. Wack, (2007), S. 5)","noteIndex":0},"citationItems":[{"id":"RLKPnpNr/21KPcbDC","uris":["http://zotero.org/users/10411486/items/IQFQXUBW"],"itemData":{"id":775,"type":"book","collection-number":"54","collection-title":"Betriebswirtschaftliche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w:instrText>
      </w:r>
      <w:r>
        <w:rPr/>
      </w:r>
      <w:r>
        <w:rPr/>
        <w:fldChar w:fldCharType="separate"/>
      </w:r>
      <w:r>
        <w:rPr/>
        <w:t>(Vgl. Wack, (2007), S. 5)</w:t>
      </w:r>
      <w:r>
        <w:rPr/>
      </w:r>
      <w:r>
        <w:rPr/>
        <w:fldChar w:fldCharType="end"/>
      </w:r>
      <w:r>
        <w:rPr/>
        <w:t xml:space="preserve">. </w:t>
      </w:r>
    </w:p>
    <w:p>
      <w:pPr>
        <w:pStyle w:val="Grundtext"/>
        <w:rPr>
          <w:b/>
          <w:b/>
          <w:u w:val="single"/>
        </w:rPr>
      </w:pPr>
      <w:r>
        <w:rPr/>
        <w:t>Aufgrund der Einmaligkeit können die Projektverantwortlichen nur auf einen begrenzten Erfahrungsschatz zugreifen. Für die erfolgreiche Realisierung von IT-Projekten ist ein Projekt</w:t>
        <w:noBreakHyphen/>
        <w:t>Risikomanagement notwendig. Im Projekt</w:t>
        <w:noBreakHyphen/>
        <w:t xml:space="preserve">Risikomanagement werden potentielle Risiken während des Projektverlaufs fortlaufend identifiziert und bewertet und die Risikoauswirkungen durch geeignete Maßnahmen minimiert. Zur Festlegung von Maßnahmen bei Eintritt eines Risikofalls sind die Risiken hinsichtlich ihres Schadensausmaßes, der Eintrittswahrscheinlichkeit (Ewk) und der Auswirkung zu bewerten. Aus dieser Analyse wird für jedes identifizierte Risiko entschieden, in welchem Umfang Maßnahmen entwickelt werden. Die Bewertung kann auch ergeben, dass eine Maßnahme im Verhältnis zur Eintrittswahrscheinlichkeit oder zum Schadensausmaß bzw. zur Auswirkung unwirtschaftlich ist und daher zum Risiko keine Maßnahme festgelegt wird </w:t>
      </w:r>
      <w:r>
        <w:fldChar w:fldCharType="begin"/>
      </w:r>
      <w:r>
        <w:rPr/>
        <w:instrText>ADDIN ZOTERO_ITEM CSL_CITATION {"citationID":"TMPB5PDF","properties":{"formattedCitation":"(Vgl. Wack, (2007)b, S. 29 ff.)","plainCitation":"(Vgl. Wack, (2007)b, S. 29 ff.)","noteIndex":0},"citationItems":[{"id":637,"uris":["http://zotero.org/users/10411486/items/YEEWJ7WP"],"itemData":{"id":637,"type":"book","collection-number":"54","collection-title":"Betriebswirtschaftliche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w:instrText>
      </w:r>
      <w:r>
        <w:rPr/>
      </w:r>
      <w:r>
        <w:rPr/>
        <w:fldChar w:fldCharType="separate"/>
      </w:r>
      <w:r>
        <w:rPr/>
        <w:t>(Vgl. Wack, (2007), S. 29 ff.)</w:t>
      </w:r>
      <w:r>
        <w:rPr/>
      </w:r>
      <w:r>
        <w:rPr/>
        <w:fldChar w:fldCharType="end"/>
      </w:r>
      <w:r>
        <w:rPr/>
        <w:t>.</w:t>
      </w:r>
    </w:p>
    <w:p>
      <w:pPr>
        <w:pStyle w:val="Grundtext"/>
        <w:rPr>
          <w:b/>
          <w:b/>
          <w:u w:val="single"/>
        </w:rPr>
      </w:pPr>
      <w:r>
        <w:rPr/>
        <w:t>Die Prozesse im Projekt</w:t>
        <w:noBreakHyphen/>
        <w:t xml:space="preserve">Risikomanagement werden während des gesamten IT-Projekts iterativ durchlaufen, da sich in der Projektdurchführung die Auswirkung und die Eintrittswahrscheinlichkeit als auch das Schadensausmaß zu identifizierten Risiken ändern bzw. neue Risiken identifiziert werden können. Daraus resultieren dann Anpassungen der Maßnahmen oder die Entwicklung neuer Maßnahmen </w:t>
      </w:r>
      <w:r>
        <w:fldChar w:fldCharType="begin"/>
      </w:r>
      <w:r>
        <w:rPr/>
        <w:instrText>ADDIN ZOTERO_ITEM CSL_CITATION {"citationID":"lgcqmXzu","properties":{"formattedCitation":"(Vgl. Wack, (2007)b, S. 30 ff.)","plainCitation":"(Vgl. Wack, (2007)b, S. 30 ff.)","noteIndex":0},"citationItems":[{"id":637,"uris":["http://zotero.org/users/10411486/items/YEEWJ7WP"],"itemData":{"id":637,"type":"book","collection-number":"54","collection-title":"Betriebswirtschaftliche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w:instrText>
      </w:r>
      <w:r>
        <w:rPr/>
      </w:r>
      <w:r>
        <w:rPr/>
        <w:fldChar w:fldCharType="separate"/>
      </w:r>
      <w:r>
        <w:rPr/>
        <w:t>(Vgl. Wack, (2007), S. 30 ff.)</w:t>
      </w:r>
      <w:r>
        <w:rPr/>
      </w:r>
      <w:r>
        <w:rPr/>
        <w:fldChar w:fldCharType="end"/>
      </w:r>
      <w:r>
        <w:rPr/>
        <w:t>.</w:t>
      </w:r>
    </w:p>
    <w:p>
      <w:pPr>
        <w:pStyle w:val="Grundtext"/>
        <w:rPr>
          <w:b/>
          <w:b/>
          <w:u w:val="single"/>
        </w:rPr>
      </w:pPr>
      <w:r>
        <w:rPr/>
        <w:t>In diesem Projekt wurden während der Projektdurchführung im Projekt</w:t>
        <w:noBreakHyphen/>
        <w:t xml:space="preserve">Risikomanagement gemeinsam mit den Stakeholdern kontinuierlich die Risiken identifiziert, analysiert und bewertet sowie geeignete Maßnahmen zur Reduzierung des Schadensausmaßes festgelegt. Das Ergebnis der Risikoanalyse wurde in dem im Anhang beigefügten </w:t>
      </w:r>
      <w:r>
        <w:rPr/>
        <w:fldChar w:fldCharType="begin"/>
      </w:r>
      <w:r>
        <w:rPr/>
        <w:instrText> REF _Ref141606622 \h </w:instrText>
      </w:r>
      <w:r>
        <w:rPr/>
        <w:fldChar w:fldCharType="separate"/>
      </w:r>
      <w:r>
        <w:rPr/>
        <w:t>Risikokatalog</w:t>
      </w:r>
      <w:r>
        <w:rPr/>
        <w:fldChar w:fldCharType="end"/>
      </w:r>
      <w:r>
        <w:rPr>
          <w:rStyle w:val="Funotenanker"/>
        </w:rPr>
        <w:footnoteReference w:id="3"/>
      </w:r>
      <w:r>
        <w:rPr/>
        <w:t xml:space="preserve"> dokumentiert.</w:t>
      </w:r>
      <w:r>
        <w:rPr/>
        <w:commentReference w:id="18"/>
      </w:r>
    </w:p>
    <w:p>
      <w:pPr>
        <w:pStyle w:val="Berschrift1"/>
        <w:rPr>
          <w:b/>
          <w:b/>
          <w:u w:val="single"/>
        </w:rPr>
      </w:pPr>
      <w:bookmarkStart w:id="31" w:name="_Toc141868475"/>
      <w:r>
        <w:rPr/>
        <w:t>Ist-Aufnahme</w:t>
      </w:r>
      <w:bookmarkEnd w:id="31"/>
    </w:p>
    <w:p>
      <w:pPr>
        <w:pStyle w:val="Grundtext"/>
        <w:rPr>
          <w:b/>
          <w:b/>
          <w:u w:val="single"/>
        </w:rPr>
      </w:pPr>
      <w:bookmarkStart w:id="32" w:name="_Toc395354982"/>
      <w:bookmarkEnd w:id="32"/>
      <w:r>
        <w:rPr/>
        <w:t xml:space="preserve">Während der Ist-Aufnahme gilt es, die Geschäftsprozesse sowie bestehende IT-Systeme und Schnittstellen zu diesen Systemen zu identifizieren und zu analysieren, die für den Untersuchungsbereich relevant sind </w:t>
      </w:r>
      <w:r>
        <w:fldChar w:fldCharType="begin"/>
      </w:r>
      <w:r>
        <w:rPr/>
        <w:instrText>ADDIN ZOTERO_ITEM CSL_CITATION {"citationID":"ZqOeRb6o","properties":{"formattedCitation":"(Vgl. Krallmann et al., (2013))","plainCitation":"(Vgl. Krallmann et al., (2013))","dontUpdate":true,"noteIndex":0},"citationItems":[{"id":"RLKPnpNr/yNdPh3CF","uris":["http://zotero.org/users/10411486/items/HHU9HKE9"],"itemData":{"id":"pJDobdgl/D2XiTLYi","type":"book","edition":"6","publisher":"Oldenbourg Verlag München Wien","title":"Systemanalyse im Unternehmen","author":[{"family":"Krallmann","given":"Hermann"},{"family":"Schönherr","given":"Märten"},{"family":"Trier","given":"Matthias"}],"issued":{"date-parts":[["2013"]]}}}],"schema":"https://github.com/citation-style-language/schema/raw/master/csl-citation.json"}</w:instrText>
      </w:r>
      <w:r>
        <w:rPr/>
      </w:r>
      <w:r>
        <w:rPr/>
        <w:fldChar w:fldCharType="separate"/>
      </w:r>
      <w:r>
        <w:rPr/>
        <w:t>(Vgl. Krallmann et al., (2013). S. 3 f.)</w:t>
      </w:r>
      <w:r>
        <w:rPr/>
      </w:r>
      <w:r>
        <w:rPr/>
        <w:fldChar w:fldCharType="end"/>
      </w:r>
      <w:r>
        <w:rPr/>
        <w:t>.</w:t>
      </w:r>
    </w:p>
    <w:p>
      <w:pPr>
        <w:pStyle w:val="Grundtext"/>
        <w:rPr>
          <w:b/>
          <w:b/>
          <w:u w:val="single"/>
        </w:rPr>
      </w:pPr>
      <w:r>
        <w:rPr/>
        <w:t>Folgend werden die Prozesse zur Daten-Konvertierung bei der Softzoll beschrieben.</w:t>
      </w:r>
    </w:p>
    <w:p>
      <w:pPr>
        <w:pStyle w:val="Grundtext"/>
        <w:rPr>
          <w:b/>
          <w:b/>
          <w:u w:val="single"/>
        </w:rPr>
      </w:pPr>
      <w:r>
        <w:rPr/>
        <w:t>Die Datenkonvertierung basiert auf dem Extract-Transform-Load-Ansatz (ETL). ETL ist ein drei-stufiger Prozess in welchem die Daten aus einer Datenquelle (in der Regel eine Datei) extrahiert und in eine Datenbank geschrieben, anschließend transformiert und im letzten Schritt in ein Ziel-Datenobjekt (in der Regel eine Datei) geladen werden. Im Transformationsprozess erfolgt die Aufbereitung der Daten durch Transformationsregeln entsprechend der durch den Geschäftsprozess spezifizierten Anforderungen. Dabei werden Daten entfernt oder um zusätzliche Informationen angereichert, Datums</w:t>
        <w:noBreakHyphen/>
        <w:t xml:space="preserve"> oder Zahlenwerten formatiert, Werte berechnet, Daten normalisiert, fehlende Einheiten ergänzt oder Einheiten umgerechnet </w:t>
      </w:r>
      <w:r>
        <w:fldChar w:fldCharType="begin"/>
      </w:r>
      <w:r>
        <w:rPr/>
        <w:instrText>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w:instrText>
      </w:r>
      <w:r>
        <w:rPr/>
      </w:r>
      <w:r>
        <w:rPr/>
        <w:fldChar w:fldCharType="separate"/>
      </w:r>
      <w:r>
        <w:rPr/>
      </w:r>
      <w:r>
        <w:rPr>
          <w:szCs w:val="24"/>
        </w:rPr>
        <w:t>(Vgl. Kaufmann &amp; Mülder, (2023), S. 380 f.)</w:t>
      </w:r>
      <w:r>
        <w:rPr/>
      </w:r>
      <w:r>
        <w:rPr/>
        <w:fldChar w:fldCharType="end"/>
      </w:r>
      <w:r>
        <w:rPr/>
        <w:t>.</w:t>
      </w:r>
    </w:p>
    <w:p>
      <w:pPr>
        <w:pStyle w:val="Grundtext"/>
        <w:rPr>
          <w:b/>
          <w:b/>
          <w:u w:val="single"/>
        </w:rPr>
      </w:pPr>
      <w:r>
        <w:rPr/>
        <w:t>Ein Konvertierungsprozess besteht aus mehreren Teilprozessen, die eine bestimmte Funktion, wie beispielsweise den Nachrichtenaustausch, die Datenextraktion und Datentransformation, das Schreiben der Daten in ein Datenobjekt und die Überwachung des IT-Systems, erfüllen. In jedem Teilprozess werden die Aufgaben über eine dedizierte Softwarekomponente bearbeitet. Das erleichtert die Entwicklung neuer Funktionalitäten, da diese spezifisch für einen bestimmten Teilprozess entwickelt werden können. Ferner hat ein Fehler in einer Konvertierung keine Auswirkungen auf andere Konvertierungen.</w:t>
      </w:r>
    </w:p>
    <w:p>
      <w:pPr>
        <w:pStyle w:val="Grundtext"/>
        <w:rPr>
          <w:b/>
          <w:b/>
          <w:u w:val="single"/>
        </w:rPr>
      </w:pPr>
      <w:r>
        <w:rPr/>
        <w:t>Die Konvertierungen basieren auf Workflows (automatisierten Geschäftsprozessen). Jeder Workflow ist mit einem Anwendungsfall (Use Case) verknüpft. Im Use Case ist definiert, welcher Kunde mit welchem Geschäftspartner welche Art von Daten austauscht. Daraus resultiert, dass für jeden Anwendungsfall (Use Case) genau ein Workflow eingerichtet ist.</w:t>
      </w:r>
    </w:p>
    <w:p>
      <w:pPr>
        <w:pStyle w:val="Grundtext"/>
        <w:rPr>
          <w:b/>
          <w:b/>
          <w:u w:val="single"/>
        </w:rPr>
      </w:pPr>
      <w:r>
        <w:rPr/>
        <w:t xml:space="preserve">Für die Konvertierung wird für jeden Datentyp ein dedizierter Konverter verwendet. So kommt zum Beispiel bei der Konvertierung von XML-Dateien ein anderer Konverter zum Einsatz als bei der Konvertierung von CSV-Dateien. </w:t>
      </w:r>
    </w:p>
    <w:p>
      <w:pPr>
        <w:pStyle w:val="Normal"/>
        <w:rPr>
          <w:szCs w:val="20"/>
        </w:rPr>
      </w:pPr>
      <w:r>
        <w:rPr>
          <w:szCs w:val="20"/>
        </w:rPr>
      </w:r>
      <w:r>
        <w:br w:type="page"/>
      </w:r>
    </w:p>
    <w:p>
      <w:pPr>
        <w:pStyle w:val="Grundtext"/>
        <w:rPr>
          <w:b/>
          <w:b/>
          <w:u w:val="single"/>
        </w:rPr>
      </w:pPr>
      <w:r>
        <w:rPr/>
        <w:t>Der Ablauf der Konvertierung ist wie folgt:</w:t>
      </w:r>
    </w:p>
    <w:p>
      <w:pPr>
        <w:pStyle w:val="Grundtext"/>
        <w:rPr>
          <w:b/>
          <w:b/>
          <w:u w:val="single"/>
        </w:rPr>
      </w:pPr>
      <w:r>
        <w:rPr/>
        <w:t>Die Daten werden über verschiedene Kommunikationswege an den Daten-Konverter gesandt. Anschließend wird die Datei geöffnet und ausgelesen. Anhand von im Workflow hinterlegten Parametern wird ein Workflow identifiziert. Dabei wird ein Datenmuster aus den zu konvertierenden Daten mit den Workflowparametern verglichen. Nach der Identifikation des Workflows, werden die Daten aus der Datenquelle in eine MySQL-Datenbank geschrieben. Im zweiten Schritt wird der Transformationsprozess</w:t>
      </w:r>
      <w:r>
        <w:rPr/>
        <w:commentReference w:id="19"/>
      </w:r>
      <w:r>
        <w:rPr/>
        <w:t xml:space="preserve"> ausgeführt. Mit dem Schreiben der transformierten Daten in ein Datenobjekt wird die Konvertierung abgeschlossen.</w:t>
      </w:r>
      <w:r>
        <w:rPr/>
        <w:commentReference w:id="20"/>
      </w:r>
      <w:r>
        <w:rPr/>
        <w:t xml:space="preserve"> Jede einzelne Prozess der Konvertierung wird durch den Daten-Konverter überwacht. Wenn Fehler einen Prozess unterbricht, wird hierzu eine Benachrichtigung an festgelegte Empfänger versandt. </w:t>
      </w:r>
    </w:p>
    <w:p>
      <w:pPr>
        <w:pStyle w:val="Grundtext"/>
        <w:rPr>
          <w:b/>
          <w:b/>
          <w:u w:val="single"/>
        </w:rPr>
      </w:pPr>
      <w:r>
        <w:rPr/>
        <w:t>Folgende Tabelle listet die möglichen Datenformate, die konvertiert werden können, und die möglichen Kommunikationsprotokolle auf.</w:t>
      </w:r>
    </w:p>
    <w:p>
      <w:pPr>
        <w:pStyle w:val="Tabellentitel"/>
        <w:rPr>
          <w:b/>
          <w:b/>
          <w:u w:val="single"/>
        </w:rPr>
      </w:pPr>
      <w:bookmarkStart w:id="33" w:name="_Toc141868559"/>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6</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1</w:t>
      </w:r>
      <w:r>
        <w:rPr>
          <w:rStyle w:val="Grundzfett"/>
        </w:rPr>
        <w:fldChar w:fldCharType="end"/>
      </w:r>
      <w:r>
        <w:rPr>
          <w:rStyle w:val="Grundzfett"/>
        </w:rPr>
        <w:t>:</w:t>
      </w:r>
      <w:r>
        <w:rPr/>
        <w:t xml:space="preserve"> Übersicht zu unterstützten Datenformaten und Kommunikationsprotokollen</w:t>
      </w:r>
      <w:bookmarkEnd w:id="33"/>
      <w:r>
        <w:rPr/>
        <w:commentReference w:id="21"/>
      </w:r>
    </w:p>
    <w:tbl>
      <w:tblPr>
        <w:tblW w:w="8293"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1346"/>
        <w:gridCol w:w="3404"/>
        <w:gridCol w:w="3543"/>
      </w:tblGrid>
      <w:tr>
        <w:trPr/>
        <w:tc>
          <w:tcPr>
            <w:tcW w:w="1346"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Richtung</w:t>
            </w:r>
          </w:p>
        </w:tc>
        <w:tc>
          <w:tcPr>
            <w:tcW w:w="340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Datenformat</w:t>
            </w:r>
          </w:p>
        </w:tc>
        <w:tc>
          <w:tcPr>
            <w:tcW w:w="3543"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Kommunikationsprotokoll</w:t>
            </w:r>
          </w:p>
        </w:tc>
      </w:tr>
      <w:tr>
        <w:trPr/>
        <w:tc>
          <w:tcPr>
            <w:tcW w:w="1346"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eingehend</w:t>
            </w:r>
          </w:p>
        </w:tc>
        <w:tc>
          <w:tcPr>
            <w:tcW w:w="340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Comma Separated Value (CSV)</w:t>
            </w:r>
          </w:p>
          <w:p>
            <w:pPr>
              <w:pStyle w:val="Tabellentext"/>
              <w:widowControl w:val="false"/>
              <w:rPr>
                <w:b/>
                <w:b/>
                <w:u w:val="single"/>
              </w:rPr>
            </w:pPr>
            <w:r>
              <w:rPr/>
              <w:t>Electronic Data Interchange for Administration, Commerce and Transport (EDIFACT)</w:t>
            </w:r>
          </w:p>
          <w:p>
            <w:pPr>
              <w:pStyle w:val="Tabellentext"/>
              <w:widowControl w:val="false"/>
              <w:rPr>
                <w:b/>
                <w:b/>
                <w:u w:val="single"/>
              </w:rPr>
            </w:pPr>
            <w:r>
              <w:rPr/>
              <w:t>Fix Format (FF)</w:t>
            </w:r>
          </w:p>
          <w:p>
            <w:pPr>
              <w:pStyle w:val="Tabellentext"/>
              <w:widowControl w:val="false"/>
              <w:rPr>
                <w:b/>
                <w:b/>
                <w:u w:val="single"/>
              </w:rPr>
            </w:pPr>
            <w:r>
              <w:rPr/>
              <w:t>Hypertext Markup Language (HTML)</w:t>
            </w:r>
          </w:p>
          <w:p>
            <w:pPr>
              <w:pStyle w:val="Tabellentext"/>
              <w:widowControl w:val="false"/>
              <w:rPr>
                <w:b/>
                <w:b/>
                <w:u w:val="single"/>
              </w:rPr>
            </w:pPr>
            <w:r>
              <w:rPr/>
              <w:t>Intermediate Document (IDoc)</w:t>
            </w:r>
          </w:p>
          <w:p>
            <w:pPr>
              <w:pStyle w:val="Tabellentext"/>
              <w:widowControl w:val="false"/>
              <w:rPr>
                <w:b/>
                <w:b/>
                <w:u w:val="single"/>
              </w:rPr>
            </w:pPr>
            <w:r>
              <w:rPr/>
              <w:t>JD Edwards (JDE)</w:t>
            </w:r>
          </w:p>
          <w:p>
            <w:pPr>
              <w:pStyle w:val="Tabellentext"/>
              <w:widowControl w:val="false"/>
              <w:rPr>
                <w:b/>
                <w:b/>
                <w:u w:val="single"/>
              </w:rPr>
            </w:pPr>
            <w:r>
              <w:rPr/>
              <w:t>Portable Document Format (PDF)</w:t>
            </w:r>
          </w:p>
          <w:p>
            <w:pPr>
              <w:pStyle w:val="Tabellentext"/>
              <w:widowControl w:val="false"/>
              <w:rPr>
                <w:b/>
                <w:b/>
                <w:u w:val="single"/>
              </w:rPr>
            </w:pPr>
            <w:r>
              <w:rPr/>
              <w:t>Tradacoms (TRC)</w:t>
            </w:r>
          </w:p>
          <w:p>
            <w:pPr>
              <w:pStyle w:val="Tabellentext"/>
              <w:widowControl w:val="false"/>
              <w:rPr>
                <w:b/>
                <w:b/>
                <w:u w:val="single"/>
              </w:rPr>
            </w:pPr>
            <w:r>
              <w:rPr/>
              <w:t>ANSI X12 (X12)</w:t>
            </w:r>
          </w:p>
          <w:p>
            <w:pPr>
              <w:pStyle w:val="Tabellentext"/>
              <w:widowControl w:val="false"/>
              <w:spacing w:before="40" w:after="40"/>
              <w:rPr>
                <w:b/>
                <w:b/>
                <w:u w:val="single"/>
              </w:rPr>
            </w:pPr>
            <w:r>
              <w:rPr/>
              <w:t>Extensible Markup Language (XML)</w:t>
            </w:r>
          </w:p>
        </w:tc>
        <w:tc>
          <w:tcPr>
            <w:tcW w:w="3543"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Applicability Statement 2 (AS2)</w:t>
            </w:r>
          </w:p>
          <w:p>
            <w:pPr>
              <w:pStyle w:val="Tabellentext"/>
              <w:widowControl w:val="false"/>
              <w:rPr>
                <w:b/>
                <w:b/>
                <w:u w:val="single"/>
              </w:rPr>
            </w:pPr>
            <w:r>
              <w:rPr/>
              <w:t>File Transfer Protocol (FTP)</w:t>
            </w:r>
          </w:p>
          <w:p>
            <w:pPr>
              <w:pStyle w:val="Tabellentext"/>
              <w:widowControl w:val="false"/>
              <w:rPr>
                <w:b/>
                <w:b/>
                <w:u w:val="single"/>
              </w:rPr>
            </w:pPr>
            <w:r>
              <w:rPr/>
              <w:t>Hypertext Transfer Protocol (HTTP)</w:t>
            </w:r>
          </w:p>
          <w:p>
            <w:pPr>
              <w:pStyle w:val="Tabellentext"/>
              <w:widowControl w:val="false"/>
              <w:rPr>
                <w:b/>
                <w:b/>
                <w:u w:val="single"/>
              </w:rPr>
            </w:pPr>
            <w:r>
              <w:rPr/>
              <w:t>Hypertext Transfer Protocol Secure (HTTPS)</w:t>
            </w:r>
          </w:p>
          <w:p>
            <w:pPr>
              <w:pStyle w:val="Tabellentext"/>
              <w:widowControl w:val="false"/>
              <w:rPr>
                <w:b/>
                <w:b/>
                <w:u w:val="single"/>
              </w:rPr>
            </w:pPr>
            <w:r>
              <w:rPr/>
              <w:t>Odette File Transfer Protocol (OFTP)</w:t>
            </w:r>
          </w:p>
          <w:p>
            <w:pPr>
              <w:pStyle w:val="Tabellentext"/>
              <w:widowControl w:val="false"/>
              <w:rPr>
                <w:b/>
                <w:b/>
                <w:u w:val="single"/>
              </w:rPr>
            </w:pPr>
            <w:r>
              <w:rPr/>
              <w:t>Secure File Transfer Protocol (SFTP)</w:t>
            </w:r>
          </w:p>
          <w:p>
            <w:pPr>
              <w:pStyle w:val="Tabellentext"/>
              <w:widowControl w:val="false"/>
              <w:rPr>
                <w:b/>
                <w:b/>
                <w:u w:val="single"/>
              </w:rPr>
            </w:pPr>
            <w:r>
              <w:rPr/>
              <w:t>Simple Mail Transfer Protocol (SMTP)</w:t>
            </w:r>
          </w:p>
          <w:p>
            <w:pPr>
              <w:pStyle w:val="Tabellentext"/>
              <w:widowControl w:val="false"/>
              <w:spacing w:before="40" w:after="40"/>
              <w:rPr>
                <w:b/>
                <w:b/>
                <w:u w:val="single"/>
              </w:rPr>
            </w:pPr>
            <w:r>
              <w:rPr/>
              <w:t>X.400</w:t>
            </w:r>
          </w:p>
        </w:tc>
      </w:tr>
      <w:tr>
        <w:trPr/>
        <w:tc>
          <w:tcPr>
            <w:tcW w:w="1346"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ausgehend</w:t>
            </w:r>
          </w:p>
        </w:tc>
        <w:tc>
          <w:tcPr>
            <w:tcW w:w="340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Comma Separated Value (CSV)</w:t>
            </w:r>
          </w:p>
          <w:p>
            <w:pPr>
              <w:pStyle w:val="Tabellentext"/>
              <w:widowControl w:val="false"/>
              <w:rPr>
                <w:b/>
                <w:b/>
                <w:u w:val="single"/>
              </w:rPr>
            </w:pPr>
            <w:r>
              <w:rPr/>
              <w:t>Electronic Data Interchange for Administration, Commerce and Transport (EDIFACT)</w:t>
            </w:r>
          </w:p>
          <w:p>
            <w:pPr>
              <w:pStyle w:val="Tabellentext"/>
              <w:widowControl w:val="false"/>
              <w:rPr>
                <w:b/>
                <w:b/>
                <w:u w:val="single"/>
              </w:rPr>
            </w:pPr>
            <w:r>
              <w:rPr/>
              <w:t>Fix Format (FF)</w:t>
            </w:r>
          </w:p>
          <w:p>
            <w:pPr>
              <w:pStyle w:val="Tabellentext"/>
              <w:widowControl w:val="false"/>
              <w:rPr>
                <w:b/>
                <w:b/>
                <w:u w:val="single"/>
              </w:rPr>
            </w:pPr>
            <w:r>
              <w:rPr/>
              <w:t>Hypertext Markup Language (HTML)</w:t>
            </w:r>
          </w:p>
          <w:p>
            <w:pPr>
              <w:pStyle w:val="Tabellentext"/>
              <w:widowControl w:val="false"/>
              <w:rPr>
                <w:b/>
                <w:b/>
                <w:u w:val="single"/>
              </w:rPr>
            </w:pPr>
            <w:r>
              <w:rPr/>
              <w:t>Intermediate Document (IDoc)</w:t>
            </w:r>
          </w:p>
          <w:p>
            <w:pPr>
              <w:pStyle w:val="Tabellentext"/>
              <w:widowControl w:val="false"/>
              <w:rPr>
                <w:b/>
                <w:b/>
                <w:u w:val="single"/>
              </w:rPr>
            </w:pPr>
            <w:r>
              <w:rPr/>
              <w:t>JD Edwards (JDE)</w:t>
            </w:r>
          </w:p>
          <w:p>
            <w:pPr>
              <w:pStyle w:val="Tabellentext"/>
              <w:widowControl w:val="false"/>
              <w:rPr>
                <w:b/>
                <w:b/>
                <w:u w:val="single"/>
              </w:rPr>
            </w:pPr>
            <w:r>
              <w:rPr/>
              <w:t>Portable Document Format (PDF)</w:t>
            </w:r>
          </w:p>
          <w:p>
            <w:pPr>
              <w:pStyle w:val="Tabellentext"/>
              <w:widowControl w:val="false"/>
              <w:rPr>
                <w:b/>
                <w:b/>
                <w:u w:val="single"/>
              </w:rPr>
            </w:pPr>
            <w:r>
              <w:rPr/>
              <w:t>Tradacoms (TRC)</w:t>
            </w:r>
          </w:p>
          <w:p>
            <w:pPr>
              <w:pStyle w:val="Tabellentext"/>
              <w:widowControl w:val="false"/>
              <w:rPr>
                <w:b/>
                <w:b/>
                <w:u w:val="single"/>
              </w:rPr>
            </w:pPr>
            <w:r>
              <w:rPr/>
              <w:t>ANSI X12 (X12)</w:t>
            </w:r>
          </w:p>
          <w:p>
            <w:pPr>
              <w:pStyle w:val="Tabellentext"/>
              <w:widowControl w:val="false"/>
              <w:spacing w:before="40" w:after="40"/>
              <w:rPr>
                <w:b/>
                <w:b/>
                <w:u w:val="single"/>
              </w:rPr>
            </w:pPr>
            <w:r>
              <w:rPr/>
              <w:t>Extensible Markup Language (XML)</w:t>
            </w:r>
          </w:p>
        </w:tc>
        <w:tc>
          <w:tcPr>
            <w:tcW w:w="3543"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Applicability Statement 2 (AS2)</w:t>
            </w:r>
          </w:p>
          <w:p>
            <w:pPr>
              <w:pStyle w:val="Tabellentext"/>
              <w:widowControl w:val="false"/>
              <w:rPr>
                <w:b/>
                <w:b/>
                <w:u w:val="single"/>
              </w:rPr>
            </w:pPr>
            <w:r>
              <w:rPr/>
              <w:t>File Transfer Protocol (FTP)</w:t>
            </w:r>
          </w:p>
          <w:p>
            <w:pPr>
              <w:pStyle w:val="Tabellentext"/>
              <w:widowControl w:val="false"/>
              <w:rPr>
                <w:b/>
                <w:b/>
                <w:u w:val="single"/>
              </w:rPr>
            </w:pPr>
            <w:r>
              <w:rPr/>
              <w:t>Hypertext Transfer Protocol (HTTP)</w:t>
            </w:r>
          </w:p>
          <w:p>
            <w:pPr>
              <w:pStyle w:val="Tabellentext"/>
              <w:widowControl w:val="false"/>
              <w:rPr>
                <w:b/>
                <w:b/>
                <w:u w:val="single"/>
              </w:rPr>
            </w:pPr>
            <w:r>
              <w:rPr/>
              <w:t>Hypertext Transfer Protocol Secure (HTTPS)</w:t>
            </w:r>
          </w:p>
          <w:p>
            <w:pPr>
              <w:pStyle w:val="Tabellentext"/>
              <w:widowControl w:val="false"/>
              <w:rPr>
                <w:b/>
                <w:b/>
                <w:u w:val="single"/>
              </w:rPr>
            </w:pPr>
            <w:r>
              <w:rPr/>
              <w:t>Odette File Transfer Protocol (OFTP)</w:t>
            </w:r>
          </w:p>
          <w:p>
            <w:pPr>
              <w:pStyle w:val="Tabellentext"/>
              <w:widowControl w:val="false"/>
              <w:rPr>
                <w:b/>
                <w:b/>
                <w:u w:val="single"/>
              </w:rPr>
            </w:pPr>
            <w:r>
              <w:rPr/>
              <w:t>Secure File Transfer Protocol (SFTP)</w:t>
            </w:r>
          </w:p>
          <w:p>
            <w:pPr>
              <w:pStyle w:val="Tabellentext"/>
              <w:widowControl w:val="false"/>
              <w:rPr>
                <w:b/>
                <w:b/>
                <w:u w:val="single"/>
              </w:rPr>
            </w:pPr>
            <w:r>
              <w:rPr/>
              <w:t>Simple Mail Transfer Protocol (SMTP)</w:t>
            </w:r>
          </w:p>
          <w:p>
            <w:pPr>
              <w:pStyle w:val="Tabellentext"/>
              <w:widowControl w:val="false"/>
              <w:spacing w:before="40" w:after="40"/>
              <w:rPr>
                <w:b/>
                <w:b/>
                <w:u w:val="single"/>
              </w:rPr>
            </w:pPr>
            <w:r>
              <w:rPr/>
              <w:t>X.400</w:t>
            </w:r>
          </w:p>
        </w:tc>
      </w:tr>
    </w:tbl>
    <w:p>
      <w:pPr>
        <w:sectPr>
          <w:headerReference w:type="default" r:id="rId11"/>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Pr>
    </w:p>
    <w:p>
      <w:pPr>
        <w:pStyle w:val="Grundtext"/>
        <w:rPr>
          <w:b/>
          <w:b/>
          <w:u w:val="single"/>
        </w:rPr>
      </w:pPr>
      <w:r>
        <w:rPr/>
        <w:t>Der zur Datenkonvertierung beschriebene Ablauf lässt sich in folgendem Geschäftsprozessmodell übersichtlich veranschaulichen.</w:t>
      </w:r>
    </w:p>
    <w:p>
      <w:pPr>
        <w:pStyle w:val="Normal"/>
        <w:rPr>
          <w:b/>
          <w:b/>
          <w:u w:val="single"/>
        </w:rPr>
      </w:pPr>
      <w:r>
        <w:rPr>
          <w:b/>
          <w:u w:val="single"/>
        </w:rPr>
      </w:r>
    </w:p>
    <w:p>
      <w:pPr>
        <w:pStyle w:val="Normal"/>
        <w:keepNext w:val="true"/>
        <w:rPr>
          <w:b/>
          <w:b/>
          <w:u w:val="single"/>
        </w:rPr>
      </w:pPr>
      <w:r>
        <w:rPr/>
        <w:drawing>
          <wp:inline distT="0" distB="0" distL="0" distR="0">
            <wp:extent cx="8891905" cy="2904490"/>
            <wp:effectExtent l="0" t="0" r="0" b="0"/>
            <wp:docPr id="3"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
                    <pic:cNvPicPr>
                      <a:picLocks noChangeAspect="1" noChangeArrowheads="1"/>
                    </pic:cNvPicPr>
                  </pic:nvPicPr>
                  <pic:blipFill>
                    <a:blip r:embed="rId12"/>
                    <a:stretch>
                      <a:fillRect/>
                    </a:stretch>
                  </pic:blipFill>
                  <pic:spPr bwMode="auto">
                    <a:xfrm>
                      <a:off x="0" y="0"/>
                      <a:ext cx="8891905" cy="2904490"/>
                    </a:xfrm>
                    <a:prstGeom prst="rect">
                      <a:avLst/>
                    </a:prstGeom>
                  </pic:spPr>
                </pic:pic>
              </a:graphicData>
            </a:graphic>
          </wp:inline>
        </w:drawing>
      </w:r>
    </w:p>
    <w:p>
      <w:pPr>
        <w:pStyle w:val="GrafikQuelle"/>
        <w:rPr>
          <w:rStyle w:val="Grundzfett"/>
        </w:rPr>
      </w:pPr>
      <w:r>
        <w:rPr/>
        <w:t>(Quelle: Softzoll GmbH &amp; Co. KG, BPMN-Diagramm zum Prozess „Datenkonvertierung“, 2023)</w:t>
      </w:r>
    </w:p>
    <w:p>
      <w:pPr>
        <w:pStyle w:val="Abbildungstitel"/>
        <w:rPr>
          <w:b/>
          <w:b/>
          <w:u w:val="single"/>
        </w:rPr>
      </w:pPr>
      <w:bookmarkStart w:id="34" w:name="_Toc141868539"/>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6</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2</w:t>
      </w:r>
      <w:r>
        <w:rPr>
          <w:rStyle w:val="Grundzfett"/>
        </w:rPr>
        <w:fldChar w:fldCharType="end"/>
      </w:r>
      <w:r>
        <w:rPr>
          <w:rStyle w:val="Grundzfett"/>
        </w:rPr>
        <w:t>:</w:t>
      </w:r>
      <w:r>
        <w:rPr/>
        <w:t xml:space="preserve"> BPMN-Diagramm zum Prozess "Datenkonvertierung"</w:t>
      </w:r>
      <w:bookmarkEnd w:id="34"/>
      <w:r>
        <w:rPr/>
        <w:commentReference w:id="22"/>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sectPr>
          <w:headerReference w:type="default" r:id="rId13"/>
          <w:footnotePr>
            <w:numFmt w:val="decimal"/>
          </w:footnotePr>
          <w:type w:val="nextPage"/>
          <w:pgSz w:orient="landscape" w:w="16838" w:h="11906"/>
          <w:pgMar w:left="1134" w:right="1701" w:header="720" w:top="1701" w:footer="0" w:bottom="1701" w:gutter="0"/>
          <w:pgNumType w:fmt="decimal"/>
          <w:formProt w:val="false"/>
          <w:textDirection w:val="lrTb"/>
          <w:docGrid w:type="default" w:linePitch="360" w:charSpace="0"/>
        </w:sectPr>
        <w:pStyle w:val="Normal"/>
        <w:rPr>
          <w:b/>
          <w:b/>
          <w:u w:val="single"/>
        </w:rPr>
      </w:pPr>
      <w:r>
        <w:rPr>
          <w:b/>
          <w:u w:val="single"/>
        </w:rPr>
      </w:r>
    </w:p>
    <w:p>
      <w:pPr>
        <w:pStyle w:val="Grundtext"/>
        <w:rPr>
          <w:b/>
          <w:b/>
          <w:u w:val="single"/>
        </w:rPr>
      </w:pPr>
      <w:r>
        <w:rPr/>
        <w:t xml:space="preserve">Neben der Analyse der Geschäftsprozesse sind in der Ist-Aufnahme die zum Untersuchungsbereich gehörenden IT-Systeme und Schnittstellen zwischen den IT-Systemen zu erfassen </w:t>
      </w:r>
      <w:r>
        <w:fldChar w:fldCharType="begin"/>
      </w:r>
      <w:r>
        <w:rPr/>
        <w:instrText>ADDIN ZOTERO_ITEM CSL_CITATION {"citationID":"nhJSOACj","properties":{"formattedCitation":"(Vgl. Krallmann et al., (2013), S. 145 ff.)","plainCitation":"(Vgl. Krallmann et al., (2013), S. 145 ff.)","noteIndex":0},"citationItems":[{"id":"RLKPnpNr/yNdPh3CF","uris":["http://zotero.org/users/10411486/items/HHU9HKE9"],"itemData":{"id":838,"type":"book","edition":"6","publisher":"Oldenbourg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w:instrText>
      </w:r>
      <w:r>
        <w:rPr/>
      </w:r>
      <w:r>
        <w:rPr/>
        <w:fldChar w:fldCharType="separate"/>
      </w:r>
      <w:r>
        <w:rPr/>
        <w:t>(Vgl. Krallmann et al., (2013), S. 145 ff.)</w:t>
      </w:r>
      <w:r>
        <w:rPr/>
      </w:r>
      <w:r>
        <w:rPr/>
        <w:fldChar w:fldCharType="end"/>
      </w:r>
      <w:r>
        <w:rPr/>
        <w:t>.</w:t>
      </w:r>
    </w:p>
    <w:p>
      <w:pPr>
        <w:pStyle w:val="Grundtext"/>
        <w:rPr>
          <w:b/>
          <w:b/>
          <w:u w:val="single"/>
        </w:rPr>
      </w:pPr>
      <w:r>
        <w:rPr/>
        <w:t>Folgende IT-Komponenten und Schnittstellen wurden in der Ist-Aufnahme identifiziert.</w:t>
      </w:r>
    </w:p>
    <w:p>
      <w:pPr>
        <w:pStyle w:val="Tabellentitel"/>
        <w:rPr>
          <w:b/>
          <w:b/>
          <w:u w:val="single"/>
        </w:rPr>
      </w:pPr>
      <w:bookmarkStart w:id="35" w:name="_Toc141868560"/>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6</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2</w:t>
      </w:r>
      <w:r>
        <w:rPr>
          <w:rStyle w:val="Grundzfett"/>
        </w:rPr>
        <w:fldChar w:fldCharType="end"/>
      </w:r>
      <w:r>
        <w:rPr>
          <w:rStyle w:val="Grundzfett"/>
        </w:rPr>
        <w:t>:</w:t>
      </w:r>
      <w:r>
        <w:rPr/>
        <w:t xml:space="preserve"> Übersicht zu den existierenden Systemkomponenten</w:t>
      </w:r>
      <w:bookmarkEnd w:id="35"/>
    </w:p>
    <w:tbl>
      <w:tblPr>
        <w:tblW w:w="8861"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481"/>
        <w:gridCol w:w="39"/>
        <w:gridCol w:w="2796"/>
        <w:gridCol w:w="87"/>
        <w:gridCol w:w="2041"/>
        <w:gridCol w:w="1416"/>
      </w:tblGrid>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Komponente</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Beschreibung</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Informationen zur Implementierung</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Schnittstelle</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AS2-Kommunikations-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AS2-Kommunikation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FTP-Kommunikations-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FTP-Kommunikation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HTTP-Kommunikations-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HTTP-Kommunikation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HTTPS-Kommunikations-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HTTPS-Kommunikation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OFTP-Kommunikations-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OFTP-Kommunikation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SFTP-Kommunikations-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SFTP-Kommunikation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SMTP-Kommunikations-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SMTP-Kommunikation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X.400-Kommunikations-</w:t>
            </w:r>
          </w:p>
          <w:p>
            <w:pPr>
              <w:pStyle w:val="Tabellentext"/>
              <w:widowControl w:val="false"/>
              <w:spacing w:before="40" w:after="40"/>
              <w:rPr>
                <w:b/>
                <w:b/>
                <w:u w:val="singl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ein- und ausgehende X.400-Kommunikation</w:t>
            </w:r>
          </w:p>
        </w:tc>
        <w:tc>
          <w:tcPr>
            <w:tcW w:w="2128"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Daten-Konverter</w:t>
            </w:r>
          </w:p>
        </w:tc>
      </w:tr>
      <w:tr>
        <w:trPr/>
        <w:tc>
          <w:tcPr>
            <w:tcW w:w="2520" w:type="dxa"/>
            <w:gridSpan w:val="2"/>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CSV-Converter </w:t>
            </w:r>
          </w:p>
        </w:tc>
        <w:tc>
          <w:tcPr>
            <w:tcW w:w="2883"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CSV-Dateien</w:t>
            </w:r>
          </w:p>
        </w:tc>
        <w:tc>
          <w:tcPr>
            <w:tcW w:w="2041"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520" w:type="dxa"/>
            <w:gridSpan w:val="2"/>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FF-Converter </w:t>
            </w:r>
          </w:p>
        </w:tc>
        <w:tc>
          <w:tcPr>
            <w:tcW w:w="2883"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FF-Dateien</w:t>
            </w:r>
          </w:p>
        </w:tc>
        <w:tc>
          <w:tcPr>
            <w:tcW w:w="2041"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520" w:type="dxa"/>
            <w:gridSpan w:val="2"/>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EDIFACT-Converter </w:t>
            </w:r>
          </w:p>
        </w:tc>
        <w:tc>
          <w:tcPr>
            <w:tcW w:w="2883"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EDIFACT-Dateien</w:t>
            </w:r>
          </w:p>
        </w:tc>
        <w:tc>
          <w:tcPr>
            <w:tcW w:w="2041"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bl>
    <w:p>
      <w:pPr>
        <w:pStyle w:val="Normal"/>
        <w:rPr>
          <w:b/>
          <w:b/>
          <w:u w:val="single"/>
        </w:rPr>
      </w:pPr>
      <w:r>
        <w:rPr>
          <w:b/>
          <w:u w:val="single"/>
        </w:rPr>
      </w:r>
    </w:p>
    <w:tbl>
      <w:tblPr>
        <w:tblW w:w="8861"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481"/>
        <w:gridCol w:w="2835"/>
        <w:gridCol w:w="2128"/>
        <w:gridCol w:w="1416"/>
      </w:tblGrid>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Komponente</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Beschreibung</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Informationen zur Implementierung</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Schnittstelle</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HTML-Converter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HTML-Dateien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IDoc-Converter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SAP IDoc-Dateien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JDE-Converter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JDE-Dateien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PDF-Converter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PDF-Dateien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TRC-Converter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TRC-Dateien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X.12-Converter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X.12-Dateien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XML-Converter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Konvertierung von XML-Dateien</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Scheduler</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zeitgesteuerte Konvertierung</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Dispatcher-Check-System</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Systemüberwachung</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Dispatcher-Workflow-Erkennung</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Komponente für die Identifizierung der Workflows</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entwickelt in C++</w:t>
            </w:r>
          </w:p>
          <w:p>
            <w:pPr>
              <w:pStyle w:val="Tabellentext"/>
              <w:widowControl w:val="false"/>
              <w:spacing w:before="40" w:after="40"/>
              <w:rPr>
                <w:b/>
                <w:b/>
                <w:u w:val="single"/>
              </w:rPr>
            </w:pPr>
            <w:r>
              <w:rPr/>
              <w:t>basiert auf QT-Framework</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b/>
                <w:b/>
                <w:u w:val="single"/>
              </w:rPr>
            </w:pPr>
            <w:r>
              <w:rPr/>
              <w:t>MySQL-DB</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RDBMS</w:t>
            </w:r>
          </w:p>
        </w:tc>
        <w:tc>
          <w:tcPr>
            <w:tcW w:w="2128"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Datenbank für die Datenhaltung </w:t>
            </w:r>
          </w:p>
        </w:tc>
        <w:tc>
          <w:tcPr>
            <w:tcW w:w="141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b/>
                <w:u w:val="single"/>
              </w:rPr>
            </w:r>
          </w:p>
        </w:tc>
      </w:tr>
    </w:tbl>
    <w:p>
      <w:pPr>
        <w:sectPr>
          <w:headerReference w:type="default" r:id="rId14"/>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Pr>
    </w:p>
    <w:p>
      <w:pPr>
        <w:pStyle w:val="Grundtext"/>
        <w:rPr>
          <w:b/>
          <w:b/>
          <w:u w:val="single"/>
        </w:rPr>
      </w:pPr>
      <w:r>
        <w:rPr/>
        <w:t>Im Komponenten-Diagramm sind die in der Ist-Aufnahme identifizierten Systemkomponenten übersichtlich dargestellt.</w:t>
      </w:r>
    </w:p>
    <w:p>
      <w:pPr>
        <w:pStyle w:val="Grundtext"/>
        <w:keepNext w:val="true"/>
        <w:jc w:val="center"/>
        <w:rPr>
          <w:b/>
          <w:b/>
          <w:u w:val="single"/>
        </w:rPr>
      </w:pPr>
      <w:r>
        <w:rPr/>
        <w:drawing>
          <wp:inline distT="0" distB="0" distL="0" distR="0">
            <wp:extent cx="8759825" cy="2785745"/>
            <wp:effectExtent l="0" t="0" r="0" b="0"/>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15"/>
                    <a:stretch>
                      <a:fillRect/>
                    </a:stretch>
                  </pic:blipFill>
                  <pic:spPr bwMode="auto">
                    <a:xfrm>
                      <a:off x="0" y="0"/>
                      <a:ext cx="8759825" cy="2785745"/>
                    </a:xfrm>
                    <a:prstGeom prst="rect">
                      <a:avLst/>
                    </a:prstGeom>
                  </pic:spPr>
                </pic:pic>
              </a:graphicData>
            </a:graphic>
          </wp:inline>
        </w:drawing>
      </w:r>
    </w:p>
    <w:p>
      <w:pPr>
        <w:pStyle w:val="GrafikQuelle"/>
        <w:rPr>
          <w:b/>
          <w:b/>
          <w:u w:val="single"/>
        </w:rPr>
      </w:pPr>
      <w:r>
        <w:rPr/>
        <w:t>(Quelle: Softzoll GmbH &amp; Co. KG, BPMN-Diagramm zum Prozess „Datenkonvertierung“, 2023)</w:t>
      </w:r>
    </w:p>
    <w:p>
      <w:pPr>
        <w:pStyle w:val="GrafikQuelle"/>
        <w:rPr>
          <w:b/>
          <w:b/>
          <w:u w:val="single"/>
        </w:rPr>
      </w:pPr>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6</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3</w:t>
      </w:r>
      <w:r>
        <w:rPr>
          <w:rStyle w:val="Grundzfett"/>
        </w:rPr>
        <w:fldChar w:fldCharType="end"/>
      </w:r>
      <w:r>
        <w:rPr>
          <w:rStyle w:val="Grundzfett"/>
        </w:rPr>
        <w:t>:</w:t>
      </w:r>
      <w:r>
        <w:rPr/>
        <w:t xml:space="preserve"> Komponentendiagramm zu den identifizierten Systemkomponenten</w:t>
      </w:r>
      <w:r>
        <w:rPr/>
        <w:commentReference w:id="23"/>
      </w:r>
    </w:p>
    <w:p>
      <w:pPr>
        <w:sectPr>
          <w:headerReference w:type="default" r:id="rId16"/>
          <w:footnotePr>
            <w:numFmt w:val="decimal"/>
          </w:footnotePr>
          <w:type w:val="nextPage"/>
          <w:pgSz w:orient="landscape" w:w="16838" w:h="11906"/>
          <w:pgMar w:left="1134" w:right="1701" w:header="720" w:top="1701" w:footer="0" w:bottom="1701" w:gutter="0"/>
          <w:pgNumType w:fmt="decimal"/>
          <w:formProt w:val="false"/>
          <w:textDirection w:val="lrTb"/>
          <w:docGrid w:type="default" w:linePitch="360" w:charSpace="0"/>
        </w:sectPr>
        <w:pStyle w:val="GrafikQuelle"/>
        <w:rPr>
          <w:rStyle w:val="Grundzfett"/>
        </w:rPr>
      </w:pPr>
      <w:r>
        <w:rPr/>
      </w:r>
    </w:p>
    <w:p>
      <w:pPr>
        <w:pStyle w:val="Berschrift1"/>
        <w:rPr>
          <w:b/>
          <w:b/>
          <w:u w:val="single"/>
        </w:rPr>
      </w:pPr>
      <w:bookmarkStart w:id="36" w:name="_Toc141868476"/>
      <w:r>
        <w:rPr/>
        <w:t>Spezifikation und Entwurf</w:t>
      </w:r>
      <w:bookmarkEnd w:id="36"/>
      <w:r>
        <w:rPr/>
        <w:t xml:space="preserve"> </w:t>
      </w:r>
    </w:p>
    <w:p>
      <w:pPr>
        <w:pStyle w:val="Grundtext"/>
        <w:rPr>
          <w:b/>
          <w:b/>
          <w:u w:val="single"/>
        </w:rPr>
      </w:pPr>
      <w:r>
        <w:rPr/>
        <w:t xml:space="preserve">In der Entwurfsphase werden die in der Anforderungsanalyse identifizierten Anforderungen in einem Lösungskonzept umgesetzt. Die Ergebnisse der Entwurfsphase sind zum Beispiel das Lastenheft und die Systemspezifikation. Darin werden die Eigenschaften der zu entwickelnden Software beschrieben und im weiteren Verlauf systematisch konkretisiert. Die Umsetzung der Ergebnisse aus der Systemspezifikation erfolgt in den Entwurfsentscheidungen </w:t>
      </w:r>
      <w:r>
        <w:fldChar w:fldCharType="begin"/>
      </w:r>
      <w:r>
        <w:rPr/>
        <w:instrText>ADDIN ZOTERO_ITEM CSL_CITATION {"citationID":"RDsQsWio","properties":{"formattedCitation":"(Vgl. Beifuss &amp; Holzbaur, (2020), S. 72)","plainCitation":"(Vgl. Beifuss &amp; Holzbaur, (2020), S. 72)","noteIndex":0},"citationItems":[{"id":"RLKPnpNr/1ZxEkchz","uris":["http://zotero.org/users/10411486/items/SISFKAIE"],"itemData":{"id":846,"type":"book","collection-title":"essentials","event-place":"Wiesbaden","ISBN":"978-3-658-32663-0","language":"de","note":"DOI: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w:instrText>
      </w:r>
      <w:r>
        <w:rPr/>
      </w:r>
      <w:r>
        <w:rPr/>
        <w:fldChar w:fldCharType="separate"/>
      </w:r>
      <w:r>
        <w:rPr/>
        <w:t>(Vgl. Beifuss &amp; Holzbaur, (2020), S. 72)</w:t>
      </w:r>
      <w:r>
        <w:rPr/>
      </w:r>
      <w:r>
        <w:rPr/>
        <w:fldChar w:fldCharType="end"/>
      </w:r>
      <w:r>
        <w:rPr/>
        <w:t xml:space="preserve">. </w:t>
      </w:r>
    </w:p>
    <w:p>
      <w:pPr>
        <w:pStyle w:val="Grundtext"/>
        <w:rPr>
          <w:b/>
          <w:b/>
          <w:u w:val="single"/>
        </w:rPr>
      </w:pPr>
      <w:r>
        <w:rPr/>
        <w:t xml:space="preserve">Die Entwurfsentscheidungen berücksichtigen die Gestaltung der GUI, die Programmiersprache, das Datenbanksystem, mögliche Verteilungskonzepte, Komponentenwiederverwendung und andere Aspekte und dienen als Vorgabe für die Implementierung. Die Entwurfsmodelle müssen in der Implementierung eine signifikante Verfeinerung des Entwurfs ermöglichen </w:t>
      </w:r>
      <w:r>
        <w:fldChar w:fldCharType="begin"/>
      </w:r>
      <w:r>
        <w:rPr/>
        <w:instrText>ADDIN ZOTERO_ITEM CSL_CITATION {"citationID":"b3X4LgOX","properties":{"formattedCitation":"(Vgl. Alpar et al., (2023), S. 458)","plainCitation":"(Vgl. Alpar et al., (2023), S. 458)","noteIndex":0},"citationItems":[{"id":"RLKPnpNr/m4iW34uq","uris":["http://zotero.org/users/10411486/items/TNMHKFRS"],"itemData":{"id":833,"type":"book","event-place":"Wiesbaden","ISBN":"978-3-658-40351-5","language":"de","note":"DOI: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w:instrText>
      </w:r>
      <w:r>
        <w:rPr/>
      </w:r>
      <w:r>
        <w:rPr/>
        <w:fldChar w:fldCharType="separate"/>
      </w:r>
      <w:r>
        <w:rPr/>
        <w:t>(Vgl. Alpar et al., (2023), S. 458)</w:t>
      </w:r>
      <w:r>
        <w:rPr/>
      </w:r>
      <w:r>
        <w:rPr/>
        <w:fldChar w:fldCharType="end"/>
      </w:r>
      <w:r>
        <w:rPr/>
        <w:t>.</w:t>
      </w:r>
    </w:p>
    <w:p>
      <w:pPr>
        <w:pStyle w:val="Grundtext"/>
        <w:rPr>
          <w:b/>
          <w:b/>
          <w:u w:val="single"/>
        </w:rPr>
      </w:pPr>
      <w:r>
        <w:rPr/>
        <w:t xml:space="preserve">Im Projekt wurden im Verlauf der Spezifikation die an die zu entwickelnden Software gestellten Eigenschaften spezifiziert und die Entwurfsentscheidungen erarbeitet. </w:t>
      </w:r>
    </w:p>
    <w:p>
      <w:pPr>
        <w:pStyle w:val="Grundtext"/>
        <w:rPr>
          <w:b/>
          <w:b/>
          <w:u w:val="single"/>
        </w:rPr>
      </w:pPr>
      <w:r>
        <w:rPr/>
        <w:t>Die wichtigsten Entwurfsentscheidungen sind folgender Tabelle zusammengefasst.</w:t>
      </w:r>
    </w:p>
    <w:p>
      <w:pPr>
        <w:pStyle w:val="Tabellentitel"/>
        <w:rPr>
          <w:b/>
          <w:b/>
          <w:u w:val="single"/>
        </w:rPr>
      </w:pPr>
      <w:bookmarkStart w:id="37" w:name="_Toc141868561"/>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7</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3</w:t>
      </w:r>
      <w:r>
        <w:rPr>
          <w:rStyle w:val="Grundzfett"/>
        </w:rPr>
        <w:fldChar w:fldCharType="end"/>
      </w:r>
      <w:r>
        <w:rPr>
          <w:rStyle w:val="Grundzfett"/>
        </w:rPr>
        <w:t>:</w:t>
      </w:r>
      <w:r>
        <w:rPr/>
        <w:t xml:space="preserve"> Spezifikation und Entwurfsentscheidungen</w:t>
      </w:r>
      <w:bookmarkEnd w:id="37"/>
    </w:p>
    <w:tbl>
      <w:tblPr>
        <w:tblW w:w="8468"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7"/>
        <w:gridCol w:w="3826"/>
        <w:gridCol w:w="4111"/>
        <w:gridCol w:w="33"/>
      </w:tblGrid>
      <w:tr>
        <w:trPr/>
        <w:tc>
          <w:tcPr>
            <w:tcW w:w="8467" w:type="dxa"/>
            <w:gridSpan w:val="4"/>
            <w:tcBorders>
              <w:top w:val="single" w:sz="4" w:space="0" w:color="000000"/>
              <w:bottom w:val="single" w:sz="4" w:space="0" w:color="000000"/>
            </w:tcBorders>
          </w:tcPr>
          <w:p>
            <w:pPr>
              <w:pStyle w:val="Tabellentext"/>
              <w:widowControl w:val="false"/>
              <w:spacing w:before="40" w:after="40"/>
              <w:rPr>
                <w:rStyle w:val="Grundzfett"/>
              </w:rPr>
            </w:pPr>
            <w:r>
              <w:rPr>
                <w:rStyle w:val="Grundzfett"/>
              </w:rPr>
              <w:t>Entwurf / Spezifikation zur Software „Progress Monitor“</w:t>
            </w:r>
          </w:p>
        </w:tc>
      </w:tr>
      <w:tr>
        <w:trPr/>
        <w:tc>
          <w:tcPr>
            <w:tcW w:w="8467" w:type="dxa"/>
            <w:gridSpan w:val="4"/>
            <w:tcBorders>
              <w:top w:val="single" w:sz="4" w:space="0" w:color="000000"/>
              <w:bottom w:val="single" w:sz="4" w:space="0" w:color="000000"/>
            </w:tcBorders>
          </w:tcPr>
          <w:p>
            <w:pPr>
              <w:pStyle w:val="Tabellentext"/>
              <w:widowControl w:val="false"/>
              <w:spacing w:before="40" w:after="40"/>
              <w:rPr>
                <w:rStyle w:val="Grundzfett"/>
                <w:bCs/>
              </w:rPr>
            </w:pPr>
            <w:r>
              <w:rPr>
                <w:rStyle w:val="Grundzfett"/>
                <w:bCs/>
              </w:rPr>
              <w:t>Zweck:</w:t>
            </w:r>
          </w:p>
          <w:p>
            <w:pPr>
              <w:pStyle w:val="Tabellentext"/>
              <w:widowControl w:val="false"/>
              <w:rPr>
                <w:rStyle w:val="Grundzfett"/>
                <w:b w:val="false"/>
                <w:b w:val="false"/>
              </w:rPr>
            </w:pPr>
            <w:r>
              <w:rPr>
                <w:rStyle w:val="Grundzfett"/>
                <w:b w:val="false"/>
              </w:rPr>
              <w:t>Überwachung der Datenkonvertierungen</w:t>
            </w:r>
          </w:p>
          <w:p>
            <w:pPr>
              <w:pStyle w:val="Tabellentext"/>
              <w:widowControl w:val="false"/>
              <w:rPr>
                <w:rStyle w:val="Grundzfett"/>
                <w:b w:val="false"/>
                <w:b w:val="false"/>
              </w:rPr>
            </w:pPr>
            <w:r>
              <w:rPr>
                <w:rStyle w:val="Grundzfett"/>
                <w:b w:val="false"/>
              </w:rPr>
              <w:t>Analyse der Datenkonvertierungen</w:t>
            </w:r>
          </w:p>
          <w:p>
            <w:pPr>
              <w:pStyle w:val="Tabellentext"/>
              <w:widowControl w:val="false"/>
              <w:rPr>
                <w:rStyle w:val="Grundzfett"/>
                <w:b w:val="false"/>
                <w:b w:val="false"/>
              </w:rPr>
            </w:pPr>
            <w:r>
              <w:rPr>
                <w:rStyle w:val="Grundzfett"/>
                <w:b w:val="false"/>
              </w:rPr>
              <w:t>Fehleranalyse</w:t>
            </w:r>
          </w:p>
          <w:p>
            <w:pPr>
              <w:pStyle w:val="Tabellentext"/>
              <w:widowControl w:val="false"/>
              <w:rPr>
                <w:rStyle w:val="Grundzfett"/>
                <w:b w:val="false"/>
                <w:b w:val="false"/>
              </w:rPr>
            </w:pPr>
            <w:r>
              <w:rPr>
                <w:rStyle w:val="Grundzfett"/>
                <w:b w:val="false"/>
              </w:rPr>
              <w:t>Unterstützung im fachlichen und technischen Support</w:t>
            </w:r>
          </w:p>
          <w:p>
            <w:pPr>
              <w:pStyle w:val="Tabellentext"/>
              <w:widowControl w:val="false"/>
              <w:rPr>
                <w:rStyle w:val="Grundzfett"/>
                <w:b w:val="false"/>
                <w:b w:val="false"/>
              </w:rPr>
            </w:pPr>
            <w:r>
              <w:rPr>
                <w:rStyle w:val="Grundzfett"/>
                <w:b w:val="false"/>
              </w:rPr>
              <w:t>Qualitätssicherung, Qualitätsverbesserung</w:t>
            </w:r>
          </w:p>
          <w:p>
            <w:pPr>
              <w:pStyle w:val="Tabellentext"/>
              <w:widowControl w:val="false"/>
              <w:rPr>
                <w:rStyle w:val="Grundzfett"/>
                <w:b w:val="false"/>
                <w:b w:val="false"/>
              </w:rPr>
            </w:pPr>
            <w:r>
              <w:rPr>
                <w:rStyle w:val="Grundzfett"/>
                <w:b w:val="false"/>
              </w:rPr>
              <w:t>Schulung von Kunden und Mitarbeitenden</w:t>
            </w:r>
          </w:p>
          <w:p>
            <w:pPr>
              <w:pStyle w:val="Tabellentext"/>
              <w:widowControl w:val="false"/>
              <w:spacing w:before="40" w:after="40"/>
              <w:rPr>
                <w:rStyle w:val="Grundzfett"/>
                <w:b w:val="false"/>
                <w:b w:val="false"/>
              </w:rPr>
            </w:pPr>
            <w:r>
              <w:rPr>
                <w:b w:val="false"/>
              </w:rPr>
            </w:r>
          </w:p>
        </w:tc>
      </w:tr>
      <w:tr>
        <w:trPr/>
        <w:tc>
          <w:tcPr>
            <w:tcW w:w="8467" w:type="dxa"/>
            <w:gridSpan w:val="4"/>
            <w:tcBorders>
              <w:top w:val="single" w:sz="4" w:space="0" w:color="000000"/>
              <w:bottom w:val="single" w:sz="4" w:space="0" w:color="000000"/>
            </w:tcBorders>
          </w:tcPr>
          <w:p>
            <w:pPr>
              <w:pStyle w:val="Tabellentext"/>
              <w:widowControl w:val="false"/>
              <w:spacing w:before="40" w:after="40"/>
              <w:rPr>
                <w:rStyle w:val="Grundzfett"/>
              </w:rPr>
            </w:pPr>
            <w:r>
              <w:rPr>
                <w:rStyle w:val="Grundzfett"/>
              </w:rPr>
              <w:t>Software</w:t>
            </w:r>
          </w:p>
        </w:tc>
      </w:tr>
      <w:tr>
        <w:trPr/>
        <w:tc>
          <w:tcPr>
            <w:tcW w:w="497"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Nr.</w:t>
            </w:r>
          </w:p>
        </w:tc>
        <w:tc>
          <w:tcPr>
            <w:tcW w:w="382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Spezifikation</w:t>
            </w:r>
          </w:p>
        </w:tc>
        <w:tc>
          <w:tcPr>
            <w:tcW w:w="4111"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Anforderung</w:t>
            </w:r>
          </w:p>
        </w:tc>
        <w:tc>
          <w:tcPr>
            <w:tcW w:w="33" w:type="dxa"/>
            <w:tcBorders/>
          </w:tcPr>
          <w:p>
            <w:pPr>
              <w:pStyle w:val="Normal"/>
              <w:widowControl w:val="false"/>
              <w:rPr>
                <w:b/>
                <w:b/>
                <w:u w:val="single"/>
              </w:rPr>
            </w:pPr>
            <w:r>
              <w:rPr>
                <w:b/>
                <w:u w:val="single"/>
              </w:rPr>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Software wird für die aktuelle Version der Java Runtime Environment (JRE) entwickelt</w:t>
            </w:r>
          </w:p>
        </w:tc>
        <w:tc>
          <w:tcPr>
            <w:tcW w:w="4111"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Die Software muss unabhängig vom Betriebssystem nutzbar sein</w:t>
            </w:r>
          </w:p>
        </w:tc>
        <w:tc>
          <w:tcPr>
            <w:tcW w:w="33" w:type="dxa"/>
            <w:tcBorders/>
          </w:tcPr>
          <w:p>
            <w:pPr>
              <w:pStyle w:val="Normal"/>
              <w:widowControl w:val="false"/>
              <w:rPr>
                <w:b/>
                <w:b/>
                <w:u w:val="single"/>
              </w:rPr>
            </w:pPr>
            <w:r>
              <w:rPr>
                <w:b/>
                <w:u w:val="single"/>
              </w:rPr>
            </w:r>
          </w:p>
        </w:tc>
      </w:tr>
    </w:tbl>
    <w:p>
      <w:pPr>
        <w:pStyle w:val="Normal"/>
        <w:rPr>
          <w:szCs w:val="20"/>
        </w:rPr>
      </w:pPr>
      <w:r>
        <w:rPr>
          <w:szCs w:val="20"/>
        </w:rPr>
      </w:r>
      <w:r>
        <w:br w:type="page"/>
      </w:r>
    </w:p>
    <w:tbl>
      <w:tblPr>
        <w:tblW w:w="8435"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781"/>
        <w:gridCol w:w="3827"/>
        <w:gridCol w:w="3827"/>
      </w:tblGrid>
      <w:tr>
        <w:trPr/>
        <w:tc>
          <w:tcPr>
            <w:tcW w:w="8435" w:type="dxa"/>
            <w:gridSpan w:val="3"/>
            <w:tcBorders>
              <w:top w:val="single" w:sz="4" w:space="0" w:color="000000"/>
              <w:bottom w:val="single" w:sz="4" w:space="0" w:color="000000"/>
            </w:tcBorders>
          </w:tcPr>
          <w:p>
            <w:pPr>
              <w:pStyle w:val="Tabellentext"/>
              <w:pageBreakBefore/>
              <w:widowControl w:val="false"/>
              <w:spacing w:before="40" w:after="40"/>
              <w:rPr>
                <w:rStyle w:val="Grundzfett"/>
              </w:rPr>
            </w:pPr>
            <w:r>
              <w:rPr>
                <w:rStyle w:val="Grundzfett"/>
              </w:rPr>
              <w:t>Software</w:t>
            </w:r>
          </w:p>
        </w:tc>
      </w:tr>
      <w:tr>
        <w:trPr/>
        <w:tc>
          <w:tcPr>
            <w:tcW w:w="781" w:type="dxa"/>
            <w:tcBorders>
              <w:top w:val="single" w:sz="4" w:space="0" w:color="000000"/>
              <w:bottom w:val="single" w:sz="4" w:space="0" w:color="000000"/>
              <w:right w:val="single" w:sz="6" w:space="0" w:color="000000"/>
            </w:tcBorders>
          </w:tcPr>
          <w:p>
            <w:pPr>
              <w:pStyle w:val="Tabellentext"/>
              <w:widowControl w:val="false"/>
              <w:spacing w:before="40" w:after="40"/>
              <w:rPr>
                <w:rStyle w:val="Grundzfett"/>
              </w:rPr>
            </w:pPr>
            <w:r>
              <w:rPr>
                <w:rStyle w:val="Grundzfett"/>
              </w:rPr>
              <w:t>Nr.</w:t>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fett"/>
              </w:rPr>
            </w:pPr>
            <w:r>
              <w:rPr>
                <w:rStyle w:val="Grundzfett"/>
              </w:rPr>
              <w:t>Spezifikation</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rStyle w:val="Grundzfett"/>
              </w:rPr>
            </w:pPr>
            <w:r>
              <w:rPr>
                <w:rStyle w:val="Grundzfett"/>
              </w:rPr>
              <w:t>Anforderung</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Das zugrundeliegende RDBMS ist MySQL, Version 5.0.45-community-nt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 xml:space="preserve">Nutzung einer gemeinsamen Datenbasis für den Daten-Konverter und die Software </w:t>
            </w:r>
          </w:p>
          <w:p>
            <w:pPr>
              <w:pStyle w:val="Tabellentext"/>
              <w:widowControl w:val="false"/>
              <w:spacing w:before="40" w:after="40"/>
              <w:rPr>
                <w:b/>
                <w:b/>
                <w:u w:val="single"/>
              </w:rPr>
            </w:pPr>
            <w:r>
              <w:rPr/>
              <w:t>„</w:t>
            </w:r>
            <w:r>
              <w:rPr/>
              <w:t>Progress Monitor“</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Als Webserver wird Apache Tomcat eingesetzt.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Für den Webserver soll etablierte Open-Source-Software eingesetzt werden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Schnittstelle zwischen der Software und der Datenbank wird über Java Database Connectivity, Version 4.3 (JDBC) realisiert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Nutzung einer gemeinsamen Datenbasis für den Daten-Konverter und die Software „Progress Monitor“</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Ergebnisse der Konvertierung werden in der Software über Tabellen dargestellt.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Der Anwender muss die Ergebnisse zur Konvertierung filtern und sortieren können.</w:t>
            </w:r>
            <w:r>
              <w:rPr/>
              <w:commentReference w:id="24"/>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Tabellen in der Software sind sortierbar und filterbar.</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Der Anwender muss die Ergebnisse zur Konvertierung filtern und sortieren können.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Entwicklung einer Benutzerkontenverwaltung</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Verwaltung von Zugriffsberechtigung aus Sicherheitsgründen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Entwicklung von Benutzerrollen und einer Zugriffssteuerung mit dedizierten Benutzerrechten</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Steuerung von dedizierten Benutzerrechten aus Sicherheitsgründen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Implementierung einer Mandantenverwaltung</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individuelle Zugriffssteuerung pro Mandant und Benutzer</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Implementierung zur Protokollierung der Benutzeraktionen</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Sämtlich Benutzeraktionen müssen zur Nachvollziehbarkeit protokolliert werden.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Anwendung ist für die Anwender über die Browser Google Chrome (ab Version ), Firefox (ab Version ), Microsoft Edge (ab Version ) nutzbar</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Die Software muss unabhängig vom Betriebssystem nutzbar sein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Kommunikation mit dem Webserver, welcher den Progress Monitor bereitstellt, wird mittels SSL verschlüsselt und über das Anwendungsprotokoll HTTPS realisiert.</w:t>
            </w:r>
          </w:p>
          <w:p>
            <w:pPr>
              <w:pStyle w:val="Tabellentext"/>
              <w:widowControl w:val="false"/>
              <w:spacing w:before="40" w:after="40"/>
              <w:rPr>
                <w:b/>
                <w:b/>
                <w:u w:val="single"/>
              </w:rPr>
            </w:pPr>
            <w:r>
              <w:rPr/>
              <w:t>Für den Web-Server darf nur in von einer beglaubigten Zertifizierungsstelle ausgestelltes Zertifikat bereitgestellt werden.</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Aus Sicherheitsgründen muss die Kommunikation zwischen Endgerät und Anwendung über SSL verschlüsselt werden.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im Frontend präsentierten Webseiten werden mittels HTML erstellt.</w:t>
            </w:r>
          </w:p>
          <w:p>
            <w:pPr>
              <w:pStyle w:val="Tabellentext"/>
              <w:widowControl w:val="false"/>
              <w:rPr>
                <w:b/>
                <w:b/>
                <w:u w:val="single"/>
              </w:rPr>
            </w:pPr>
            <w:r>
              <w:rPr/>
              <w:t>Die Gestaltung (Formatierung) dieser Webseiten erfolgt ausschließlich über Cascading Stylesheets (CSS).</w:t>
            </w:r>
          </w:p>
          <w:p>
            <w:pPr>
              <w:pStyle w:val="Tabellentext"/>
              <w:widowControl w:val="false"/>
              <w:spacing w:before="40" w:after="40"/>
              <w:rPr>
                <w:b/>
                <w:b/>
                <w:u w:val="single"/>
              </w:rPr>
            </w:pPr>
            <w:r>
              <w:rPr/>
              <w:t>Im Frontend zu realisierende Funktionalitäten werden mittels Java-Script umgesetzt.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Für die Präsentation der Websites sind etablierte und standardisierte Auszeichnungssprachen und Werkzeuge zu verwenden.</w:t>
            </w:r>
          </w:p>
        </w:tc>
      </w:tr>
    </w:tbl>
    <w:p>
      <w:pPr>
        <w:pStyle w:val="Normal"/>
        <w:rPr>
          <w:b/>
          <w:b/>
          <w:u w:val="single"/>
        </w:rPr>
      </w:pPr>
      <w:r>
        <w:rPr>
          <w:b/>
          <w:u w:val="single"/>
        </w:rPr>
      </w:r>
    </w:p>
    <w:tbl>
      <w:tblPr>
        <w:tblW w:w="8435"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781"/>
        <w:gridCol w:w="3827"/>
        <w:gridCol w:w="3827"/>
      </w:tblGrid>
      <w:tr>
        <w:trPr/>
        <w:tc>
          <w:tcPr>
            <w:tcW w:w="8435" w:type="dxa"/>
            <w:gridSpan w:val="3"/>
            <w:tcBorders>
              <w:top w:val="single" w:sz="4" w:space="0" w:color="000000"/>
              <w:bottom w:val="single" w:sz="6" w:space="0" w:color="000000"/>
            </w:tcBorders>
          </w:tcPr>
          <w:p>
            <w:pPr>
              <w:pStyle w:val="Tabellentext"/>
              <w:widowControl w:val="false"/>
              <w:spacing w:before="40" w:after="40"/>
              <w:rPr>
                <w:rStyle w:val="Grundzfett"/>
                <w:bCs/>
              </w:rPr>
            </w:pPr>
            <w:r>
              <w:rPr>
                <w:rStyle w:val="Grundzfett"/>
                <w:bCs/>
              </w:rPr>
              <w:t>Softwareentwicklung</w:t>
            </w:r>
          </w:p>
        </w:tc>
      </w:tr>
      <w:tr>
        <w:trPr/>
        <w:tc>
          <w:tcPr>
            <w:tcW w:w="781" w:type="dxa"/>
            <w:tcBorders>
              <w:top w:val="single" w:sz="6" w:space="0" w:color="000000"/>
              <w:bottom w:val="single" w:sz="6" w:space="0" w:color="000000"/>
              <w:right w:val="single" w:sz="4" w:space="0" w:color="000000"/>
            </w:tcBorders>
          </w:tcPr>
          <w:p>
            <w:pPr>
              <w:pStyle w:val="Tabellentext"/>
              <w:widowControl w:val="false"/>
              <w:spacing w:before="40" w:after="40"/>
              <w:rPr>
                <w:rStyle w:val="Grundzfett"/>
              </w:rPr>
            </w:pPr>
            <w:r>
              <w:rPr>
                <w:rStyle w:val="Grundzfett"/>
              </w:rPr>
              <w:t>Nr.</w:t>
            </w:r>
          </w:p>
        </w:tc>
        <w:tc>
          <w:tcPr>
            <w:tcW w:w="3827" w:type="dxa"/>
            <w:tcBorders>
              <w:top w:val="single" w:sz="6" w:space="0" w:color="000000"/>
              <w:left w:val="single" w:sz="4" w:space="0" w:color="000000"/>
              <w:bottom w:val="single" w:sz="6" w:space="0" w:color="000000"/>
              <w:right w:val="single" w:sz="4" w:space="0" w:color="000000"/>
            </w:tcBorders>
          </w:tcPr>
          <w:p>
            <w:pPr>
              <w:pStyle w:val="Tabellentext"/>
              <w:widowControl w:val="false"/>
              <w:spacing w:before="40" w:after="40"/>
              <w:rPr>
                <w:rStyle w:val="Grundzfett"/>
              </w:rPr>
            </w:pPr>
            <w:r>
              <w:rPr>
                <w:rStyle w:val="Grundzfett"/>
              </w:rPr>
              <w:t>Spezifikation</w:t>
            </w:r>
          </w:p>
        </w:tc>
        <w:tc>
          <w:tcPr>
            <w:tcW w:w="3827" w:type="dxa"/>
            <w:tcBorders>
              <w:top w:val="single" w:sz="6" w:space="0" w:color="000000"/>
              <w:left w:val="single" w:sz="4" w:space="0" w:color="000000"/>
              <w:bottom w:val="single" w:sz="6" w:space="0" w:color="000000"/>
            </w:tcBorders>
          </w:tcPr>
          <w:p>
            <w:pPr>
              <w:pStyle w:val="Tabellentext"/>
              <w:widowControl w:val="false"/>
              <w:spacing w:before="40" w:after="40"/>
              <w:rPr>
                <w:rStyle w:val="Grundzfett"/>
              </w:rPr>
            </w:pPr>
            <w:r>
              <w:rPr>
                <w:rStyle w:val="Grundzfett"/>
              </w:rPr>
              <w:t>Anforderung</w:t>
            </w:r>
          </w:p>
        </w:tc>
      </w:tr>
      <w:tr>
        <w:trPr/>
        <w:tc>
          <w:tcPr>
            <w:tcW w:w="781" w:type="dxa"/>
            <w:tcBorders>
              <w:top w:val="single" w:sz="6" w:space="0" w:color="000000"/>
              <w:bottom w:val="single" w:sz="6" w:space="0" w:color="000000"/>
              <w:right w:val="single" w:sz="4"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6" w:space="0" w:color="000000"/>
              <w:left w:val="single" w:sz="4" w:space="0" w:color="000000"/>
              <w:bottom w:val="single" w:sz="6" w:space="0" w:color="000000"/>
              <w:right w:val="single" w:sz="4" w:space="0" w:color="000000"/>
            </w:tcBorders>
          </w:tcPr>
          <w:p>
            <w:pPr>
              <w:pStyle w:val="Tabellentext"/>
              <w:widowControl w:val="false"/>
              <w:spacing w:before="40" w:after="40"/>
              <w:rPr>
                <w:b/>
                <w:b/>
                <w:u w:val="single"/>
              </w:rPr>
            </w:pPr>
            <w:r>
              <w:rPr/>
              <w:t xml:space="preserve">Die Software wird nach dem DevOps-Konzept mit den darin integrierten Techniken </w:t>
            </w:r>
          </w:p>
          <w:p>
            <w:pPr>
              <w:pStyle w:val="Tabellentext"/>
              <w:widowControl w:val="false"/>
              <w:rPr>
                <w:b/>
                <w:b/>
                <w:u w:val="single"/>
              </w:rPr>
            </w:pPr>
            <w:r>
              <w:rPr/>
              <w:t xml:space="preserve">Kontinuierliche Optimierung, </w:t>
            </w:r>
          </w:p>
          <w:p>
            <w:pPr>
              <w:pStyle w:val="Tabellentext"/>
              <w:widowControl w:val="false"/>
              <w:rPr>
                <w:b/>
                <w:b/>
                <w:u w:val="single"/>
              </w:rPr>
            </w:pPr>
            <w:r>
              <w:rPr/>
              <w:t>Releaseplanung (Release)</w:t>
            </w:r>
          </w:p>
          <w:p>
            <w:pPr>
              <w:pStyle w:val="Tabellentext"/>
              <w:widowControl w:val="false"/>
              <w:rPr>
                <w:b/>
                <w:b/>
                <w:u w:val="single"/>
              </w:rPr>
            </w:pPr>
            <w:r>
              <w:rPr/>
              <w:t xml:space="preserve">Kontinuierliche Integration (Continuos Integration) </w:t>
            </w:r>
          </w:p>
          <w:p>
            <w:pPr>
              <w:pStyle w:val="Tabellentext"/>
              <w:widowControl w:val="false"/>
              <w:rPr>
                <w:b/>
                <w:b/>
                <w:u w:val="single"/>
              </w:rPr>
            </w:pPr>
            <w:r>
              <w:rPr/>
              <w:t xml:space="preserve">Kontinuierliche Bereitstellung (Continuos Deployment) </w:t>
            </w:r>
          </w:p>
          <w:p>
            <w:pPr>
              <w:pStyle w:val="Tabellentext"/>
              <w:widowControl w:val="false"/>
              <w:spacing w:before="40" w:after="40"/>
              <w:rPr>
                <w:b/>
                <w:b/>
                <w:u w:val="single"/>
              </w:rPr>
            </w:pPr>
            <w:r>
              <w:rPr/>
              <w:t>entwickelt</w:t>
            </w:r>
          </w:p>
        </w:tc>
        <w:tc>
          <w:tcPr>
            <w:tcW w:w="3827" w:type="dxa"/>
            <w:tcBorders>
              <w:top w:val="single" w:sz="6" w:space="0" w:color="000000"/>
              <w:left w:val="single" w:sz="4" w:space="0" w:color="000000"/>
              <w:bottom w:val="single" w:sz="6" w:space="0" w:color="000000"/>
            </w:tcBorders>
          </w:tcPr>
          <w:p>
            <w:pPr>
              <w:pStyle w:val="Tabellentext"/>
              <w:widowControl w:val="false"/>
              <w:spacing w:before="40" w:after="40"/>
              <w:rPr>
                <w:b/>
                <w:b/>
                <w:u w:val="single"/>
              </w:rPr>
            </w:pPr>
            <w:r>
              <w:rPr/>
              <w:t>Durch die Anwendung des DevOps-Konzepts ist die Zusammenarbeit der Funktionsbereiche „Softwareentwicklung“ und in „IT-Operations“ zu intensivieren und infolgedessen die Effektivität und Effizienz der Arbeit zu verbessern.</w:t>
            </w:r>
          </w:p>
          <w:p>
            <w:pPr>
              <w:pStyle w:val="Tabellentext"/>
              <w:widowControl w:val="false"/>
              <w:spacing w:before="40" w:after="40"/>
              <w:rPr>
                <w:b/>
                <w:b/>
                <w:u w:val="single"/>
              </w:rPr>
            </w:pPr>
            <w:r>
              <w:rPr/>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trPr/>
        <w:tc>
          <w:tcPr>
            <w:tcW w:w="781" w:type="dxa"/>
            <w:tcBorders>
              <w:top w:val="single" w:sz="6" w:space="0" w:color="000000"/>
              <w:bottom w:val="single" w:sz="6" w:space="0" w:color="000000"/>
              <w:right w:val="single" w:sz="4"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6" w:space="0" w:color="000000"/>
              <w:left w:val="single" w:sz="4" w:space="0" w:color="000000"/>
              <w:bottom w:val="single" w:sz="6" w:space="0" w:color="000000"/>
              <w:right w:val="single" w:sz="4" w:space="0" w:color="000000"/>
            </w:tcBorders>
          </w:tcPr>
          <w:p>
            <w:pPr>
              <w:pStyle w:val="Tabellentext"/>
              <w:widowControl w:val="false"/>
              <w:spacing w:before="40" w:after="40"/>
              <w:rPr>
                <w:b/>
                <w:b/>
                <w:u w:val="single"/>
              </w:rPr>
            </w:pPr>
            <w:r>
              <w:rPr/>
              <w:t>Die Software wird in der integrierten Entwicklungsumgebung (Integrated Development Environment (IDE)) Eclipse entwickelt.</w:t>
            </w:r>
          </w:p>
        </w:tc>
        <w:tc>
          <w:tcPr>
            <w:tcW w:w="3827" w:type="dxa"/>
            <w:tcBorders>
              <w:top w:val="single" w:sz="6" w:space="0" w:color="000000"/>
              <w:left w:val="single" w:sz="4" w:space="0" w:color="000000"/>
              <w:bottom w:val="single" w:sz="6" w:space="0" w:color="000000"/>
            </w:tcBorders>
          </w:tcPr>
          <w:p>
            <w:pPr>
              <w:pStyle w:val="Tabellentext"/>
              <w:widowControl w:val="false"/>
              <w:spacing w:before="40" w:after="40"/>
              <w:rPr>
                <w:b/>
                <w:b/>
                <w:u w:val="single"/>
              </w:rPr>
            </w:pPr>
            <w:r>
              <w:rPr/>
              <w:t>Die Software soll in einer etablierten Open-Source Entwicklungsumgebung, in welcher die Anbindung an das Versionsverwaltungssystem „Subversion“ (SVN) integriert ist, und die den Softwareentwicklern vertraut ist, entwickelt werden.</w:t>
            </w:r>
          </w:p>
        </w:tc>
      </w:tr>
      <w:tr>
        <w:trPr/>
        <w:tc>
          <w:tcPr>
            <w:tcW w:w="781" w:type="dxa"/>
            <w:tcBorders>
              <w:top w:val="single" w:sz="6" w:space="0" w:color="000000"/>
              <w:bottom w:val="single" w:sz="6" w:space="0" w:color="000000"/>
              <w:right w:val="single" w:sz="4"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6" w:space="0" w:color="000000"/>
              <w:left w:val="single" w:sz="4" w:space="0" w:color="000000"/>
              <w:bottom w:val="single" w:sz="6" w:space="0" w:color="000000"/>
              <w:right w:val="single" w:sz="4" w:space="0" w:color="000000"/>
            </w:tcBorders>
          </w:tcPr>
          <w:p>
            <w:pPr>
              <w:pStyle w:val="Tabellentext"/>
              <w:widowControl w:val="false"/>
              <w:spacing w:before="40" w:after="40"/>
              <w:rPr>
                <w:b/>
                <w:b/>
                <w:u w:val="single"/>
              </w:rPr>
            </w:pPr>
            <w:r>
              <w:rPr/>
              <w:t>Änderungen an der Software werden als Builds zentral in dem Versionsverwaltungssystem SVN verwaltet.</w:t>
            </w:r>
          </w:p>
        </w:tc>
        <w:tc>
          <w:tcPr>
            <w:tcW w:w="3827" w:type="dxa"/>
            <w:tcBorders>
              <w:top w:val="single" w:sz="6" w:space="0" w:color="000000"/>
              <w:left w:val="single" w:sz="4" w:space="0" w:color="000000"/>
              <w:bottom w:val="single" w:sz="6" w:space="0" w:color="000000"/>
            </w:tcBorders>
          </w:tcPr>
          <w:p>
            <w:pPr>
              <w:pStyle w:val="Tabellentext"/>
              <w:widowControl w:val="false"/>
              <w:spacing w:before="40" w:after="40"/>
              <w:rPr>
                <w:b/>
                <w:b/>
                <w:u w:val="single"/>
              </w:rPr>
            </w:pPr>
            <w:r>
              <w:rPr/>
              <w:t>Software-Builds und -Releases sind in der Versionsverwaltung (Repository-Verwaltung) SVN zentral zu organisieren und zu archivieren.</w:t>
            </w:r>
          </w:p>
          <w:p>
            <w:pPr>
              <w:pStyle w:val="Tabellentext"/>
              <w:widowControl w:val="false"/>
              <w:spacing w:before="40" w:after="40"/>
              <w:rPr>
                <w:b/>
                <w:b/>
                <w:u w:val="single"/>
              </w:rPr>
            </w:pPr>
            <w:r>
              <w:rPr/>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trPr/>
        <w:tc>
          <w:tcPr>
            <w:tcW w:w="781" w:type="dxa"/>
            <w:tcBorders>
              <w:top w:val="single" w:sz="6" w:space="0" w:color="000000"/>
              <w:bottom w:val="single" w:sz="4" w:space="0" w:color="000000"/>
              <w:right w:val="single" w:sz="4"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6"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In der Softwareentwicklung werden zur Qualitätssicherung Metrik-Werkzeuge wie FindBugs, JDepend, Checkstyle integriert.</w:t>
            </w:r>
          </w:p>
          <w:p>
            <w:pPr>
              <w:pStyle w:val="Tabellentext"/>
              <w:widowControl w:val="false"/>
              <w:spacing w:before="40" w:after="40"/>
              <w:rPr>
                <w:b/>
                <w:b/>
                <w:u w:val="single"/>
              </w:rPr>
            </w:pPr>
            <w:r>
              <w:rPr/>
              <w:t>Metrikregeln, die der Sicherstellung der Quellcodequalität dienen, werden vor jedem Build automatisiert ausgeführt. Entspricht der Quellcode nicht den in den Regeln definierten Anwendungen wird der Build-Prozess abgebrochen.</w:t>
            </w:r>
          </w:p>
        </w:tc>
        <w:tc>
          <w:tcPr>
            <w:tcW w:w="3827" w:type="dxa"/>
            <w:tcBorders>
              <w:top w:val="single" w:sz="6" w:space="0" w:color="000000"/>
              <w:left w:val="single" w:sz="4" w:space="0" w:color="000000"/>
              <w:bottom w:val="single" w:sz="4" w:space="0" w:color="000000"/>
            </w:tcBorders>
          </w:tcPr>
          <w:p>
            <w:pPr>
              <w:pStyle w:val="Tabellentext"/>
              <w:widowControl w:val="false"/>
              <w:spacing w:before="40" w:after="40"/>
              <w:rPr>
                <w:b/>
                <w:b/>
                <w:u w:val="single"/>
              </w:rPr>
            </w:pPr>
            <w:r>
              <w:rPr/>
              <w:t xml:space="preserve">Für die Gewährleistung der Software-Qualität sind in der Software-Entwicklung geeignete Metrik-Werkzeuge wie FindBugs, JDepend, Checkstyle regelmäßig zu nutzen. </w:t>
            </w:r>
          </w:p>
          <w:p>
            <w:pPr>
              <w:pStyle w:val="Tabellentext"/>
              <w:widowControl w:val="false"/>
              <w:spacing w:before="40" w:after="40"/>
              <w:rPr>
                <w:b/>
                <w:b/>
                <w:u w:val="single"/>
              </w:rPr>
            </w:pPr>
            <w:r>
              <w:rPr/>
              <w:t>Der Sicherstellung der Code-Qualität, wie die Bezeichnung von Klassen, Methoden, Variablen, Konstanten, die Kommentierung und Formatierung des Quellcodes, ist dabei die größte Aufmerksamkeit zu widmen.</w:t>
            </w:r>
          </w:p>
        </w:tc>
      </w:tr>
    </w:tbl>
    <w:p>
      <w:pPr>
        <w:pStyle w:val="Normal"/>
        <w:rPr>
          <w:b/>
          <w:b/>
          <w:u w:val="single"/>
        </w:rPr>
      </w:pPr>
      <w:r>
        <w:rPr>
          <w:b/>
          <w:u w:val="single"/>
        </w:rPr>
      </w:r>
    </w:p>
    <w:p>
      <w:pPr>
        <w:pStyle w:val="Normal"/>
        <w:rPr>
          <w:b/>
          <w:b/>
          <w:u w:val="single"/>
        </w:rPr>
      </w:pPr>
      <w:r>
        <w:rPr>
          <w:b/>
          <w:u w:val="single"/>
        </w:rPr>
      </w:r>
      <w:r>
        <w:br w:type="page"/>
      </w:r>
    </w:p>
    <w:tbl>
      <w:tblPr>
        <w:tblW w:w="8435"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781"/>
        <w:gridCol w:w="3827"/>
        <w:gridCol w:w="3827"/>
      </w:tblGrid>
      <w:tr>
        <w:trPr/>
        <w:tc>
          <w:tcPr>
            <w:tcW w:w="8435" w:type="dxa"/>
            <w:gridSpan w:val="3"/>
            <w:tcBorders>
              <w:top w:val="single" w:sz="4" w:space="0" w:color="000000"/>
              <w:bottom w:val="single" w:sz="4" w:space="0" w:color="000000"/>
            </w:tcBorders>
          </w:tcPr>
          <w:p>
            <w:pPr>
              <w:pStyle w:val="Tabellentext"/>
              <w:pageBreakBefore/>
              <w:widowControl w:val="false"/>
              <w:spacing w:before="40" w:after="40"/>
              <w:rPr>
                <w:rStyle w:val="Grundzfett"/>
                <w:bCs/>
              </w:rPr>
            </w:pPr>
            <w:r>
              <w:rPr>
                <w:rStyle w:val="Grundzfett"/>
                <w:bCs/>
              </w:rPr>
              <w:t>Softwareentwicklung</w:t>
            </w:r>
          </w:p>
        </w:tc>
      </w:tr>
      <w:tr>
        <w:trPr/>
        <w:tc>
          <w:tcPr>
            <w:tcW w:w="781" w:type="dxa"/>
            <w:tcBorders>
              <w:top w:val="single" w:sz="4" w:space="0" w:color="000000"/>
              <w:bottom w:val="single" w:sz="4" w:space="0" w:color="000000"/>
              <w:right w:val="single" w:sz="6" w:space="0" w:color="000000"/>
            </w:tcBorders>
          </w:tcPr>
          <w:p>
            <w:pPr>
              <w:pStyle w:val="Tabellentext"/>
              <w:widowControl w:val="false"/>
              <w:spacing w:before="40" w:after="40"/>
              <w:rPr>
                <w:rStyle w:val="Grundzfett"/>
                <w:bCs/>
              </w:rPr>
            </w:pPr>
            <w:r>
              <w:rPr>
                <w:rStyle w:val="Grundzfett"/>
                <w:bCs/>
              </w:rPr>
              <w:t>Nr.</w:t>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fett"/>
                <w:bCs/>
              </w:rPr>
            </w:pPr>
            <w:r>
              <w:rPr>
                <w:rStyle w:val="Grundzfett"/>
                <w:bCs/>
              </w:rPr>
              <w:t>Spezifikation</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rStyle w:val="Grundzfett"/>
                <w:bCs/>
              </w:rPr>
            </w:pPr>
            <w:r>
              <w:rPr>
                <w:rStyle w:val="Grundzfett"/>
                <w:bCs/>
              </w:rPr>
              <w:t>Anforderung</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In der Softwareentwicklung wird zur Qualitätssicherung regelmäßig das Refactoring zur Quellcode-Refrakturierung angewandt.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Für die Gewährleistung der Software-Qualität ist der Quellcode regelmäßig zu refrakturieren.</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Zur Überprüfung der Ausführung und Korrektheit wird der Quellcode kontinuierlich und automatisiert durch Modultests (Unit Tests) validiert und verifiziert.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Der Quellcode ist kontinuierlich und automatisiert nach den Vorgaben im Validation- und Verification-Plan durch Modultests (Unit Tests) zu validieren und verifizieren.</w:t>
            </w:r>
          </w:p>
          <w:p>
            <w:pPr>
              <w:pStyle w:val="Tabellentext"/>
              <w:widowControl w:val="false"/>
              <w:spacing w:before="40" w:after="40"/>
              <w:rPr>
                <w:b/>
                <w:b/>
                <w:u w:val="single"/>
              </w:rPr>
            </w:pPr>
            <w:r>
              <w:rPr/>
              <w:t>Der Validation- und Verification-Plan ist ein essentieller Bestandteil der Qualitätssicherung.</w:t>
            </w:r>
          </w:p>
        </w:tc>
      </w:tr>
      <w:tr>
        <w:trPr/>
        <w:tc>
          <w:tcPr>
            <w:tcW w:w="781" w:type="dxa"/>
            <w:tcBorders>
              <w:top w:val="single" w:sz="4" w:space="0" w:color="000000"/>
              <w:bottom w:val="single" w:sz="4" w:space="0" w:color="000000"/>
              <w:right w:val="single" w:sz="6" w:space="0" w:color="000000"/>
            </w:tcBorders>
          </w:tcPr>
          <w:p>
            <w:pPr>
              <w:pStyle w:val="Tabellentext"/>
              <w:widowControl w:val="false"/>
              <w:numPr>
                <w:ilvl w:val="0"/>
                <w:numId w:val="8"/>
              </w:numPr>
              <w:spacing w:before="40" w:after="40"/>
              <w:ind w:left="153" w:hanging="74"/>
              <w:rPr>
                <w:b/>
                <w:b/>
                <w:u w:val="single"/>
              </w:rPr>
            </w:pPr>
            <w:r>
              <w:rPr>
                <w:b/>
                <w:u w:val="single"/>
              </w:rPr>
            </w:r>
          </w:p>
        </w:tc>
        <w:tc>
          <w:tcPr>
            <w:tcW w:w="3827"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b/>
                <w:b/>
                <w:u w:val="single"/>
              </w:rPr>
            </w:pPr>
            <w:r>
              <w:rPr/>
              <w:t>Die Ausführung und korrekte Umsetzung der geforderten Funktionalitäten in der Software wird kontinuierlich durch Produkttests und Akzeptanztests verifiziert.</w:t>
            </w:r>
          </w:p>
        </w:tc>
        <w:tc>
          <w:tcPr>
            <w:tcW w:w="3827" w:type="dxa"/>
            <w:tcBorders>
              <w:top w:val="single" w:sz="4" w:space="0" w:color="000000"/>
              <w:left w:val="single" w:sz="6" w:space="0" w:color="000000"/>
              <w:bottom w:val="single" w:sz="4" w:space="0" w:color="000000"/>
            </w:tcBorders>
          </w:tcPr>
          <w:p>
            <w:pPr>
              <w:pStyle w:val="Tabellentext"/>
              <w:widowControl w:val="false"/>
              <w:spacing w:before="40" w:after="40"/>
              <w:rPr>
                <w:b/>
                <w:b/>
                <w:u w:val="single"/>
              </w:rPr>
            </w:pPr>
            <w:r>
              <w:rPr/>
              <w:t>Die korrekte Umsetzung der geforderten Funktionalitäten ist regelmäßig durch Produkttests und Akzeptanztests, die nach den Vorgaben im Validation- und Verification-Plan ausgeführt werden, nachzuweisen. Der Validation- und Verification-Plan ist ein essentieller Bestandteil der Qualitätssicherung.</w:t>
            </w:r>
          </w:p>
        </w:tc>
      </w:tr>
    </w:tbl>
    <w:p>
      <w:pPr>
        <w:sectPr>
          <w:headerReference w:type="default" r:id="rId17"/>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Pr>
    </w:p>
    <w:p>
      <w:pPr>
        <w:pStyle w:val="Berschrift1"/>
        <w:rPr>
          <w:b/>
          <w:b/>
          <w:u w:val="single"/>
        </w:rPr>
      </w:pPr>
      <w:bookmarkStart w:id="38" w:name="_Toc141868477"/>
      <w:r>
        <w:rPr/>
        <w:t>Implementierung</w:t>
      </w:r>
      <w:bookmarkEnd w:id="38"/>
    </w:p>
    <w:p>
      <w:pPr>
        <w:pStyle w:val="Grundtext"/>
        <w:rPr>
          <w:szCs w:val="24"/>
        </w:rPr>
      </w:pPr>
      <w:r>
        <w:rPr/>
        <w:t xml:space="preserve">Das Projektmanagement </w:t>
      </w:r>
      <w:r>
        <w:rPr>
          <w:szCs w:val="24"/>
        </w:rPr>
        <w:t xml:space="preserve">sowie die Bereitstellung der Anwendung und </w:t>
      </w:r>
      <w:r>
        <w:rPr/>
        <w:t xml:space="preserve">die Durchführung der </w:t>
      </w:r>
      <w:r>
        <w:rPr>
          <w:szCs w:val="24"/>
        </w:rPr>
        <w:t xml:space="preserve">Systemtests </w:t>
      </w:r>
      <w:r>
        <w:rPr/>
        <w:t xml:space="preserve">stehen in diesem Artikel </w:t>
      </w:r>
      <w:r>
        <w:rPr>
          <w:szCs w:val="24"/>
        </w:rPr>
        <w:t>im Vordergrund. Zur vollständigen Beschreibung der Projektdurchführung und als Einleitung für das folgende Kapitel soll die Umsetzung der Implementierung mit wenigen Sätzen zusammengefasst werden.</w:t>
      </w:r>
    </w:p>
    <w:p>
      <w:pPr>
        <w:pStyle w:val="Grundtext"/>
        <w:rPr>
          <w:b/>
          <w:b/>
          <w:u w:val="single"/>
        </w:rPr>
      </w:pPr>
      <w:r>
        <w:rPr>
          <w:szCs w:val="24"/>
        </w:rPr>
        <w:t xml:space="preserve">Die Implementierung der </w:t>
      </w:r>
      <w:r>
        <w:rPr/>
        <w:t xml:space="preserve">Software </w:t>
      </w:r>
      <w:r>
        <w:rPr>
          <w:szCs w:val="24"/>
        </w:rPr>
        <w:t>erfolgte nach dem Dev-Ops-Ansatz. „Dev-Ops“</w:t>
      </w:r>
      <w:r>
        <w:rPr/>
        <w:commentReference w:id="25"/>
      </w:r>
      <w:r>
        <w:rPr>
          <w:szCs w:val="24"/>
        </w:rPr>
        <w:t xml:space="preserve"> ist ein Konzept, welches die Zusammenarbeit der Funktionsbereiche „Development“ und „(IT)-Operations“ in den Vordergrund stellt. </w:t>
      </w:r>
      <w:r>
        <w:rPr/>
        <w:t xml:space="preserve">Es beinhaltet praxiserprobte Lösungsansätze um Lücken zwischen der Softwareentwicklung und dem IT-Betrieb zu überbrücken </w:t>
      </w:r>
      <w:r>
        <w:fldChar w:fldCharType="begin"/>
      </w:r>
      <w:r>
        <w:rPr/>
        <w:instrText>ADDIN ZOTERO_ITEM CSL_CITATION {"citationID":"0UZdZE7i","properties":{"formattedCitation":"(Vgl.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w:instrText>
      </w:r>
      <w:r>
        <w:rPr/>
      </w:r>
      <w:r>
        <w:rPr/>
        <w:fldChar w:fldCharType="separate"/>
      </w:r>
      <w:r>
        <w:rPr/>
        <w:t>(Vgl. Halstenberg et al., (2020), S. 1)</w:t>
      </w:r>
      <w:r>
        <w:rPr/>
      </w:r>
      <w:r>
        <w:rPr/>
        <w:fldChar w:fldCharType="end"/>
      </w:r>
      <w:r>
        <w:rPr/>
        <w:t xml:space="preserve">. In einem Dev-Ops-Zyklus werden die Phasen „Plan“, „Code“, „Build“, „Integrate“, „Release“ und „Operate“ durchlaufen. In der Release-Phase sind die Modultests (Unit-Test) und die Bereitstellung der Software (Deploy) zu realisieren. Die Aktivitäten in den Schritten „Build“, „Integrate“, „Test“ und „Deploy“ können weitestgehend automatisiert werden. Dev-Ops basiert auf dem Prinzip der kontinuierlichen Integration („Continuous Integration“) und kontinuierliche Bereitstellung („Continuous Deployment“) </w:t>
      </w:r>
      <w:r>
        <w:fldChar w:fldCharType="begin"/>
      </w:r>
      <w:r>
        <w:rPr/>
        <w:instrText>ADDIN ZOTERO_ITEM CSL_CITATION {"citationID":"QRSBBLEc","properties":{"formattedCitation":"(Vgl. Halstenberg et al., (2020), S. 16 ff.)","plainCitation":"(Vgl. Halstenberg et al., (2020), S. 16 ff.)","noteIndex":0},"citationItems":[{"id":"RLKPnpNr/7h4FcorH","uris":["http://zotero.org/users/10411486/items/VXRL5FSS"],"itemData":{"id":800,"type":"book","collection-title":"essentials","event-place":"Wiesbaden","ISBN":"978-3-658-31404-0","language":"de","note":"DOI: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w:instrText>
      </w:r>
      <w:r>
        <w:rPr/>
      </w:r>
      <w:r>
        <w:rPr/>
        <w:fldChar w:fldCharType="separate"/>
      </w:r>
      <w:r>
        <w:rPr/>
        <w:t>(Vgl. Halstenberg et al., (2020), S. 16 ff.)</w:t>
      </w:r>
      <w:r>
        <w:rPr/>
      </w:r>
      <w:r>
        <w:rPr/>
        <w:fldChar w:fldCharType="end"/>
      </w:r>
      <w:r>
        <w:rPr/>
        <w:t>.</w:t>
      </w:r>
    </w:p>
    <w:p>
      <w:pPr>
        <w:pStyle w:val="Grundtext"/>
        <w:rPr>
          <w:szCs w:val="24"/>
        </w:rPr>
      </w:pPr>
      <w:r>
        <w:rPr/>
        <w:t xml:space="preserve">Der Programmcode wurde in der Programmiersprache „Java“ geschrieben. Die </w:t>
      </w:r>
      <w:r>
        <w:rPr>
          <w:szCs w:val="24"/>
        </w:rPr>
        <w:t xml:space="preserve">zentrale Verwaltung der Versionierung </w:t>
      </w:r>
      <w:r>
        <w:rPr/>
        <w:t>erfolgte durch SVN</w:t>
      </w:r>
      <w:r>
        <w:rPr>
          <w:szCs w:val="24"/>
        </w:rPr>
        <w:t>. Mittels automatisierter Modultests (Unit Tests) wurde die Ausführung und Korrektheit des zu den Programmkomponenten geschriebenen Codes geprüft.</w:t>
      </w:r>
    </w:p>
    <w:p>
      <w:pPr>
        <w:pStyle w:val="Grundtext"/>
        <w:rPr>
          <w:szCs w:val="24"/>
        </w:rPr>
      </w:pPr>
      <w:r>
        <w:rPr>
          <w:szCs w:val="24"/>
        </w:rPr>
        <w:t>Als RDBMS diente der MySQL-Datenbankserver und für die Bereitstellung der HTML-Seiten der Web-Server Apache Tomcat.</w:t>
      </w:r>
    </w:p>
    <w:p>
      <w:pPr>
        <w:pStyle w:val="Grundtext"/>
        <w:rPr>
          <w:szCs w:val="24"/>
        </w:rPr>
      </w:pPr>
      <w:r>
        <w:rPr>
          <w:szCs w:val="24"/>
        </w:rPr>
        <w:t>Die Benutzeroberfläche (GUI) wurde mittels Java Script, HTML und Cascading Stylesheets entwickelt.</w:t>
      </w:r>
    </w:p>
    <w:p>
      <w:pPr>
        <w:sectPr>
          <w:headerReference w:type="default" r:id="rId18"/>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Style w:val="Grundtext"/>
        <w:rPr>
          <w:szCs w:val="24"/>
        </w:rPr>
      </w:pPr>
      <w:r>
        <w:rPr/>
        <w:t xml:space="preserve">Das folgende Kapitel beschäftigt sich detailliert mit den </w:t>
      </w:r>
      <w:r>
        <w:rPr>
          <w:szCs w:val="24"/>
        </w:rPr>
        <w:t>Systemtests.</w:t>
      </w:r>
    </w:p>
    <w:p>
      <w:pPr>
        <w:pStyle w:val="Berschrift1"/>
        <w:rPr>
          <w:b/>
          <w:b/>
          <w:u w:val="single"/>
        </w:rPr>
      </w:pPr>
      <w:bookmarkStart w:id="39" w:name="_Toc141868478"/>
      <w:r>
        <w:rPr/>
        <w:t>Test</w:t>
      </w:r>
      <w:bookmarkEnd w:id="39"/>
    </w:p>
    <w:p>
      <w:pPr>
        <w:pStyle w:val="Berschrift2"/>
        <w:rPr>
          <w:b/>
          <w:b/>
          <w:u w:val="single"/>
        </w:rPr>
      </w:pPr>
      <w:bookmarkStart w:id="40" w:name="_Toc141868479"/>
      <w:r>
        <w:rPr/>
        <w:t>Einführung</w:t>
      </w:r>
      <w:bookmarkEnd w:id="40"/>
    </w:p>
    <w:p>
      <w:pPr>
        <w:pStyle w:val="Grundtext"/>
        <w:rPr>
          <w:b/>
          <w:b/>
          <w:u w:val="single"/>
        </w:rPr>
      </w:pPr>
      <w:r>
        <w:rPr/>
        <w:t xml:space="preserve">Zunächst wird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fldChar w:fldCharType="begin"/>
      </w:r>
      <w:r>
        <w:rPr/>
        <w:instrText>ADDIN ZOTERO_ITEM CSL_CITATION {"citationID":"Ss9np0fo","properties":{"formattedCitation":"(Vgl. Fr\\uc0\\u252{}hauf et al., (2007), S. 14, 29)","plainCitation":"(Vgl. Frühauf et al., (2007), S. 14, 29)","noteIndex":0},"citationItems":[{"id":"RLKPnpNr/rImEIoVq","uris":["http://zotero.org/users/10411486/items/Z569UKYQ"],"itemData":{"id":860,"type":"book","edition":"6.","publisher":"vdf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w:instrText>
      </w:r>
      <w:r>
        <w:rPr/>
      </w:r>
      <w:r>
        <w:rPr/>
        <w:fldChar w:fldCharType="separate"/>
      </w:r>
      <w:r>
        <w:rPr/>
      </w:r>
      <w:r>
        <w:rPr>
          <w:szCs w:val="24"/>
        </w:rPr>
        <w:t>(Vgl. Frühauf et al., (2007), S. 14, 29)</w:t>
      </w:r>
      <w:r>
        <w:rPr/>
      </w:r>
      <w:r>
        <w:rPr/>
        <w:fldChar w:fldCharType="end"/>
      </w:r>
      <w:r>
        <w:rPr/>
        <w:t>.</w:t>
      </w:r>
    </w:p>
    <w:p>
      <w:pPr>
        <w:pStyle w:val="Grundtext"/>
        <w:rPr>
          <w:b/>
          <w:b/>
          <w:u w:val="single"/>
        </w:rPr>
      </w:pPr>
      <w:r>
        <w:rPr/>
        <w:t xml:space="preserve">Mit der Implementierung starten auch die Software-Tests. Diese umfassen analytische Maßnahmen zur Sicherstellung der Softwarequalität. Software-Tests sind in allen Phasen des Entwicklungsprozesses durchzuführen </w:t>
      </w:r>
      <w:r>
        <w:fldChar w:fldCharType="begin"/>
      </w:r>
      <w:r>
        <w:rPr/>
        <w:instrText>ADDIN ZOTERO_ITEM CSL_CITATION {"citationID":"vXxekKPC","properties":{"formattedCitation":"(Vgl. Hoffmann, (2013), S. 158)","plainCitation":"(Vgl. Hoffmann, (2013), S. 158)","noteIndex":0},"citationItems":[{"id":"RLKPnpNr/hQCIgq06","uris":["http://zotero.org/users/10411486/items/8YYHRGCC"],"itemData":{"id":853,"type":"book","collection-title":"eXamen.press","event-place":"Berlin,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w:instrText>
      </w:r>
      <w:r>
        <w:rPr/>
      </w:r>
      <w:r>
        <w:rPr/>
        <w:fldChar w:fldCharType="separate"/>
      </w:r>
      <w:r>
        <w:rPr/>
        <w:t>(Vgl. Hoffmann, (2013), S. 158)</w:t>
      </w:r>
      <w:r>
        <w:rPr/>
      </w:r>
      <w:r>
        <w:rPr/>
        <w:fldChar w:fldCharType="end"/>
      </w:r>
      <w:r>
        <w:rPr/>
        <w:t xml:space="preserve">. Dabei werden im ersten Schritt die einzelnen Softwarekomponenten getestet. Den Komponententest schließen sich die Tests einzelner Teilsysteme und im letzten Schritt die Tests des Gesamtsystems an </w:t>
      </w:r>
      <w:r>
        <w:fldChar w:fldCharType="begin"/>
      </w:r>
      <w:r>
        <w:rPr/>
        <w:instrText>ADDIN ZOTERO_ITEM CSL_CITATION {"citationID":"h6xk6ob0","properties":{"formattedCitation":"(Vgl. Alpar et al., (2023), S. 469 f.)","plainCitation":"(Vgl. Alpar et al., (2023), S. 469 f.)","noteIndex":0},"citationItems":[{"id":"RLKPnpNr/m4iW34uq","uris":["http://zotero.org/users/10411486/items/TNMHKFRS"],"itemData":{"id":833,"type":"book","event-place":"Wiesbaden","ISBN":"978-3-658-40351-5","language":"de","note":"DOI: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w:instrText>
      </w:r>
      <w:r>
        <w:rPr/>
      </w:r>
      <w:r>
        <w:rPr/>
        <w:fldChar w:fldCharType="separate"/>
      </w:r>
      <w:r>
        <w:rPr/>
        <w:t>(Vgl. Alpar et al., (2023), S. 469 f.)</w:t>
      </w:r>
      <w:r>
        <w:rPr/>
      </w:r>
      <w:r>
        <w:rPr/>
        <w:fldChar w:fldCharType="end"/>
      </w:r>
      <w:r>
        <w:rPr/>
        <w:t>.</w:t>
      </w:r>
    </w:p>
    <w:p>
      <w:pPr>
        <w:pStyle w:val="Grundtext"/>
        <w:keepNext w:val="true"/>
        <w:jc w:val="center"/>
        <w:rPr>
          <w:b/>
          <w:b/>
          <w:u w:val="single"/>
        </w:rPr>
      </w:pPr>
      <w:r>
        <w:rPr/>
        <w:drawing>
          <wp:inline distT="0" distB="0" distL="0" distR="0">
            <wp:extent cx="4543425" cy="2051685"/>
            <wp:effectExtent l="0" t="0" r="0" b="0"/>
            <wp:docPr id="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2" descr=""/>
                    <pic:cNvPicPr>
                      <a:picLocks noChangeAspect="1" noChangeArrowheads="1"/>
                    </pic:cNvPicPr>
                  </pic:nvPicPr>
                  <pic:blipFill>
                    <a:blip r:embed="rId19"/>
                    <a:stretch>
                      <a:fillRect/>
                    </a:stretch>
                  </pic:blipFill>
                  <pic:spPr bwMode="auto">
                    <a:xfrm>
                      <a:off x="0" y="0"/>
                      <a:ext cx="4543425" cy="2051685"/>
                    </a:xfrm>
                    <a:prstGeom prst="rect">
                      <a:avLst/>
                    </a:prstGeom>
                  </pic:spPr>
                </pic:pic>
              </a:graphicData>
            </a:graphic>
          </wp:inline>
        </w:drawing>
      </w:r>
    </w:p>
    <w:p>
      <w:pPr>
        <w:pStyle w:val="GrafikQuelle"/>
        <w:rPr>
          <w:rStyle w:val="Grundzfett"/>
        </w:rPr>
      </w:pPr>
      <w:r>
        <w:rPr/>
        <w:t>(Quelle: Alpar et al., 2023, S. 470)</w:t>
      </w:r>
    </w:p>
    <w:p>
      <w:pPr>
        <w:pStyle w:val="Abbildungstitel"/>
        <w:rPr>
          <w:b/>
          <w:b/>
          <w:u w:val="single"/>
        </w:rPr>
      </w:pPr>
      <w:bookmarkStart w:id="41" w:name="_Toc141868540"/>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4</w:t>
      </w:r>
      <w:r>
        <w:rPr>
          <w:rStyle w:val="Grundzfett"/>
        </w:rPr>
        <w:fldChar w:fldCharType="end"/>
      </w:r>
      <w:r>
        <w:rPr>
          <w:rStyle w:val="Grundzfett"/>
        </w:rPr>
        <w:t>:</w:t>
      </w:r>
      <w:r>
        <w:rPr/>
        <w:t xml:space="preserve"> Grundlegende Teststrategie</w:t>
      </w:r>
      <w:bookmarkEnd w:id="41"/>
    </w:p>
    <w:p>
      <w:pPr>
        <w:pStyle w:val="Grundtext"/>
        <w:rPr>
          <w:b/>
          <w:b/>
          <w:u w:val="single"/>
        </w:rPr>
      </w:pPr>
      <w:r>
        <w:rPr/>
        <w:t>In allen Tests werden das Verhalten der Software und die Erfüllung der Spezifikation bzw. des Entwurfs (Verifizierung) sowie die Erfüllung der Anforderungen im Nutzungskontext (Validation) geprüft. Aus den in der Anforderungsanalyse erhobenen Anforderungen werden die erforderlichen Testaktivitäten abgeleitet.</w:t>
      </w:r>
    </w:p>
    <w:p>
      <w:pPr>
        <w:pStyle w:val="Grundtext"/>
        <w:rPr>
          <w:b/>
          <w:b/>
          <w:u w:val="single"/>
        </w:rPr>
      </w:pPr>
      <w:r>
        <w:rPr/>
        <w:t xml:space="preserve">Die Tests lassen sich nach ihren Merkmalen in die Klassen „Prüfebene </w:t>
        <w:noBreakHyphen/>
        <w:t xml:space="preserve"> In welcher Entwicklungsphase wird getestet?“, „Prüfkriterium - Welche Inhalte werden getestet?“  und „Prüfmethodik </w:t>
        <w:noBreakHyphen/>
        <w:t xml:space="preserve"> Wie wird getestet?“ einteilen </w:t>
      </w:r>
      <w:r>
        <w:fldChar w:fldCharType="begin"/>
      </w:r>
      <w:r>
        <w:rPr/>
        <w:instrText>ADDIN ZOTERO_ITEM CSL_CITATION {"citationID":"XFPnfUZg","properties":{"formattedCitation":"(Vgl. Hoffmann, (2013), S. 469)","plainCitation":"(Vgl. Hoffmann, (2013), S. 469)","dontUpdate":true,"noteIndex":0},"citationItems":[{"id":"RLKPnpNr/hQCIgq06","uris":["http://zotero.org/users/10411486/items/8YYHRGCC"],"itemData":{"id":853,"type":"book","collection-title":"eXamen.press","event-place":"Berlin,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w:instrText>
      </w:r>
      <w:r>
        <w:rPr/>
      </w:r>
      <w:r>
        <w:rPr/>
        <w:fldChar w:fldCharType="separate"/>
      </w:r>
      <w:r>
        <w:rPr/>
        <w:t>(Vgl. Hoffmann, (2013), S. 158)</w:t>
      </w:r>
      <w:r>
        <w:rPr/>
      </w:r>
      <w:r>
        <w:rPr/>
        <w:fldChar w:fldCharType="end"/>
      </w:r>
      <w:r>
        <w:rPr/>
        <w:t>.</w:t>
      </w:r>
    </w:p>
    <w:p>
      <w:pPr>
        <w:pStyle w:val="Grundtext"/>
        <w:rPr>
          <w:b/>
          <w:b/>
          <w:u w:val="single"/>
        </w:rPr>
      </w:pPr>
      <w:r>
        <w:rPr/>
        <w:t xml:space="preserve">Die Einteilung in die Prüfebenen basiert auf der Programmstruktur der Software und auf der Entwicklungsphase. Darin werden die Tests in Unit-Tests, Integrationstests, Systemtests und Abnahmetests unterschieden </w:t>
      </w:r>
      <w:r>
        <w:fldChar w:fldCharType="begin"/>
      </w:r>
      <w:r>
        <w:rPr/>
        <w:instrText>ADDIN ZOTERO_ITEM CSL_CITATION {"citationID":"DbddmqBj","properties":{"formattedCitation":"(Vgl. Hoffmann, (2013), S. 470)","plainCitation":"(Vgl. Hoffmann, (2013), S. 470)","dontUpdate":true,"noteIndex":0},"citationItems":[{"id":"RLKPnpNr/hQCIgq06","uris":["http://zotero.org/users/10411486/items/8YYHRGCC"],"itemData":{"id":853,"type":"book","collection-title":"eXamen.press","event-place":"Berlin,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w:instrText>
      </w:r>
      <w:r>
        <w:rPr/>
      </w:r>
      <w:r>
        <w:rPr/>
        <w:fldChar w:fldCharType="separate"/>
      </w:r>
      <w:r>
        <w:rPr/>
        <w:t>(Vgl. Hoffmann, (2013), S. 159)</w:t>
      </w:r>
      <w:r>
        <w:rPr/>
      </w:r>
      <w:r>
        <w:rPr/>
        <w:fldChar w:fldCharType="end"/>
      </w:r>
      <w:r>
        <w:rPr/>
        <w:t>.</w:t>
      </w:r>
    </w:p>
    <w:p>
      <w:pPr>
        <w:pStyle w:val="Grundtext"/>
        <w:rPr>
          <w:i/>
          <w:i/>
        </w:rPr>
      </w:pPr>
      <w:r>
        <w:rPr>
          <w:i/>
        </w:rPr>
        <w:t>Unit-Tests</w:t>
      </w:r>
    </w:p>
    <w:p>
      <w:pPr>
        <w:pStyle w:val="Grundtext"/>
        <w:rPr>
          <w:b/>
          <w:b/>
          <w:u w:val="single"/>
        </w:rPr>
      </w:pPr>
      <w:r>
        <w:rPr/>
        <w:t xml:space="preserve">In einem Unit-Test, auch als Modultest oder Komponententest bezeichnet, wird eine atomare Programmeinheit getestet. Eine Unit kann aus einzelnen Funktionen, Klassen, oder Paketen und Bibliotheken bestehen </w:t>
      </w:r>
      <w:r>
        <w:fldChar w:fldCharType="begin"/>
      </w:r>
      <w:r>
        <w:rPr/>
        <w:instrText>ADDIN ZOTERO_ITEM CSL_CITATION {"citationID":"nf5sskRC","properties":{"formattedCitation":"(Vgl. Hoffmann, (2013), S. 159)","plainCitation":"(Vgl. Hoffmann, (2013), S. 159)","noteIndex":0},"citationItems":[{"id":"RLKPnpNr/hQCIgq06","uris":["http://zotero.org/users/10411486/items/8YYHRGCC"],"itemData":{"id":853,"type":"book","collection-title":"eXamen.press","event-place":"Berlin,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w:instrText>
      </w:r>
      <w:r>
        <w:rPr/>
      </w:r>
      <w:r>
        <w:rPr/>
        <w:fldChar w:fldCharType="separate"/>
      </w:r>
      <w:r>
        <w:rPr/>
        <w:t>(Vgl. Hoffmann, (2013), S. 159)</w:t>
      </w:r>
      <w:r>
        <w:rPr/>
      </w:r>
      <w:r>
        <w:rPr/>
        <w:fldChar w:fldCharType="end"/>
      </w:r>
      <w:r>
        <w:rPr/>
        <w:t>.</w:t>
      </w:r>
    </w:p>
    <w:p>
      <w:pPr>
        <w:pStyle w:val="Grundtext"/>
        <w:rPr>
          <w:i/>
          <w:i/>
        </w:rPr>
      </w:pPr>
      <w:r>
        <w:rPr>
          <w:i/>
        </w:rPr>
        <w:t>Integrationstest</w:t>
      </w:r>
    </w:p>
    <w:p>
      <w:pPr>
        <w:pStyle w:val="Grundtext"/>
        <w:rPr>
          <w:b/>
          <w:b/>
          <w:u w:val="single"/>
        </w:rPr>
      </w:pPr>
      <w:r>
        <w:rPr/>
        <w:t xml:space="preserve">Die nächsthöhere Abstraktionsstufe in der Kategorie „Prüfebene“ bilden die Integrationstests. Darin werden größeren Software-Komponenten, die sich aus einzelnen Programmmodulen zusammensetzen, getestet. Ein Integrationstest soll sicherstellen, dass die zusammengesetzten Programmkomponenten ein funktionsfähiges System ergeben. In der Praxis werden Integrationstests als „Big-Bang-Integration“, „Strukturorientierte Integration“ oder „Funktionsorientierte Integration“ ausgeführt </w:t>
      </w:r>
      <w:r>
        <w:fldChar w:fldCharType="begin"/>
      </w:r>
      <w:r>
        <w:rPr/>
        <w:instrText>ADDIN ZOTERO_ITEM CSL_CITATION {"citationID":"Ifwlmf5H","properties":{"formattedCitation":"(Vgl. Hoffmann, (2013), S. 163)","plainCitation":"(Vgl. Hoffmann, (2013), S. 163)","noteIndex":0},"citationItems":[{"id":"RLKPnpNr/hQCIgq06","uris":["http://zotero.org/users/10411486/items/8YYHRGCC"],"itemData":{"id":853,"type":"book","collection-title":"eXamen.press","event-place":"Berlin,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w:instrText>
      </w:r>
      <w:r>
        <w:rPr/>
      </w:r>
      <w:r>
        <w:rPr/>
        <w:fldChar w:fldCharType="separate"/>
      </w:r>
      <w:r>
        <w:rPr/>
        <w:t>(Vgl. Hoffmann, (2013), S. 163)</w:t>
      </w:r>
      <w:r>
        <w:rPr/>
      </w:r>
      <w:r>
        <w:rPr/>
        <w:fldChar w:fldCharType="end"/>
      </w:r>
      <w:r>
        <w:rPr/>
        <w:t>.</w:t>
      </w:r>
    </w:p>
    <w:p>
      <w:pPr>
        <w:pStyle w:val="Grundtext"/>
        <w:rPr>
          <w:i/>
          <w:i/>
        </w:rPr>
      </w:pPr>
      <w:r>
        <w:rPr>
          <w:i/>
        </w:rPr>
        <w:t>Systemtest</w:t>
      </w:r>
    </w:p>
    <w:p>
      <w:pPr>
        <w:pStyle w:val="Grundtext"/>
        <w:rPr>
          <w:b/>
          <w:b/>
          <w:u w:val="single"/>
        </w:rPr>
      </w:pPr>
      <w:r>
        <w:rPr/>
        <w:t xml:space="preserve">Sobald alle Teilkomponenten eines Software-Systems erfolgreich integriert sind, kann mit den Systemtest begonnen werden. Dabei wird das gesamte System getestet und auf die Einhaltung der im Pflichtenheft spezifizierten Eigenschaften überprüft. Im Systemtest wird die Software funktional gemäß den Anforderungen geprüft. Im Gegensatz  zum Unit- oder Integrationstest bleibt die Code-Struktur unberücksichtigt. Faktoren, wie unvorhergesehene Fehler, unklare Anforderungen, eingeschränkte Debug-Möglichkeiten und eingeschränkte Handlungsfähigkeit erschweren die Systemtests </w:t>
      </w:r>
      <w:r>
        <w:fldChar w:fldCharType="begin"/>
      </w:r>
      <w:r>
        <w:rPr/>
        <w:instrText>ADDIN ZOTERO_ITEM CSL_CITATION {"citationID":"MPxDdo46","properties":{"formattedCitation":"(Vgl. Hoffmann, (2013), S. 166 f.)","plainCitation":"(Vgl. Hoffmann, (2013), S. 166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w:instrText>
      </w:r>
      <w:r>
        <w:rPr/>
      </w:r>
      <w:r>
        <w:rPr/>
        <w:fldChar w:fldCharType="separate"/>
      </w:r>
      <w:r>
        <w:rPr/>
        <w:t>(Vgl. Hoffmann, (2013), S. 166 f.)</w:t>
      </w:r>
      <w:r>
        <w:rPr/>
      </w:r>
      <w:r>
        <w:rPr/>
        <w:fldChar w:fldCharType="end"/>
      </w:r>
      <w:r>
        <w:rPr/>
        <w:t>.</w:t>
      </w:r>
    </w:p>
    <w:p>
      <w:pPr>
        <w:pStyle w:val="Grundtext"/>
        <w:rPr>
          <w:i/>
          <w:i/>
        </w:rPr>
      </w:pPr>
      <w:r>
        <w:rPr>
          <w:i/>
        </w:rPr>
        <w:t>Abnahmetest</w:t>
      </w:r>
    </w:p>
    <w:p>
      <w:pPr>
        <w:pStyle w:val="Grundtext"/>
        <w:rPr>
          <w:b/>
          <w:b/>
          <w:u w:val="single"/>
        </w:rPr>
      </w:pPr>
      <w:r>
        <w:rPr/>
        <w:t xml:space="preserve">Auch der Abnahmetest verifiziert und validiert die Software bezüglich der Vorgaben und Spezifikationen aus dem Pflichtenheft. Im Gegensatz zum Systemtest wird der Abnahmetest unter der realen Einsatzumgebung des Kunden und mit authentischen Daten des Auftraggebers durchgeführt. Beim Abnahmetest gibt der Auftraggeber die Richtlinien des Tests vor oder er führt den Test selbst durch </w:t>
      </w:r>
      <w:r>
        <w:fldChar w:fldCharType="begin"/>
      </w:r>
      <w:r>
        <w:rPr/>
        <w:instrText>ADDIN ZOTERO_ITEM CSL_CITATION {"citationID":"f6paGwd6","properties":{"formattedCitation":"(Vgl. Hoffmann, (2013), S. 168 f.)","plainCitation":"(Vgl. Hoffmann, (2013), S. 168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w:instrText>
      </w:r>
      <w:r>
        <w:rPr/>
      </w:r>
      <w:r>
        <w:rPr/>
        <w:fldChar w:fldCharType="separate"/>
      </w:r>
      <w:r>
        <w:rPr/>
        <w:t>(Vgl. Hoffmann, (2013), S. 168 f.)</w:t>
      </w:r>
      <w:r>
        <w:rPr/>
      </w:r>
      <w:r>
        <w:rPr/>
        <w:fldChar w:fldCharType="end"/>
      </w:r>
      <w:r>
        <w:rPr/>
        <w:t>.</w:t>
      </w:r>
    </w:p>
    <w:p>
      <w:pPr>
        <w:sectPr>
          <w:headerReference w:type="default" r:id="rId20"/>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Pr>
    </w:p>
    <w:p>
      <w:pPr>
        <w:pStyle w:val="Grundtext"/>
        <w:jc w:val="center"/>
        <w:rPr>
          <w:b/>
          <w:b/>
          <w:u w:val="single"/>
        </w:rPr>
      </w:pPr>
      <w:r>
        <w:rPr/>
        <w:drawing>
          <wp:inline distT="0" distB="0" distL="0" distR="0">
            <wp:extent cx="5220970" cy="2127885"/>
            <wp:effectExtent l="0" t="0" r="0" b="0"/>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21"/>
                    <a:stretch>
                      <a:fillRect/>
                    </a:stretch>
                  </pic:blipFill>
                  <pic:spPr bwMode="auto">
                    <a:xfrm>
                      <a:off x="0" y="0"/>
                      <a:ext cx="5220970" cy="2127885"/>
                    </a:xfrm>
                    <a:prstGeom prst="rect">
                      <a:avLst/>
                    </a:prstGeom>
                  </pic:spPr>
                </pic:pic>
              </a:graphicData>
            </a:graphic>
          </wp:inline>
        </w:drawing>
      </w:r>
    </w:p>
    <w:p>
      <w:pPr>
        <w:pStyle w:val="GrafikQuelle"/>
        <w:rPr>
          <w:rStyle w:val="Grundzfett"/>
        </w:rPr>
      </w:pPr>
      <w:r>
        <w:rPr/>
        <w:t>(Quelle: Hoffmann, 2013, S. 159)</w:t>
      </w:r>
    </w:p>
    <w:p>
      <w:pPr>
        <w:pStyle w:val="Abbildungstitel"/>
        <w:rPr>
          <w:b/>
          <w:b/>
          <w:u w:val="single"/>
        </w:rPr>
      </w:pPr>
      <w:bookmarkStart w:id="42" w:name="_Toc141868541"/>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5</w:t>
      </w:r>
      <w:r>
        <w:rPr>
          <w:rStyle w:val="Grundzfett"/>
        </w:rPr>
        <w:fldChar w:fldCharType="end"/>
      </w:r>
      <w:r>
        <w:rPr>
          <w:rStyle w:val="Grundzfett"/>
        </w:rPr>
        <w:t>:</w:t>
      </w:r>
      <w:r>
        <w:rPr/>
        <w:t xml:space="preserve"> Die vier Prüfebenen des Software-Tests</w:t>
      </w:r>
      <w:bookmarkEnd w:id="42"/>
    </w:p>
    <w:p>
      <w:pPr>
        <w:pStyle w:val="Grundtext"/>
        <w:rPr>
          <w:b/>
          <w:b/>
          <w:u w:val="single"/>
        </w:rPr>
      </w:pPr>
      <w:r>
        <w:rPr/>
        <w:t>Hinsichtlich der Prüfkriterien werden die Software-Tests nach den inhaltlichen Aspekten eines Testfalls wie folgt klassifiziert.</w:t>
      </w:r>
    </w:p>
    <w:p>
      <w:pPr>
        <w:pStyle w:val="Grundtext"/>
        <w:rPr>
          <w:i/>
          <w:i/>
        </w:rPr>
      </w:pPr>
      <w:r>
        <w:rPr>
          <w:i/>
        </w:rPr>
        <w:t>Funktionaler Software-Test</w:t>
      </w:r>
    </w:p>
    <w:p>
      <w:pPr>
        <w:pStyle w:val="Grundtext"/>
        <w:rPr>
          <w:b/>
          <w:b/>
          <w:u w:val="single"/>
        </w:rPr>
      </w:pPr>
      <w:r>
        <w:rPr/>
        <w:t xml:space="preserve">In den funktionalen Tests wird die Datenverarbeitung geprüft. Zu diesen gehören Funktionstests, Trivialtests, Crashtest, Kompatibilitätstest und Zufallstests </w:t>
      </w:r>
      <w:r>
        <w:fldChar w:fldCharType="begin"/>
      </w:r>
      <w:r>
        <w:rPr/>
        <w:instrText>ADDIN ZOTERO_ITEM CSL_CITATION {"citationID":"qhUwqN9L","properties":{"formattedCitation":"(Vgl. Hoffmann, (2013), S. 170 f.)","plainCitation":"(Vgl. Hoffmann, (2013), S. 170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w:instrText>
      </w:r>
      <w:r>
        <w:rPr/>
      </w:r>
      <w:r>
        <w:rPr/>
        <w:fldChar w:fldCharType="separate"/>
      </w:r>
      <w:r>
        <w:rPr/>
        <w:t>(Vgl. Hoffmann, (2013), S. 170 f.)</w:t>
      </w:r>
      <w:r>
        <w:rPr/>
      </w:r>
      <w:r>
        <w:rPr/>
        <w:fldChar w:fldCharType="end"/>
      </w:r>
      <w:r>
        <w:rPr/>
        <w:t>.</w:t>
      </w:r>
    </w:p>
    <w:p>
      <w:pPr>
        <w:pStyle w:val="Grundtext"/>
        <w:rPr>
          <w:i/>
          <w:i/>
        </w:rPr>
      </w:pPr>
      <w:r>
        <w:rPr>
          <w:i/>
        </w:rPr>
        <w:t>Operationale Software-Tests</w:t>
      </w:r>
    </w:p>
    <w:p>
      <w:pPr>
        <w:pStyle w:val="Grundtext"/>
        <w:rPr>
          <w:b/>
          <w:b/>
          <w:u w:val="single"/>
        </w:rPr>
      </w:pPr>
      <w:r>
        <w:rPr/>
        <w:t xml:space="preserve">Bei diesen Tests ist das Software-System unter dem Aspekt des operativen Einsatzes zu validieren und verifizieren. Ergonomietests überprüfen beispielsweise die Benutzbarkeit und Installationstests die reibungsfreie Inbetriebnahme. Sicherheitstests sollen Sicherheitslecks aufzeigen bzw. nachweisen, dass vertrauliche Daten geschützt verarbeitet und gespeichert werden </w:t>
      </w:r>
      <w:r>
        <w:fldChar w:fldCharType="begin"/>
      </w:r>
      <w:r>
        <w:rPr/>
        <w:instrText>ADDIN ZOTERO_ITEM CSL_CITATION {"citationID":"sRnADGPF","properties":{"formattedCitation":"(Vgl. Hoffmann, (2013), S. 172)","plainCitation":"(Vgl. Hoffmann, (2013), S. 172)","noteIndex":0},"citationItems":[{"id":"RLKPnpNr/hQCIgq06","uris":["http://zotero.org/users/10411486/items/8YYHRGCC"],"itemData":{"id":853,"type":"book","collection-title":"eXamen.press","event-place":"Berlin,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w:instrText>
      </w:r>
      <w:r>
        <w:rPr/>
      </w:r>
      <w:r>
        <w:rPr/>
        <w:fldChar w:fldCharType="separate"/>
      </w:r>
      <w:r>
        <w:rPr/>
        <w:t>(Vgl. Hoffmann, (2013), S. 172)</w:t>
      </w:r>
      <w:r>
        <w:rPr/>
      </w:r>
      <w:r>
        <w:rPr/>
        <w:fldChar w:fldCharType="end"/>
      </w:r>
      <w:r>
        <w:rPr/>
        <w:t>.</w:t>
      </w:r>
    </w:p>
    <w:p>
      <w:pPr>
        <w:pStyle w:val="Grundtext"/>
        <w:rPr>
          <w:i/>
          <w:i/>
        </w:rPr>
      </w:pPr>
      <w:r>
        <w:rPr>
          <w:i/>
        </w:rPr>
        <w:t>Temporale Software-Tests</w:t>
      </w:r>
    </w:p>
    <w:p>
      <w:pPr>
        <w:pStyle w:val="Grundtext"/>
        <w:rPr>
          <w:b/>
          <w:b/>
          <w:u w:val="single"/>
        </w:rPr>
      </w:pPr>
      <w:r>
        <w:rPr/>
        <w:t xml:space="preserve">Hierzu gehören Komplexitätstests, Laufzeittests, Lasttests, Stresstests </w:t>
      </w:r>
      <w:r>
        <w:fldChar w:fldCharType="begin"/>
      </w:r>
      <w:r>
        <w:rPr/>
        <w:instrText>ADDIN ZOTERO_ITEM CSL_CITATION {"citationID":"PJhMUu7o","properties":{"formattedCitation":"(Vgl. Hoffmann, (2013), S. 172 f.)","plainCitation":"(Vgl. Hoffmann, (2013), S. 172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w:instrText>
      </w:r>
      <w:r>
        <w:rPr/>
      </w:r>
      <w:r>
        <w:rPr/>
        <w:fldChar w:fldCharType="separate"/>
      </w:r>
      <w:r>
        <w:rPr/>
        <w:t>(Vgl. Hoffmann, (2013), S. 172 f.)</w:t>
      </w:r>
      <w:r>
        <w:rPr/>
      </w:r>
      <w:r>
        <w:rPr/>
        <w:fldChar w:fldCharType="end"/>
      </w:r>
      <w:r>
        <w:rPr/>
        <w:t>.</w:t>
      </w:r>
    </w:p>
    <w:p>
      <w:pPr>
        <w:pStyle w:val="Grundtext"/>
        <w:rPr>
          <w:b/>
          <w:b/>
          <w:u w:val="single"/>
        </w:rPr>
      </w:pPr>
      <w:r>
        <w:rPr/>
        <w:t>Die in den Tests eingesetzten Methoden und Techniken sind das dritte Merkmal zur Klassifizierung der Software-Tests. Dabei werden die Software-Tests in drei Kategorien eingeteilt.</w:t>
      </w:r>
    </w:p>
    <w:p>
      <w:pPr>
        <w:pStyle w:val="Normal"/>
        <w:rPr>
          <w:i/>
          <w:i/>
          <w:szCs w:val="20"/>
        </w:rPr>
      </w:pPr>
      <w:r>
        <w:rPr>
          <w:i/>
          <w:szCs w:val="20"/>
        </w:rPr>
      </w:r>
      <w:r>
        <w:br w:type="page"/>
      </w:r>
    </w:p>
    <w:p>
      <w:pPr>
        <w:pStyle w:val="Grundtext"/>
        <w:rPr>
          <w:i/>
          <w:i/>
        </w:rPr>
      </w:pPr>
      <w:r>
        <w:rPr>
          <w:i/>
        </w:rPr>
        <w:t>Black-Box-Tests</w:t>
      </w:r>
    </w:p>
    <w:p>
      <w:pPr>
        <w:pStyle w:val="Grundtext"/>
        <w:rPr>
          <w:b/>
          <w:b/>
          <w:u w:val="single"/>
        </w:rPr>
      </w:pPr>
      <w:r>
        <w:rPr/>
        <w:t xml:space="preserve">In den Black-Box-Tests wird ausschließlich das Ein- und Ausgabeverhalten der Software geprüft. Die Testfälle werden anhand der Anforderungs- und Schnittstellenbeschreibung konstruiert. Die innere Code-Struktur wird nicht berücksichtigt </w:t>
      </w:r>
      <w:r>
        <w:fldChar w:fldCharType="begin"/>
      </w:r>
      <w:r>
        <w:rPr/>
        <w:instrText>ADDIN ZOTERO_ITEM CSL_CITATION {"citationID":"fa2fDzl9","properties":{"formattedCitation":"(Vgl. Hoffmann, (2013), S. 173 f.)","plainCitation":"(Vgl. Hoffmann, (2013), S. 173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w:instrText>
      </w:r>
      <w:r>
        <w:rPr/>
      </w:r>
      <w:r>
        <w:rPr/>
        <w:fldChar w:fldCharType="separate"/>
      </w:r>
      <w:r>
        <w:rPr/>
        <w:t>(Vgl. Hoffmann, (2013), S. 173 f.)</w:t>
      </w:r>
      <w:r>
        <w:rPr/>
      </w:r>
      <w:r>
        <w:rPr/>
        <w:fldChar w:fldCharType="end"/>
      </w:r>
      <w:r>
        <w:rPr/>
        <w:t>.</w:t>
      </w:r>
    </w:p>
    <w:p>
      <w:pPr>
        <w:pStyle w:val="Grundtext"/>
        <w:keepNext w:val="true"/>
        <w:jc w:val="center"/>
        <w:rPr>
          <w:b/>
          <w:b/>
          <w:u w:val="single"/>
        </w:rPr>
      </w:pPr>
      <w:r>
        <w:rPr/>
        <w:drawing>
          <wp:inline distT="0" distB="0" distL="0" distR="0">
            <wp:extent cx="1934210" cy="988695"/>
            <wp:effectExtent l="0" t="0" r="0" b="0"/>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22"/>
                    <a:stretch>
                      <a:fillRect/>
                    </a:stretch>
                  </pic:blipFill>
                  <pic:spPr bwMode="auto">
                    <a:xfrm>
                      <a:off x="0" y="0"/>
                      <a:ext cx="1934210" cy="988695"/>
                    </a:xfrm>
                    <a:prstGeom prst="rect">
                      <a:avLst/>
                    </a:prstGeom>
                  </pic:spPr>
                </pic:pic>
              </a:graphicData>
            </a:graphic>
          </wp:inline>
        </w:drawing>
      </w:r>
    </w:p>
    <w:p>
      <w:pPr>
        <w:pStyle w:val="GrafikQuelle"/>
        <w:rPr>
          <w:rStyle w:val="Grundzfett"/>
        </w:rPr>
      </w:pPr>
      <w:r>
        <w:rPr/>
        <w:t>(Quelle: Frühauf et al., 2007, S. 37)</w:t>
      </w:r>
    </w:p>
    <w:p>
      <w:pPr>
        <w:pStyle w:val="Abbildungstitel"/>
        <w:rPr>
          <w:b/>
          <w:b/>
          <w:u w:val="single"/>
        </w:rPr>
      </w:pPr>
      <w:bookmarkStart w:id="43" w:name="_Toc141868542"/>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6</w:t>
      </w:r>
      <w:r>
        <w:rPr>
          <w:rStyle w:val="Grundzfett"/>
        </w:rPr>
        <w:fldChar w:fldCharType="end"/>
      </w:r>
      <w:r>
        <w:rPr>
          <w:rStyle w:val="Grundzfett"/>
        </w:rPr>
        <w:t>:</w:t>
      </w:r>
      <w:r>
        <w:rPr/>
        <w:t xml:space="preserve"> Schematische Darstellung eines Black-Box-Tests</w:t>
      </w:r>
      <w:bookmarkEnd w:id="43"/>
    </w:p>
    <w:p>
      <w:pPr>
        <w:pStyle w:val="Grundtext"/>
        <w:rPr>
          <w:i/>
          <w:i/>
        </w:rPr>
      </w:pPr>
      <w:r>
        <w:rPr>
          <w:i/>
        </w:rPr>
        <w:t xml:space="preserve">White-Box-Tests </w:t>
      </w:r>
    </w:p>
    <w:p>
      <w:pPr>
        <w:pStyle w:val="Grundtext"/>
        <w:rPr>
          <w:b/>
          <w:b/>
          <w:u w:val="single"/>
        </w:rPr>
      </w:pPr>
      <w:r>
        <w:rPr/>
        <w:t xml:space="preserve">Für White-Box-Tests werden die Testfälle aus der inneren Programmstruktur abgeleitet. Dabei wird, abhängig nach welchem Aspekt der Programm-Code geprüft werden soll, in kontrollflussorientierten oder datenflussorientierten White-Box-Tests unterschieden </w:t>
      </w:r>
      <w:r>
        <w:fldChar w:fldCharType="begin"/>
      </w:r>
      <w:r>
        <w:rPr/>
        <w:instrText>ADDIN ZOTERO_ITEM CSL_CITATION {"citationID":"CDdamB3n","properties":{"formattedCitation":"(Vgl. Hoffmann, (2013), S. 174)","plainCitation":"(Vgl. Hoffmann, (2013), S. 174)","noteIndex":0},"citationItems":[{"id":"RLKPnpNr/hQCIgq06","uris":["http://zotero.org/users/10411486/items/8YYHRGCC"],"itemData":{"id":853,"type":"book","collection-title":"eXamen.press","event-place":"Berlin,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w:instrText>
      </w:r>
      <w:r>
        <w:rPr/>
      </w:r>
      <w:r>
        <w:rPr/>
        <w:fldChar w:fldCharType="separate"/>
      </w:r>
      <w:r>
        <w:rPr/>
        <w:t>(Vgl. Hoffmann, (2013), S. 174)</w:t>
      </w:r>
      <w:r>
        <w:rPr/>
      </w:r>
      <w:r>
        <w:rPr/>
        <w:fldChar w:fldCharType="end"/>
      </w:r>
      <w:r>
        <w:rPr/>
        <w:t>.</w:t>
      </w:r>
    </w:p>
    <w:p>
      <w:pPr>
        <w:pStyle w:val="Grundtext"/>
        <w:rPr>
          <w:i/>
          <w:i/>
        </w:rPr>
      </w:pPr>
      <w:r>
        <w:rPr>
          <w:i/>
        </w:rPr>
        <w:t xml:space="preserve">Gray-Box-Tests </w:t>
      </w:r>
    </w:p>
    <w:p>
      <w:pPr>
        <w:pStyle w:val="Grundtext"/>
        <w:rPr>
          <w:b/>
          <w:b/>
          <w:u w:val="single"/>
        </w:rPr>
      </w:pPr>
      <w:r>
        <w:rPr/>
        <w:t xml:space="preserve">In den Gray-Box-Tests sind die Testfälle anhand der Anforderungs- und Schnittstellenbeschreibung und der inneren Programmstruktur zu konstruieren </w:t>
      </w:r>
      <w:r>
        <w:fldChar w:fldCharType="begin"/>
      </w:r>
      <w:r>
        <w:rPr/>
        <w:instrText>ADDIN ZOTERO_ITEM CSL_CITATION {"citationID":"KRm602Ve","properties":{"formattedCitation":"(Vgl. Hoffmann, (2013), S. 174)","plainCitation":"(Vgl. Hoffmann, (2013), S. 174)","noteIndex":0},"citationItems":[{"id":"RLKPnpNr/hQCIgq06","uris":["http://zotero.org/users/10411486/items/8YYHRGCC"],"itemData":{"id":853,"type":"book","collection-title":"eXamen.press","event-place":"Berlin,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w:instrText>
      </w:r>
      <w:r>
        <w:rPr/>
      </w:r>
      <w:r>
        <w:rPr/>
        <w:fldChar w:fldCharType="separate"/>
      </w:r>
      <w:r>
        <w:rPr/>
        <w:t>(Vgl. Hoffmann, (2013), S. 174)</w:t>
      </w:r>
      <w:r>
        <w:rPr/>
      </w:r>
      <w:r>
        <w:rPr/>
        <w:fldChar w:fldCharType="end"/>
      </w:r>
      <w:r>
        <w:rPr/>
        <w:t>.</w:t>
      </w:r>
    </w:p>
    <w:p>
      <w:pPr>
        <w:pStyle w:val="Grundtext"/>
        <w:rPr>
          <w:b/>
          <w:b/>
          <w:u w:val="single"/>
        </w:rPr>
      </w:pPr>
      <w:r>
        <w:rPr/>
        <w:t>Der schematische Ablauf von Tests besteht aus den Phasen:</w:t>
      </w:r>
    </w:p>
    <w:p>
      <w:pPr>
        <w:pStyle w:val="Grundtext"/>
        <w:rPr>
          <w:i/>
          <w:i/>
          <w:iCs/>
        </w:rPr>
      </w:pPr>
      <w:r>
        <w:rPr>
          <w:i/>
          <w:iCs/>
        </w:rPr>
        <w:t>Testvorbereitung</w:t>
      </w:r>
    </w:p>
    <w:p>
      <w:pPr>
        <w:pStyle w:val="Grundtext"/>
        <w:rPr>
          <w:b/>
          <w:b/>
          <w:u w:val="single"/>
        </w:rPr>
      </w:pPr>
      <w:r>
        <w:rPr/>
        <w:t xml:space="preserve">In der Testvorbereitung werden die Testfälle ausgewählt, die Testumgebung eingerichtet und Testdaten bereitgestellt </w:t>
      </w:r>
      <w:r>
        <w:fldChar w:fldCharType="begin"/>
      </w:r>
      <w:r>
        <w:rPr/>
        <w:instrText>ADDIN ZOTERO_ITEM CSL_CITATION {"citationID":"QG0GvpwC","properties":{"formattedCitation":"(Vgl. Fr\\uc0\\u252{}hauf et al., (2007), S. 36 ff.)","plainCitation":"(Vgl. Frühauf et al., (2007), S. 36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w:instrText>
      </w:r>
      <w:r>
        <w:rPr/>
      </w:r>
      <w:r>
        <w:rPr/>
        <w:fldChar w:fldCharType="separate"/>
      </w:r>
      <w:r>
        <w:rPr/>
      </w:r>
      <w:r>
        <w:rPr>
          <w:szCs w:val="24"/>
        </w:rPr>
        <w:t>(Vgl. Frühauf et al., (2007), S. 36 ff.)</w:t>
      </w:r>
      <w:r>
        <w:rPr/>
      </w:r>
      <w:r>
        <w:rPr/>
        <w:fldChar w:fldCharType="end"/>
      </w:r>
      <w:r>
        <w:rPr/>
        <w:t xml:space="preserve">. Die Spezifikation der Testfälle, die Reihenfolge der auszuführenden Tests und das Vorgehen in den Tests sind in der Testvorschrift dokumentiert. Durch die Vorgaben in der Testvorschrift lassen sich die Aufwendungen reduzieren und die Durchführung der Tests wird transparent. Das ermöglicht den Testfall jederzeit mit denselben Einstellungen zu wiederholen und das dokumentierte Testergebnis nachzuvollziehen </w:t>
      </w:r>
      <w:r>
        <w:fldChar w:fldCharType="begin"/>
      </w:r>
      <w:r>
        <w:rPr/>
        <w:instrText>ADDIN ZOTERO_ITEM CSL_CITATION {"citationID":"2KJudSrU","properties":{"formattedCitation":"(Vgl. Fr\\uc0\\u252{}hauf et al., (2007), S. 36, 72)","plainCitation":"(Vgl. Frühauf et al., (2007), S. 36,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w:instrText>
      </w:r>
      <w:r>
        <w:rPr/>
      </w:r>
      <w:r>
        <w:rPr/>
        <w:fldChar w:fldCharType="separate"/>
      </w:r>
      <w:r>
        <w:rPr/>
      </w:r>
      <w:r>
        <w:rPr>
          <w:szCs w:val="24"/>
        </w:rPr>
        <w:t>(Vgl. Frühauf et al., (2007), S. 36, 72)</w:t>
      </w:r>
      <w:r>
        <w:rPr/>
      </w:r>
      <w:r>
        <w:rPr/>
        <w:fldChar w:fldCharType="end"/>
      </w:r>
      <w:r>
        <w:rPr/>
        <w:t>.</w:t>
      </w:r>
    </w:p>
    <w:p>
      <w:pPr>
        <w:pStyle w:val="Normal"/>
        <w:rPr>
          <w:szCs w:val="20"/>
        </w:rPr>
      </w:pPr>
      <w:r>
        <w:rPr>
          <w:szCs w:val="20"/>
        </w:rPr>
      </w:r>
      <w:r>
        <w:br w:type="page"/>
      </w:r>
    </w:p>
    <w:p>
      <w:pPr>
        <w:pStyle w:val="Grundtext"/>
        <w:rPr>
          <w:i/>
          <w:i/>
          <w:iCs/>
        </w:rPr>
      </w:pPr>
      <w:r>
        <w:rPr>
          <w:i/>
          <w:iCs/>
        </w:rPr>
        <w:t>Testausführung</w:t>
      </w:r>
    </w:p>
    <w:p>
      <w:pPr>
        <w:pStyle w:val="Grundtext"/>
        <w:rPr>
          <w:b/>
          <w:b/>
          <w:u w:val="single"/>
        </w:rPr>
      </w:pPr>
      <w:r>
        <w:rPr/>
        <w:t xml:space="preserve">Während dieser Phase führt der Tester die spezifizierten Testfälle nach den Testvorgaben in der Testvorschrift aus und dokumentiert die Durchführung im Testbericht </w:t>
      </w:r>
      <w:r>
        <w:fldChar w:fldCharType="begin"/>
      </w:r>
      <w:r>
        <w:rPr/>
        <w:instrText>ADDIN ZOTERO_ITEM CSL_CITATION {"citationID":"3wirK3vT","properties":{"formattedCitation":"(Vgl. Fr\\uc0\\u252{}hauf et al., (2007), S. 36 ff.)","plainCitation":"(Vgl. Frühauf et al., (2007), S. 36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w:instrText>
      </w:r>
      <w:r>
        <w:rPr/>
      </w:r>
      <w:r>
        <w:rPr/>
        <w:fldChar w:fldCharType="separate"/>
      </w:r>
      <w:r>
        <w:rPr/>
      </w:r>
      <w:r>
        <w:rPr>
          <w:szCs w:val="24"/>
        </w:rPr>
        <w:t>(Vgl. Frühauf et al., (2007), S. 36 ff.)</w:t>
      </w:r>
      <w:r>
        <w:rPr/>
      </w:r>
      <w:r>
        <w:rPr/>
        <w:fldChar w:fldCharType="end"/>
      </w:r>
      <w:r>
        <w:rPr/>
        <w:t xml:space="preserve">. </w:t>
      </w:r>
    </w:p>
    <w:p>
      <w:pPr>
        <w:pStyle w:val="Grundtext"/>
        <w:rPr>
          <w:i/>
          <w:i/>
          <w:iCs/>
        </w:rPr>
      </w:pPr>
      <w:r>
        <w:rPr>
          <w:i/>
          <w:iCs/>
        </w:rPr>
        <w:t>Testauswertung</w:t>
      </w:r>
    </w:p>
    <w:p>
      <w:pPr>
        <w:pStyle w:val="Grundtext"/>
        <w:rPr>
          <w:b/>
          <w:b/>
          <w:u w:val="single"/>
        </w:rPr>
      </w:pPr>
      <w:r>
        <w:rPr/>
        <w:t>Diese Phase dient der Identifizierung von Soll</w:t>
        <w:noBreakHyphen/>
        <w:t xml:space="preserve"> / Ist</w:t>
        <w:noBreakHyphen/>
        <w:t xml:space="preserve">Abweichungen. Diese werden als Fehler im Testbericht dokumentiert </w:t>
      </w:r>
      <w:r>
        <w:fldChar w:fldCharType="begin"/>
      </w:r>
      <w:r>
        <w:rPr/>
        <w:instrText>ADDIN ZOTERO_ITEM CSL_CITATION {"citationID":"dZ6ktx7G","properties":{"formattedCitation":"(Vgl. Fr\\uc0\\u252{}hauf et al., (2007), S. 36)","plainCitation":"(Vgl. Frühauf et al., (2007), S. 36)","noteIndex":0},"citationItems":[{"id":"RLKPnpNr/rImEIoVq","uris":["http://zotero.org/users/10411486/items/Z569UKYQ"],"itemData":{"id":860,"type":"book","edition":"6.","publisher":"vdf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w:instrText>
      </w:r>
      <w:r>
        <w:rPr/>
      </w:r>
      <w:r>
        <w:rPr/>
        <w:fldChar w:fldCharType="separate"/>
      </w:r>
      <w:r>
        <w:rPr/>
      </w:r>
      <w:r>
        <w:rPr>
          <w:szCs w:val="24"/>
        </w:rPr>
        <w:t>(Vgl. Frühauf et al., (2007), S. 36)</w:t>
      </w:r>
      <w:r>
        <w:rPr/>
      </w:r>
      <w:r>
        <w:rPr/>
        <w:fldChar w:fldCharType="end"/>
      </w:r>
      <w:r>
        <w:rPr/>
        <w:t>.</w:t>
      </w:r>
    </w:p>
    <w:p>
      <w:pPr>
        <w:pStyle w:val="Grundtext"/>
        <w:keepNext w:val="true"/>
        <w:jc w:val="center"/>
        <w:rPr>
          <w:b/>
          <w:b/>
          <w:u w:val="single"/>
        </w:rPr>
      </w:pPr>
      <w:r>
        <w:rPr/>
        <w:drawing>
          <wp:inline distT="0" distB="0" distL="0" distR="0">
            <wp:extent cx="4119245" cy="2606675"/>
            <wp:effectExtent l="0" t="0" r="0" b="0"/>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23"/>
                    <a:stretch>
                      <a:fillRect/>
                    </a:stretch>
                  </pic:blipFill>
                  <pic:spPr bwMode="auto">
                    <a:xfrm>
                      <a:off x="0" y="0"/>
                      <a:ext cx="4119245" cy="2606675"/>
                    </a:xfrm>
                    <a:prstGeom prst="rect">
                      <a:avLst/>
                    </a:prstGeom>
                  </pic:spPr>
                </pic:pic>
              </a:graphicData>
            </a:graphic>
          </wp:inline>
        </w:drawing>
      </w:r>
    </w:p>
    <w:p>
      <w:pPr>
        <w:pStyle w:val="GrafikQuelle"/>
        <w:rPr>
          <w:rStyle w:val="Grundzfett"/>
        </w:rPr>
      </w:pPr>
      <w:r>
        <w:rPr/>
        <w:t>(Quelle: Frühauf et al., 2007, S. 37)</w:t>
      </w:r>
    </w:p>
    <w:p>
      <w:pPr>
        <w:pStyle w:val="Abbildungstitel"/>
        <w:rPr>
          <w:b/>
          <w:b/>
          <w:u w:val="single"/>
        </w:rPr>
      </w:pPr>
      <w:bookmarkStart w:id="44" w:name="_Toc141868543"/>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7</w:t>
      </w:r>
      <w:r>
        <w:rPr>
          <w:rStyle w:val="Grundzfett"/>
        </w:rPr>
        <w:fldChar w:fldCharType="end"/>
      </w:r>
      <w:r>
        <w:rPr>
          <w:rStyle w:val="Grundzfett"/>
        </w:rPr>
        <w:t>:</w:t>
      </w:r>
      <w:r>
        <w:rPr/>
        <w:t xml:space="preserve"> Schematischer Testablauf</w:t>
      </w:r>
      <w:bookmarkEnd w:id="44"/>
    </w:p>
    <w:p>
      <w:pPr>
        <w:pStyle w:val="Grundtext"/>
        <w:rPr>
          <w:b/>
          <w:b/>
          <w:u w:val="single"/>
        </w:rPr>
      </w:pPr>
      <w:r>
        <w:rPr/>
        <w:t>Nach der theoretischen Einführung wird folgend die Durchführung der Tests zur Software „Progress Monitor“ beschrieben. Die Beschreibung beschränkt sich auf die Systemtests, da die Unit-Tests bereits in der Implementierung entwickelt und automatisiert ausgeführt wurden. Die Durchführung der Systemtests erfolgte als Funktionstest und in Form von Black-Box-Tests, in welchen das Ein- und Ausgabeverhalten der Software geprüft wird.</w:t>
      </w:r>
    </w:p>
    <w:p>
      <w:pPr>
        <w:pStyle w:val="Berschrift2"/>
        <w:rPr>
          <w:b/>
          <w:b/>
          <w:u w:val="single"/>
        </w:rPr>
      </w:pPr>
      <w:bookmarkStart w:id="45" w:name="_Toc141868480"/>
      <w:r>
        <w:rPr/>
        <w:t>Testvorbereitung</w:t>
      </w:r>
      <w:bookmarkEnd w:id="45"/>
    </w:p>
    <w:p>
      <w:pPr>
        <w:pStyle w:val="Grundtext"/>
        <w:rPr>
          <w:b/>
          <w:b/>
          <w:u w:val="single"/>
        </w:rPr>
      </w:pPr>
      <w:r>
        <w:rPr/>
        <w:t>In der Testvorbereitung wurden zunächst die Testfälle und die Durchführung der Tests in der Testvorschrift (Dokument „TSpec-Doc 1/001“ vom 25.07.2023) dokumentiert.</w:t>
      </w:r>
      <w:r>
        <w:rPr/>
        <w:commentReference w:id="26"/>
      </w:r>
      <w:r>
        <w:rPr/>
        <w:t xml:space="preserve"> Diese beschreibt die Spezifikation der Testfälle gemäß den Anforderungen aus der Anforderungsanalyse, die Reihenfolge der Tests und die Anweisungen zur Vorbereitung des Testgeschirrs sowie zur Testausführung.</w:t>
      </w:r>
    </w:p>
    <w:p>
      <w:pPr>
        <w:pStyle w:val="Grundtext"/>
        <w:rPr>
          <w:b/>
          <w:b/>
          <w:u w:val="single"/>
        </w:rPr>
      </w:pPr>
      <w:r>
        <w:rPr/>
        <w:t xml:space="preserve">Die in der Testvorschrift beschriebenen Testfälle enthalten die Bezeichnung und den Zweck zum Testfall, die Beschreibung des Anfangszustands und der Testumgebung zum Testbeginn sowie die Anweisungen zu den erforderlichen Eingaben und zur Testdurchführung. Ferner sind in der Testvorschrift die erwartete Ausgabe bzw. das erwartete Verhalten des Programms festzuhalten </w:t>
      </w:r>
      <w:r>
        <w:fldChar w:fldCharType="begin"/>
      </w:r>
      <w:r>
        <w:rPr/>
        <w:instrText>ADDIN ZOTERO_ITEM CSL_CITATION {"citationID":"Dyh1ylyE","properties":{"formattedCitation":"(Vgl. Fr\\uc0\\u252{}hauf et al., (2007), S. 38, 71)","plainCitation":"(Vgl. Frühauf et al., (2007), S. 38,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w:instrText>
      </w:r>
      <w:r>
        <w:rPr/>
      </w:r>
      <w:r>
        <w:rPr/>
        <w:fldChar w:fldCharType="separate"/>
      </w:r>
      <w:r>
        <w:rPr/>
      </w:r>
      <w:r>
        <w:rPr>
          <w:szCs w:val="24"/>
        </w:rPr>
        <w:t>(Vgl. Frühauf et al., (2007), S. 38, 71)</w:t>
      </w:r>
      <w:r>
        <w:rPr/>
      </w:r>
      <w:r>
        <w:rPr/>
        <w:fldChar w:fldCharType="end"/>
      </w:r>
      <w:r>
        <w:rPr/>
        <w:t>.</w:t>
      </w:r>
    </w:p>
    <w:p>
      <w:pPr>
        <w:pStyle w:val="Grundtext"/>
        <w:rPr>
          <w:b/>
          <w:b/>
          <w:u w:val="single"/>
        </w:rPr>
      </w:pPr>
      <w:r>
        <w:rPr/>
        <w:t xml:space="preserve">In der Testvorschrift ist jeder Testfall einer Testsequenz zugewiesen. Testsequenzen strukturieren die Testvorschrift, reduzieren den Aufwand und dienen der zielorientierten und effizienten Durchführung der Tests. Eine Testsequenz besteht aus einem oder mehreren Testfällen und ist in der Testvorschrift einem Testabschnitt zugewiesen. In einer Testsequenz sind die Testfälle in funktioneller Reihenfolge angeordnet, so dass jeder Testfall die Voraussetzungen für den nachfolgenden erfüllt </w:t>
      </w:r>
      <w:r>
        <w:fldChar w:fldCharType="begin"/>
      </w:r>
      <w:r>
        <w:rPr/>
        <w:instrText>ADDIN ZOTERO_ITEM CSL_CITATION {"citationID":"6yrpHqxV","properties":{"formattedCitation":"(Vgl. Fr\\uc0\\u252{}hauf et al., (2007), S. 69 ff.)","plainCitation":"(Vgl. Frühauf et al., (2007), S. 69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w:instrText>
      </w:r>
      <w:r>
        <w:rPr/>
      </w:r>
      <w:r>
        <w:rPr/>
        <w:fldChar w:fldCharType="separate"/>
      </w:r>
      <w:r>
        <w:rPr/>
      </w:r>
      <w:r>
        <w:rPr>
          <w:szCs w:val="24"/>
        </w:rPr>
        <w:t>(Vgl. Frühauf et al., (2007), S. 69 ff.)</w:t>
      </w:r>
      <w:r>
        <w:rPr/>
      </w:r>
      <w:r>
        <w:rPr/>
        <w:fldChar w:fldCharType="end"/>
      </w:r>
      <w:r>
        <w:rPr/>
        <w:t>.</w:t>
      </w:r>
    </w:p>
    <w:p>
      <w:pPr>
        <w:pStyle w:val="Grundtext"/>
        <w:rPr>
          <w:b/>
          <w:b/>
          <w:u w:val="single"/>
        </w:rPr>
      </w:pPr>
      <w:r>
        <w:rPr/>
        <w:t>Nach der Definition und Beschreibung der Testfälle in der Testvorschrift konnte die Testumgebung eingerichtet und die Software für die Tests bereitgestellt werden. Dazu wurden auf dem Testsystem die in der folgenden Tabelle genannten Programme installiert.</w:t>
      </w:r>
    </w:p>
    <w:p>
      <w:pPr>
        <w:pStyle w:val="Tabellentitel"/>
        <w:rPr>
          <w:b/>
          <w:b/>
          <w:u w:val="single"/>
        </w:rPr>
      </w:pPr>
      <w:bookmarkStart w:id="46" w:name="_Toc141868562"/>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4</w:t>
      </w:r>
      <w:r>
        <w:rPr>
          <w:rStyle w:val="Grundzfett"/>
        </w:rPr>
        <w:fldChar w:fldCharType="end"/>
      </w:r>
      <w:r>
        <w:rPr>
          <w:rStyle w:val="Grundzfett"/>
        </w:rPr>
        <w:t>:</w:t>
      </w:r>
      <w:r>
        <w:rPr/>
        <w:t xml:space="preserve"> Übersicht über die zu installierenden Programme</w:t>
      </w:r>
      <w:bookmarkEnd w:id="46"/>
    </w:p>
    <w:tbl>
      <w:tblPr>
        <w:tblW w:w="886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7"/>
        <w:gridCol w:w="1984"/>
        <w:gridCol w:w="2552"/>
        <w:gridCol w:w="3826"/>
      </w:tblGrid>
      <w:tr>
        <w:trPr/>
        <w:tc>
          <w:tcPr>
            <w:tcW w:w="497"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Nr.</w:t>
            </w:r>
          </w:p>
        </w:tc>
        <w:tc>
          <w:tcPr>
            <w:tcW w:w="198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Programm</w:t>
            </w:r>
          </w:p>
        </w:tc>
        <w:tc>
          <w:tcPr>
            <w:tcW w:w="255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Version</w:t>
            </w:r>
          </w:p>
        </w:tc>
        <w:tc>
          <w:tcPr>
            <w:tcW w:w="382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Zweck</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2" w:hanging="75"/>
              <w:rPr>
                <w:b/>
                <w:b/>
                <w:u w:val="single"/>
              </w:rPr>
            </w:pPr>
            <w:r>
              <w:rPr>
                <w:b/>
                <w:u w:val="single"/>
              </w:rPr>
            </w:r>
          </w:p>
        </w:tc>
        <w:tc>
          <w:tcPr>
            <w:tcW w:w="198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rStyle w:val="GrundzkeineSprache"/>
              </w:rPr>
              <w:t>Apache Tomcat</w:t>
            </w:r>
          </w:p>
        </w:tc>
        <w:tc>
          <w:tcPr>
            <w:tcW w:w="255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7.0</w:t>
            </w:r>
          </w:p>
        </w:tc>
        <w:tc>
          <w:tcPr>
            <w:tcW w:w="382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rStyle w:val="GrundzkeineSprache"/>
              </w:rPr>
              <w:t>stellt die Dienste des Webservers für Java-Programme zur Verfügung</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2" w:hanging="75"/>
              <w:rPr>
                <w:b/>
                <w:b/>
                <w:u w:val="single"/>
              </w:rPr>
            </w:pPr>
            <w:r>
              <w:rPr>
                <w:b/>
                <w:u w:val="single"/>
              </w:rPr>
            </w:r>
          </w:p>
        </w:tc>
        <w:tc>
          <w:tcPr>
            <w:tcW w:w="198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keineSprache"/>
              </w:rPr>
            </w:pPr>
            <w:r>
              <w:rPr>
                <w:rStyle w:val="GrundzkeineSprache"/>
              </w:rPr>
              <w:t>Java</w:t>
            </w:r>
          </w:p>
          <w:p>
            <w:pPr>
              <w:pStyle w:val="Tabellentext"/>
              <w:widowControl w:val="false"/>
              <w:spacing w:before="40" w:after="40"/>
              <w:rPr>
                <w:b/>
                <w:b/>
                <w:u w:val="single"/>
              </w:rPr>
            </w:pPr>
            <w:r>
              <w:rPr>
                <w:rStyle w:val="GrundzkeineSprache"/>
              </w:rPr>
              <w:t>inklusive JDK, JRE</w:t>
            </w:r>
          </w:p>
        </w:tc>
        <w:tc>
          <w:tcPr>
            <w:tcW w:w="255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8.0</w:t>
            </w:r>
          </w:p>
        </w:tc>
        <w:tc>
          <w:tcPr>
            <w:tcW w:w="382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Bereitstellen des JDK und der JRE</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2" w:hanging="75"/>
              <w:rPr>
                <w:b/>
                <w:b/>
                <w:u w:val="single"/>
              </w:rPr>
            </w:pPr>
            <w:r>
              <w:rPr>
                <w:b/>
                <w:u w:val="single"/>
              </w:rPr>
            </w:r>
          </w:p>
        </w:tc>
        <w:tc>
          <w:tcPr>
            <w:tcW w:w="198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rStyle w:val="GrundzkeineSprache"/>
              </w:rPr>
              <w:t>MySQL</w:t>
            </w:r>
          </w:p>
        </w:tc>
        <w:tc>
          <w:tcPr>
            <w:tcW w:w="255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Version 5.0.45-community-nt</w:t>
            </w:r>
          </w:p>
        </w:tc>
        <w:tc>
          <w:tcPr>
            <w:tcW w:w="382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rStyle w:val="GrundzkeineSprache"/>
              </w:rPr>
              <w:t>RDBMS für die Software</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2" w:hanging="75"/>
              <w:rPr>
                <w:b/>
                <w:b/>
                <w:u w:val="single"/>
              </w:rPr>
            </w:pPr>
            <w:r>
              <w:rPr>
                <w:b/>
                <w:u w:val="single"/>
              </w:rPr>
            </w:r>
          </w:p>
        </w:tc>
        <w:tc>
          <w:tcPr>
            <w:tcW w:w="198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keineSprache"/>
              </w:rPr>
            </w:pPr>
            <w:r>
              <w:rPr>
                <w:rStyle w:val="GrundzkeineSprache"/>
              </w:rPr>
              <w:t>Progress Monitor</w:t>
            </w:r>
          </w:p>
        </w:tc>
        <w:tc>
          <w:tcPr>
            <w:tcW w:w="255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Version: 12 Build: dev: 2023-07-06 </w:t>
              <w:tab/>
              <w:t>Development version</w:t>
            </w:r>
          </w:p>
        </w:tc>
        <w:tc>
          <w:tcPr>
            <w:tcW w:w="3826" w:type="dxa"/>
            <w:tcBorders>
              <w:top w:val="single" w:sz="4" w:space="0" w:color="000000"/>
              <w:left w:val="single" w:sz="4" w:space="0" w:color="000000"/>
              <w:bottom w:val="single" w:sz="4" w:space="0" w:color="000000"/>
            </w:tcBorders>
          </w:tcPr>
          <w:p>
            <w:pPr>
              <w:pStyle w:val="Tabellentext"/>
              <w:widowControl w:val="false"/>
              <w:spacing w:before="40" w:after="40"/>
              <w:rPr>
                <w:rStyle w:val="GrundzkeineSprache"/>
              </w:rPr>
            </w:pPr>
            <w:r>
              <w:rPr>
                <w:rStyle w:val="GrundzkeineSprache"/>
              </w:rPr>
              <w:t>Programm zur Überwachung und Kontrolle der Datenkonvertierung</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2" w:hanging="75"/>
              <w:rPr>
                <w:b/>
                <w:b/>
                <w:u w:val="single"/>
              </w:rPr>
            </w:pPr>
            <w:r>
              <w:rPr>
                <w:b/>
                <w:u w:val="single"/>
              </w:rPr>
            </w:r>
          </w:p>
        </w:tc>
        <w:tc>
          <w:tcPr>
            <w:tcW w:w="1984"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keineSprache"/>
              </w:rPr>
            </w:pPr>
            <w:r>
              <w:rPr>
                <w:rStyle w:val="GrundzkeineSprache"/>
              </w:rPr>
              <w:t>Daten-Konverter</w:t>
            </w:r>
          </w:p>
        </w:tc>
        <w:tc>
          <w:tcPr>
            <w:tcW w:w="255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Version: 3.3</w:t>
            </w:r>
          </w:p>
        </w:tc>
        <w:tc>
          <w:tcPr>
            <w:tcW w:w="3826" w:type="dxa"/>
            <w:tcBorders>
              <w:top w:val="single" w:sz="4" w:space="0" w:color="000000"/>
              <w:left w:val="single" w:sz="4" w:space="0" w:color="000000"/>
              <w:bottom w:val="single" w:sz="4" w:space="0" w:color="000000"/>
            </w:tcBorders>
          </w:tcPr>
          <w:p>
            <w:pPr>
              <w:pStyle w:val="Tabellentext"/>
              <w:widowControl w:val="false"/>
              <w:spacing w:before="40" w:after="40"/>
              <w:rPr>
                <w:rStyle w:val="GrundzkeineSprache"/>
              </w:rPr>
            </w:pPr>
            <w:r>
              <w:rPr>
                <w:rStyle w:val="GrundzkeineSprache"/>
              </w:rPr>
              <w:t>Programm für die Datenkonvertierung</w:t>
            </w:r>
          </w:p>
        </w:tc>
      </w:tr>
    </w:tbl>
    <w:p>
      <w:pPr>
        <w:pStyle w:val="Grundtext"/>
        <w:rPr>
          <w:b/>
          <w:b/>
          <w:u w:val="single"/>
        </w:rPr>
      </w:pPr>
      <w:r>
        <w:rPr>
          <w:b/>
          <w:u w:val="single"/>
        </w:rPr>
      </w:r>
    </w:p>
    <w:p>
      <w:pPr>
        <w:pStyle w:val="Grundtext"/>
        <w:rPr>
          <w:b/>
          <w:b/>
          <w:u w:val="single"/>
        </w:rPr>
      </w:pPr>
      <w:r>
        <w:rPr/>
        <w:t xml:space="preserve">Die Einrichtung der Testumgebung und Bereitstellung der Software „Progress Monitor“ erforderten auch die Konfiguration der für den </w:t>
      </w:r>
      <w:bookmarkStart w:id="47" w:name="_Hlk141431629"/>
      <w:r>
        <w:rPr/>
        <w:t>Webserver Apache Tomcat</w:t>
      </w:r>
      <w:bookmarkEnd w:id="47"/>
      <w:r>
        <w:rPr/>
        <w:t xml:space="preserve"> benötigten </w:t>
      </w:r>
      <w:bookmarkStart w:id="48" w:name="_Hlk141431582"/>
      <w:r>
        <w:rPr/>
        <w:t>Umgebungsvariablen und die Installation der Programmdateien. Die Umgebungsvariablen waren als Systemvariablen des Betriebssystem</w:t>
      </w:r>
      <w:bookmarkEnd w:id="48"/>
      <w:r>
        <w:rPr/>
        <w:t>s einzutragen.</w:t>
      </w:r>
    </w:p>
    <w:p>
      <w:pPr>
        <w:pStyle w:val="Grundtext"/>
        <w:keepNext w:val="true"/>
        <w:jc w:val="center"/>
        <w:rPr>
          <w:b/>
          <w:b/>
          <w:u w:val="single"/>
        </w:rPr>
      </w:pPr>
      <w:r>
        <w:rPr/>
        <mc:AlternateContent>
          <mc:Choice Requires="wps">
            <w:drawing>
              <wp:inline distT="0" distB="0" distL="0" distR="0" wp14:anchorId="0DD75600">
                <wp:extent cx="2308860" cy="2649855"/>
                <wp:effectExtent l="0" t="0" r="0" b="0"/>
                <wp:docPr id="9" name="Form1"/>
                <a:graphic xmlns:a="http://schemas.openxmlformats.org/drawingml/2006/main">
                  <a:graphicData uri="http://schemas.openxmlformats.org/drawingml/2006/picture">
                    <pic:pic xmlns:pic="http://schemas.openxmlformats.org/drawingml/2006/picture">
                      <pic:nvPicPr>
                        <pic:cNvPr id="0" name="Form1" descr=""/>
                        <pic:cNvPicPr/>
                      </pic:nvPicPr>
                      <pic:blipFill>
                        <a:blip r:embed="rId24"/>
                        <a:stretch/>
                      </pic:blipFill>
                      <pic:spPr>
                        <a:xfrm flipH="1" rot="10800000">
                          <a:off x="0" y="0"/>
                          <a:ext cx="2308320" cy="26492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orm1" stroked="f" style="position:absolute;margin-left:0pt;margin-top:-208.65pt;width:181.7pt;height:208.55pt;mso-wrap-style:none;v-text-anchor:middle;rotation:180;mso-position-vertical:top" wp14:anchorId="0DD75600" type="shapetype_75">
                <v:imagedata r:id="rId25" o:detectmouseclick="t"/>
                <v:stroke color="#3465a4" joinstyle="round" endcap="flat"/>
                <w10:wrap type="square"/>
              </v:shape>
            </w:pict>
          </mc:Fallback>
        </mc:AlternateContent>
      </w:r>
    </w:p>
    <w:p>
      <w:pPr>
        <w:pStyle w:val="GrafikQuelle"/>
        <w:rPr>
          <w:b/>
          <w:b/>
          <w:u w:val="single"/>
        </w:rPr>
      </w:pPr>
      <w:r>
        <w:rPr/>
        <w:t>(Quelle: Softzoll GmbH &amp; Co. KG, 2023)</w:t>
      </w:r>
    </w:p>
    <w:p>
      <w:pPr>
        <w:pStyle w:val="Abbildungstitel"/>
        <w:rPr>
          <w:b/>
          <w:b/>
          <w:u w:val="single"/>
        </w:rPr>
      </w:pPr>
      <w:bookmarkStart w:id="49" w:name="_Toc141868544"/>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8</w:t>
      </w:r>
      <w:r>
        <w:rPr>
          <w:rStyle w:val="Grundzfett"/>
        </w:rPr>
        <w:fldChar w:fldCharType="end"/>
      </w:r>
      <w:r>
        <w:rPr>
          <w:rStyle w:val="Grundzfett"/>
        </w:rPr>
        <w:t>:</w:t>
      </w:r>
      <w:r>
        <w:rPr/>
        <w:t xml:space="preserve"> Einrichten der Umgebungsvariablen im Betriebssystem des Web-Servers</w:t>
      </w:r>
      <w:bookmarkEnd w:id="49"/>
      <w:r>
        <w:rPr/>
        <w:commentReference w:id="27"/>
      </w:r>
    </w:p>
    <w:p>
      <w:pPr>
        <w:pStyle w:val="Grundtext"/>
        <w:rPr>
          <w:b/>
          <w:b/>
          <w:u w:val="single"/>
        </w:rPr>
      </w:pPr>
      <w:r>
        <w:rPr/>
        <w:t>Für die verschlüsselte Kommunikation wurde im Anschluss das serverseitige SSL-Zertifikat installiert.</w:t>
      </w:r>
    </w:p>
    <w:p>
      <w:pPr>
        <w:pStyle w:val="Grundtext"/>
        <w:rPr>
          <w:b/>
          <w:b/>
          <w:u w:val="single"/>
        </w:rPr>
      </w:pPr>
      <w:bookmarkStart w:id="50" w:name="_Hlk141431658"/>
      <w:r>
        <w:rPr/>
        <w:t xml:space="preserve">Mit der Installation der Datenbankobjekte und der Softwarekonfiguration </w:t>
      </w:r>
      <w:bookmarkEnd w:id="50"/>
      <w:r>
        <w:rPr/>
        <w:t xml:space="preserve">war die Einrichtung abgeschlossen </w:t>
      </w:r>
      <w:r>
        <w:fldChar w:fldCharType="begin"/>
      </w:r>
      <w:r>
        <w:rPr/>
        <w:instrText>ADDIN ZOTERO_ITEM CSL_CITATION {"citationID":"mHAiqyV3","properties":{"formattedCitation":"(Vgl. Bayer, (2023), S. 1 ff.)","plainCitation":"(Vgl. Bayer, (2023), S. 1 ff.)","noteIndex":0},"citationItems":[{"id":"RLKPnpNr/kGOR1oLo","uris":["http://zotero.org/users/10411486/items/L7FM4JFN"],"itemData":{"id":863,"type":"document","language":"de","publisher":"Softzoll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w:instrText>
      </w:r>
      <w:r>
        <w:rPr/>
      </w:r>
      <w:r>
        <w:rPr/>
        <w:fldChar w:fldCharType="separate"/>
      </w:r>
      <w:r>
        <w:rPr/>
        <w:t>(Vgl. Bayer, (2023), S. 1 ff.)</w:t>
      </w:r>
      <w:r>
        <w:rPr/>
      </w:r>
      <w:r>
        <w:rPr/>
        <w:fldChar w:fldCharType="end"/>
      </w:r>
      <w:r>
        <w:rPr/>
        <w:t>.</w:t>
      </w:r>
    </w:p>
    <w:p>
      <w:pPr>
        <w:pStyle w:val="Grundtext"/>
        <w:rPr>
          <w:b/>
          <w:b/>
          <w:u w:val="single"/>
        </w:rPr>
      </w:pPr>
      <w:r>
        <w:rPr/>
        <w:t>Nach der Installation des Web-Servers und der Bereitstellung der Software „Progress Monitor“ sollten im Programm gemäß den Vorgaben aus der Testvorschrift ein Mandant und jeweils ein Benutzer mit der Benutzerrolle „Super-Administrator“, „Administrator“ und „Benutzer“ angelegt werden. Diese waren für die Überprüfung der Zugriffsrechte auf Mandanten und Programmkomponenten erforderlich.</w:t>
      </w:r>
    </w:p>
    <w:p>
      <w:pPr>
        <w:pStyle w:val="Grundtext"/>
        <w:keepNext w:val="true"/>
        <w:jc w:val="center"/>
        <w:rPr>
          <w:b/>
          <w:b/>
          <w:u w:val="single"/>
        </w:rPr>
      </w:pPr>
      <w:r>
        <w:rPr/>
        <w:drawing>
          <wp:inline distT="0" distB="0" distL="0" distR="0">
            <wp:extent cx="2764155" cy="1337945"/>
            <wp:effectExtent l="0" t="0" r="0" b="0"/>
            <wp:docPr id="1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6" descr=""/>
                    <pic:cNvPicPr>
                      <a:picLocks noChangeAspect="1" noChangeArrowheads="1"/>
                    </pic:cNvPicPr>
                  </pic:nvPicPr>
                  <pic:blipFill>
                    <a:blip r:embed="rId26"/>
                    <a:stretch>
                      <a:fillRect/>
                    </a:stretch>
                  </pic:blipFill>
                  <pic:spPr bwMode="auto">
                    <a:xfrm>
                      <a:off x="0" y="0"/>
                      <a:ext cx="2764155" cy="1337945"/>
                    </a:xfrm>
                    <a:prstGeom prst="rect">
                      <a:avLst/>
                    </a:prstGeom>
                  </pic:spPr>
                </pic:pic>
              </a:graphicData>
            </a:graphic>
          </wp:inline>
        </w:drawing>
      </w:r>
    </w:p>
    <w:p>
      <w:pPr>
        <w:pStyle w:val="GrafikQuelle"/>
        <w:rPr>
          <w:b/>
          <w:b/>
          <w:u w:val="single"/>
        </w:rPr>
      </w:pPr>
      <w:r>
        <w:rPr/>
        <w:t>(Quelle: Softzoll GmbH &amp; Co. KG, 2023)</w:t>
      </w:r>
    </w:p>
    <w:p>
      <w:pPr>
        <w:pStyle w:val="Abbildungstitel"/>
        <w:rPr>
          <w:b/>
          <w:b/>
          <w:u w:val="single"/>
        </w:rPr>
      </w:pPr>
      <w:bookmarkStart w:id="51" w:name="_Toc141868545"/>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9</w:t>
      </w:r>
      <w:r>
        <w:rPr>
          <w:rStyle w:val="Grundzfett"/>
        </w:rPr>
        <w:fldChar w:fldCharType="end"/>
      </w:r>
      <w:r>
        <w:rPr>
          <w:rStyle w:val="Grundzfett"/>
        </w:rPr>
        <w:t xml:space="preserve">: </w:t>
      </w:r>
      <w:r>
        <w:rPr/>
        <w:t>Progress Monitor: Mandantenanalage im "Progress Monitor"</w:t>
      </w:r>
      <w:bookmarkEnd w:id="51"/>
      <w:r>
        <w:rPr/>
        <w:commentReference w:id="28"/>
      </w:r>
    </w:p>
    <w:p>
      <w:pPr>
        <w:pStyle w:val="Grundtext"/>
        <w:keepNext w:val="true"/>
        <w:jc w:val="center"/>
        <w:rPr>
          <w:b/>
          <w:b/>
          <w:u w:val="single"/>
        </w:rPr>
      </w:pPr>
      <w:r>
        <w:rPr/>
        <w:drawing>
          <wp:inline distT="0" distB="0" distL="0" distR="0">
            <wp:extent cx="2700020" cy="2696210"/>
            <wp:effectExtent l="0" t="0" r="0" b="0"/>
            <wp:docPr id="1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 descr=""/>
                    <pic:cNvPicPr>
                      <a:picLocks noChangeAspect="1" noChangeArrowheads="1"/>
                    </pic:cNvPicPr>
                  </pic:nvPicPr>
                  <pic:blipFill>
                    <a:blip r:embed="rId27"/>
                    <a:stretch>
                      <a:fillRect/>
                    </a:stretch>
                  </pic:blipFill>
                  <pic:spPr bwMode="auto">
                    <a:xfrm>
                      <a:off x="0" y="0"/>
                      <a:ext cx="2700020" cy="2696210"/>
                    </a:xfrm>
                    <a:prstGeom prst="rect">
                      <a:avLst/>
                    </a:prstGeom>
                  </pic:spPr>
                </pic:pic>
              </a:graphicData>
            </a:graphic>
          </wp:inline>
        </w:drawing>
      </w:r>
    </w:p>
    <w:p>
      <w:pPr>
        <w:pStyle w:val="GrafikQuelle"/>
        <w:rPr>
          <w:b/>
          <w:b/>
          <w:u w:val="single"/>
        </w:rPr>
      </w:pPr>
      <w:r>
        <w:rPr/>
        <w:t>(Quelle: Softzoll GmbH &amp; Co. KG, 2023)</w:t>
      </w:r>
    </w:p>
    <w:p>
      <w:pPr>
        <w:pStyle w:val="Abbildungstitel"/>
        <w:rPr>
          <w:b/>
          <w:b/>
          <w:u w:val="single"/>
        </w:rPr>
      </w:pPr>
      <w:bookmarkStart w:id="52" w:name="_Toc141868546"/>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10</w:t>
      </w:r>
      <w:r>
        <w:rPr>
          <w:rStyle w:val="Grundzfett"/>
        </w:rPr>
        <w:fldChar w:fldCharType="end"/>
      </w:r>
      <w:r>
        <w:rPr>
          <w:rStyle w:val="Grundzfett"/>
        </w:rPr>
        <w:t>:</w:t>
      </w:r>
      <w:r>
        <w:rPr/>
        <w:t xml:space="preserve"> Progress Monitor: Benutzeranalage im "Progress Monitor"</w:t>
      </w:r>
      <w:bookmarkEnd w:id="52"/>
      <w:r>
        <w:rPr/>
        <w:commentReference w:id="29"/>
      </w:r>
    </w:p>
    <w:p>
      <w:pPr>
        <w:sectPr>
          <w:footnotePr>
            <w:numFmt w:val="decimal"/>
          </w:footnotePr>
          <w:type w:val="continuous"/>
          <w:pgSz w:w="11906" w:h="16838"/>
          <w:pgMar w:left="1701" w:right="1701" w:header="720" w:top="1701" w:footer="0" w:bottom="1134" w:gutter="0"/>
          <w:formProt w:val="false"/>
          <w:textDirection w:val="lrTb"/>
          <w:docGrid w:type="default" w:linePitch="360" w:charSpace="0"/>
        </w:sectPr>
      </w:pPr>
    </w:p>
    <w:p>
      <w:pPr>
        <w:pStyle w:val="Grundtext"/>
        <w:rPr>
          <w:b/>
          <w:b/>
          <w:u w:val="single"/>
        </w:rPr>
      </w:pPr>
      <w:r>
        <w:rPr/>
        <w:t>Anschließend waren die für die Tests erforderlichen Konten für die Lieferanten und Kunden sowie die dazu verwendeten Workflows anzulegen. Die Anlage der genannten Objekte erfolgte nach den Vorgaben aus der Testvorschrift.</w:t>
      </w:r>
    </w:p>
    <w:p>
      <w:pPr>
        <w:sectPr>
          <w:footnotePr>
            <w:numFmt w:val="decimal"/>
          </w:footnotePr>
          <w:type w:val="continuous"/>
          <w:pgSz w:w="11906" w:h="16838"/>
          <w:pgMar w:left="1701" w:right="1701" w:header="720" w:top="1701" w:footer="0" w:bottom="1134" w:gutter="0"/>
          <w:formProt w:val="false"/>
          <w:textDirection w:val="lrTb"/>
          <w:docGrid w:type="default" w:linePitch="360" w:charSpace="0"/>
        </w:sectPr>
      </w:pPr>
    </w:p>
    <w:p>
      <w:pPr>
        <w:pStyle w:val="Grundtext"/>
        <w:keepNext w:val="true"/>
        <w:jc w:val="center"/>
        <w:rPr>
          <w:b/>
          <w:b/>
          <w:u w:val="single"/>
        </w:rPr>
      </w:pPr>
      <w:r>
        <w:rPr/>
        <w:drawing>
          <wp:inline distT="0" distB="0" distL="0" distR="0">
            <wp:extent cx="2520315" cy="1324610"/>
            <wp:effectExtent l="0" t="0" r="0" b="0"/>
            <wp:docPr id="12"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4" descr=""/>
                    <pic:cNvPicPr>
                      <a:picLocks noChangeAspect="1" noChangeArrowheads="1"/>
                    </pic:cNvPicPr>
                  </pic:nvPicPr>
                  <pic:blipFill>
                    <a:blip r:embed="rId28"/>
                    <a:stretch>
                      <a:fillRect/>
                    </a:stretch>
                  </pic:blipFill>
                  <pic:spPr bwMode="auto">
                    <a:xfrm>
                      <a:off x="0" y="0"/>
                      <a:ext cx="2520315" cy="1324610"/>
                    </a:xfrm>
                    <a:prstGeom prst="rect">
                      <a:avLst/>
                    </a:prstGeom>
                  </pic:spPr>
                </pic:pic>
              </a:graphicData>
            </a:graphic>
          </wp:inline>
        </w:drawing>
      </w:r>
    </w:p>
    <w:p>
      <w:pPr>
        <w:pStyle w:val="GrafikQuelle"/>
        <w:rPr>
          <w:b/>
          <w:b/>
          <w:u w:val="single"/>
        </w:rPr>
      </w:pPr>
      <w:r>
        <w:rPr/>
        <w:t>(Quelle: Softzoll GmbH &amp; Co. KG, 2023)</w:t>
      </w:r>
    </w:p>
    <w:p>
      <w:pPr>
        <w:pStyle w:val="Abbildungstitel"/>
        <w:rPr>
          <w:b/>
          <w:b/>
          <w:u w:val="single"/>
        </w:rPr>
      </w:pPr>
      <w:bookmarkStart w:id="53" w:name="_Toc141868547"/>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11</w:t>
      </w:r>
      <w:r>
        <w:rPr>
          <w:rStyle w:val="Grundzfett"/>
        </w:rPr>
        <w:fldChar w:fldCharType="end"/>
      </w:r>
      <w:r>
        <w:rPr>
          <w:rStyle w:val="Grundzfett"/>
        </w:rPr>
        <w:t>:</w:t>
      </w:r>
      <w:r>
        <w:rPr/>
        <w:t xml:space="preserve"> Progress Monitor: Anlage eines Testkunden</w:t>
      </w:r>
      <w:bookmarkEnd w:id="53"/>
    </w:p>
    <w:p>
      <w:pPr>
        <w:pStyle w:val="Grundtext"/>
        <w:keepNext w:val="true"/>
        <w:jc w:val="center"/>
        <w:rPr>
          <w:b/>
          <w:b/>
          <w:u w:val="single"/>
        </w:rPr>
      </w:pPr>
      <w:r>
        <w:rPr/>
        <w:drawing>
          <wp:inline distT="0" distB="0" distL="0" distR="0">
            <wp:extent cx="2592070" cy="1332230"/>
            <wp:effectExtent l="0" t="0" r="0" b="0"/>
            <wp:docPr id="13"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 descr=""/>
                    <pic:cNvPicPr>
                      <a:picLocks noChangeAspect="1" noChangeArrowheads="1"/>
                    </pic:cNvPicPr>
                  </pic:nvPicPr>
                  <pic:blipFill>
                    <a:blip r:embed="rId29"/>
                    <a:stretch>
                      <a:fillRect/>
                    </a:stretch>
                  </pic:blipFill>
                  <pic:spPr bwMode="auto">
                    <a:xfrm>
                      <a:off x="0" y="0"/>
                      <a:ext cx="2592070" cy="1332230"/>
                    </a:xfrm>
                    <a:prstGeom prst="rect">
                      <a:avLst/>
                    </a:prstGeom>
                  </pic:spPr>
                </pic:pic>
              </a:graphicData>
            </a:graphic>
          </wp:inline>
        </w:drawing>
      </w:r>
    </w:p>
    <w:p>
      <w:pPr>
        <w:pStyle w:val="GrafikQuelle"/>
        <w:rPr>
          <w:rStyle w:val="Grundzfett"/>
          <w:b w:val="false"/>
          <w:b w:val="false"/>
        </w:rPr>
      </w:pPr>
      <w:r>
        <w:rPr/>
        <w:t>(Quelle: Softzoll GmbH &amp; Co. KG, 2023)</w:t>
      </w:r>
    </w:p>
    <w:p>
      <w:pPr>
        <w:pStyle w:val="Abbildungstitel"/>
        <w:rPr>
          <w:b/>
          <w:b/>
          <w:u w:val="single"/>
        </w:rPr>
      </w:pPr>
      <w:bookmarkStart w:id="54" w:name="_Toc141868548"/>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12</w:t>
      </w:r>
      <w:r>
        <w:rPr>
          <w:rStyle w:val="Grundzfett"/>
        </w:rPr>
        <w:fldChar w:fldCharType="end"/>
      </w:r>
      <w:r>
        <w:rPr>
          <w:rStyle w:val="Grundzfett"/>
        </w:rPr>
        <w:t>:</w:t>
      </w:r>
      <w:r>
        <w:rPr/>
        <w:t xml:space="preserve"> Progress Monitor: Anlage eines Testlieferanten</w:t>
      </w:r>
      <w:bookmarkEnd w:id="54"/>
    </w:p>
    <w:p>
      <w:pPr>
        <w:sectPr>
          <w:footnotePr>
            <w:numFmt w:val="decimal"/>
          </w:footnotePr>
          <w:type w:val="continuous"/>
          <w:pgSz w:w="11906" w:h="16838"/>
          <w:pgMar w:left="1701" w:right="1701" w:header="720" w:top="1701" w:footer="0" w:bottom="1134" w:gutter="0"/>
          <w:cols w:num="2" w:space="2" w:equalWidth="true" w:sep="false"/>
          <w:formProt w:val="false"/>
          <w:textDirection w:val="lrTb"/>
          <w:docGrid w:type="default" w:linePitch="360" w:charSpace="0"/>
        </w:sectPr>
      </w:pPr>
    </w:p>
    <w:p>
      <w:pPr>
        <w:pStyle w:val="Grundtext"/>
        <w:rPr>
          <w:b/>
          <w:b/>
          <w:u w:val="single"/>
        </w:rPr>
      </w:pPr>
      <w:r>
        <w:rPr>
          <w:b/>
          <w:u w:val="single"/>
        </w:rPr>
      </w:r>
    </w:p>
    <w:p>
      <w:pPr>
        <w:pStyle w:val="Grundtext"/>
        <w:keepNext w:val="true"/>
        <w:rPr>
          <w:b/>
          <w:b/>
          <w:u w:val="single"/>
        </w:rPr>
      </w:pPr>
      <w:r>
        <w:rPr/>
        <w:drawing>
          <wp:inline distT="0" distB="0" distL="0" distR="0">
            <wp:extent cx="5400040" cy="4149090"/>
            <wp:effectExtent l="0" t="0" r="0" b="0"/>
            <wp:docPr id="14"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6" descr=""/>
                    <pic:cNvPicPr>
                      <a:picLocks noChangeAspect="1" noChangeArrowheads="1"/>
                    </pic:cNvPicPr>
                  </pic:nvPicPr>
                  <pic:blipFill>
                    <a:blip r:embed="rId30"/>
                    <a:stretch>
                      <a:fillRect/>
                    </a:stretch>
                  </pic:blipFill>
                  <pic:spPr bwMode="auto">
                    <a:xfrm>
                      <a:off x="0" y="0"/>
                      <a:ext cx="5400040" cy="4149090"/>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55" w:name="_Toc141868549"/>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13</w:t>
      </w:r>
      <w:r>
        <w:rPr>
          <w:rStyle w:val="Grundzfett"/>
        </w:rPr>
        <w:fldChar w:fldCharType="end"/>
      </w:r>
      <w:r>
        <w:rPr/>
        <w:t>: Progress Monitor: Anlage eines Workflows</w:t>
      </w:r>
      <w:bookmarkEnd w:id="55"/>
    </w:p>
    <w:p>
      <w:pPr>
        <w:pStyle w:val="Grundtext"/>
        <w:rPr>
          <w:b/>
          <w:b/>
          <w:u w:val="single"/>
        </w:rPr>
      </w:pPr>
      <w:r>
        <w:rPr/>
        <w:t>Einen wesentlich Teil der Arbeit zur Testvorbereitung nahm die Bereitstellung der Testdaten in Anspruch. Dabei wurde für jeden Testfall eine Datei bereitgestellt. Das Aufbereiten der Testdaten nahm einige Zeit in Anspruch, da für jeden Datentyp (entspricht einem Konvertertyp) eine Datei bereit zu stellen war.</w:t>
      </w:r>
    </w:p>
    <w:p>
      <w:pPr>
        <w:pStyle w:val="Grundtext"/>
        <w:rPr>
          <w:b/>
          <w:b/>
          <w:u w:val="single"/>
        </w:rPr>
      </w:pPr>
      <w:r>
        <w:rPr/>
        <w:t>Mit der Bereitstellung der Testdaten war die Phase der Testvorbereitung abgeschlossen und die Systemtest konnten beginnen.</w:t>
      </w:r>
    </w:p>
    <w:p>
      <w:pPr>
        <w:pStyle w:val="Berschrift2"/>
        <w:rPr>
          <w:b/>
          <w:b/>
          <w:u w:val="single"/>
        </w:rPr>
      </w:pPr>
      <w:bookmarkStart w:id="56" w:name="_Toc141868481"/>
      <w:r>
        <w:rPr/>
        <w:t>Testausführung</w:t>
      </w:r>
      <w:bookmarkEnd w:id="56"/>
    </w:p>
    <w:p>
      <w:pPr>
        <w:pStyle w:val="Grundtext"/>
        <w:rPr>
          <w:b/>
          <w:b/>
          <w:u w:val="single"/>
        </w:rPr>
      </w:pPr>
      <w:r>
        <w:rPr/>
        <w:t>Die Systemtests sind funktionsorientiert. Das bedeutet in diesen wird die Erfüllung der funktionalen Anforderungen nach folgenden Kriterien geprüft:</w:t>
      </w:r>
    </w:p>
    <w:p>
      <w:pPr>
        <w:pStyle w:val="Grundtext"/>
        <w:rPr>
          <w:i/>
          <w:i/>
          <w:iCs/>
        </w:rPr>
      </w:pPr>
      <w:r>
        <w:rPr>
          <w:i/>
          <w:iCs/>
        </w:rPr>
        <w:t xml:space="preserve">Funktionsüberdeckung </w:t>
      </w:r>
    </w:p>
    <w:p>
      <w:pPr>
        <w:pStyle w:val="Grundtext"/>
        <w:rPr>
          <w:b/>
          <w:b/>
          <w:u w:val="single"/>
        </w:rPr>
      </w:pPr>
      <w:r>
        <w:rPr/>
        <w:t>Es wird jede Funktion in mindestens einem Testfall geprüft.</w:t>
      </w:r>
    </w:p>
    <w:p>
      <w:pPr>
        <w:pStyle w:val="Normal"/>
        <w:rPr>
          <w:szCs w:val="20"/>
        </w:rPr>
      </w:pPr>
      <w:r>
        <w:rPr/>
        <w:commentReference w:id="30"/>
      </w:r>
      <w:r>
        <w:br w:type="page"/>
      </w:r>
    </w:p>
    <w:p>
      <w:pPr>
        <w:pStyle w:val="Grundtext"/>
        <w:rPr>
          <w:i/>
          <w:i/>
          <w:iCs/>
        </w:rPr>
      </w:pPr>
      <w:r>
        <w:rPr>
          <w:i/>
          <w:iCs/>
        </w:rPr>
        <w:t>Eingabeüberdeckung</w:t>
      </w:r>
    </w:p>
    <w:p>
      <w:pPr>
        <w:pStyle w:val="Grundtext"/>
        <w:rPr>
          <w:b/>
          <w:b/>
          <w:u w:val="single"/>
        </w:rPr>
      </w:pPr>
      <w:r>
        <w:rPr/>
        <w:t>Jedes Eingabedatum ist in mindestens einem Testfall zu prüfen.</w:t>
      </w:r>
    </w:p>
    <w:p>
      <w:pPr>
        <w:pStyle w:val="Grundtext"/>
        <w:rPr>
          <w:i/>
          <w:i/>
          <w:iCs/>
        </w:rPr>
      </w:pPr>
      <w:r>
        <w:rPr>
          <w:i/>
          <w:iCs/>
        </w:rPr>
        <w:t>Ausgabeüberdeckung</w:t>
      </w:r>
    </w:p>
    <w:p>
      <w:pPr>
        <w:pStyle w:val="Grundtext"/>
        <w:rPr>
          <w:b/>
          <w:b/>
          <w:u w:val="single"/>
        </w:rPr>
      </w:pPr>
      <w:r>
        <w:rPr/>
        <w:t xml:space="preserve">Es ist jedes Ausgabedatum in mindestens einem Testfall auszugeben </w:t>
      </w:r>
      <w:r>
        <w:fldChar w:fldCharType="begin"/>
      </w:r>
      <w:r>
        <w:rPr/>
        <w:instrText>ADDIN ZOTERO_ITEM CSL_CITATION {"citationID":"2ekJLEi2","properties":{"formattedCitation":"(Vgl. Fr\\uc0\\u252{}hauf et al., (2007), S. 45)","plainCitation":"(Vgl. Frühauf et al., (2007), S. 45)","noteIndex":0},"citationItems":[{"id":"RLKPnpNr/rImEIoVq","uris":["http://zotero.org/users/10411486/items/Z569UKYQ"],"itemData":{"id":860,"type":"book","edition":"6.","publisher":"vdf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w:instrText>
      </w:r>
      <w:r>
        <w:rPr/>
      </w:r>
      <w:r>
        <w:rPr/>
        <w:fldChar w:fldCharType="separate"/>
      </w:r>
      <w:r>
        <w:rPr/>
      </w:r>
      <w:r>
        <w:rPr>
          <w:szCs w:val="24"/>
        </w:rPr>
        <w:t>(Vgl. Frühauf et al., (2007), S. 45)</w:t>
      </w:r>
      <w:r>
        <w:rPr/>
      </w:r>
      <w:r>
        <w:rPr/>
        <w:fldChar w:fldCharType="end"/>
      </w:r>
      <w:r>
        <w:rPr/>
        <w:t>.</w:t>
      </w:r>
    </w:p>
    <w:p>
      <w:pPr>
        <w:pStyle w:val="Grundtext"/>
        <w:rPr>
          <w:b/>
          <w:b/>
          <w:u w:val="single"/>
        </w:rPr>
      </w:pPr>
      <w:r>
        <w:rPr/>
        <w:t xml:space="preserve">Die Testfälle orientierten sich dabei an der angestrebten Funktion bzw. der definierten Anforderung. Jeder Testfall entspricht dabei einer Anforderung aus der Testvorschrift. </w:t>
      </w:r>
    </w:p>
    <w:p>
      <w:pPr>
        <w:pStyle w:val="Grundtext"/>
        <w:rPr>
          <w:b/>
          <w:b/>
          <w:u w:val="single"/>
        </w:rPr>
      </w:pPr>
      <w:r>
        <w:rPr/>
        <w:t xml:space="preserve">Exemplarisch werden die Tests der funktionalen Anforderungen zur Testsequenz </w:t>
      </w:r>
    </w:p>
    <w:p>
      <w:pPr>
        <w:pStyle w:val="Grundtext"/>
        <w:rPr>
          <w:i/>
          <w:i/>
          <w:iCs/>
        </w:rPr>
      </w:pPr>
      <w:r>
        <w:rPr>
          <w:i/>
          <w:iCs/>
        </w:rPr>
        <w:t>TS 6.1 Test der Komponente „CSV-Datenkonverter“; Übergabe über die Funktion „Drag an drop“; Test mit englischsprachiger Programmoberfläche</w:t>
      </w:r>
    </w:p>
    <w:p>
      <w:pPr>
        <w:pStyle w:val="Grundtext"/>
        <w:rPr>
          <w:b/>
          <w:b/>
          <w:u w:val="single"/>
        </w:rPr>
      </w:pPr>
      <w:r>
        <w:rPr/>
        <w:t>beschrieben.</w:t>
      </w:r>
    </w:p>
    <w:p>
      <w:pPr>
        <w:pStyle w:val="Grundtext"/>
        <w:rPr>
          <w:b/>
          <w:b/>
          <w:u w:val="single"/>
        </w:rPr>
      </w:pPr>
      <w:r>
        <w:rPr/>
        <w:t xml:space="preserve">In der Testvorschrift sind zu jeder Testsequenz der Zweck des Tests, die Referenzen zu den dazugehörigen Spezifikationen (Anforderungsdokumente, Installations- und Konfigurationsvorschriften, Programm-Dokumentationen etc.) die zu testenden Software-Komponenten, die erforderlichen Vorbereitungs- und Abschlussarbeiten sowie die Testfälle dokumentiert </w:t>
      </w:r>
      <w:r>
        <w:fldChar w:fldCharType="begin"/>
      </w:r>
      <w:r>
        <w:rPr/>
        <w:instrText>ADDIN ZOTERO_ITEM CSL_CITATION {"citationID":"B0ScXt1Q","properties":{"formattedCitation":"(Vgl. Fr\\uc0\\u252{}hauf et al., (2007), S. 69)","plainCitation":"(Vgl. Frühauf et al., (2007), S. 69)","noteIndex":0},"citationItems":[{"id":"RLKPnpNr/rImEIoVq","uris":["http://zotero.org/users/10411486/items/Z569UKYQ"],"itemData":{"id":860,"type":"book","edition":"6.","publisher":"vdf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w:instrText>
      </w:r>
      <w:r>
        <w:rPr/>
      </w:r>
      <w:r>
        <w:rPr/>
        <w:fldChar w:fldCharType="separate"/>
      </w:r>
      <w:r>
        <w:rPr/>
      </w:r>
      <w:r>
        <w:rPr>
          <w:szCs w:val="24"/>
        </w:rPr>
        <w:t>(Vgl. Frühauf et al., (2007), S. 69)</w:t>
      </w:r>
      <w:r>
        <w:rPr/>
      </w:r>
      <w:r>
        <w:rPr/>
        <w:fldChar w:fldCharType="end"/>
      </w:r>
      <w:r>
        <w:rPr/>
        <w:t>.</w:t>
      </w:r>
    </w:p>
    <w:p>
      <w:pPr>
        <w:pStyle w:val="Grundtext"/>
        <w:rPr>
          <w:b/>
          <w:b/>
          <w:u w:val="single"/>
        </w:rPr>
      </w:pPr>
      <w:r>
        <w:rPr/>
        <w:t>Die Testsequenz TS-6.1 beinhaltet die drei Testfälle</w:t>
      </w:r>
    </w:p>
    <w:p>
      <w:pPr>
        <w:pStyle w:val="Grundtext"/>
        <w:rPr>
          <w:i/>
          <w:i/>
          <w:iCs/>
        </w:rPr>
      </w:pPr>
      <w:r>
        <w:rPr>
          <w:i/>
          <w:iCs/>
        </w:rPr>
        <w:t>6.1.1 - Anzeige des Verarbeitungsfortschritts bei fehlerfreier Konvertierung</w:t>
      </w:r>
    </w:p>
    <w:p>
      <w:pPr>
        <w:pStyle w:val="Grundtext"/>
        <w:rPr>
          <w:b/>
          <w:b/>
          <w:u w:val="single"/>
        </w:rPr>
      </w:pPr>
      <w:r>
        <w:rPr/>
        <w:t>In diesem Testfall sind die Anzeige des Verarbeitungsfortschritts und die Ausgaben des Programms bei einer fehlerfreien Konvertierung zu prüfen.</w:t>
      </w:r>
    </w:p>
    <w:p>
      <w:pPr>
        <w:pStyle w:val="Grundtext"/>
        <w:rPr>
          <w:i/>
          <w:i/>
          <w:iCs/>
        </w:rPr>
      </w:pPr>
      <w:r>
        <w:rPr>
          <w:i/>
          <w:iCs/>
        </w:rPr>
        <w:t xml:space="preserve">6.1.2 - Anzeige des Verarbeitungsfortschritts bei fehlerhafter Konvertierung </w:t>
      </w:r>
    </w:p>
    <w:p>
      <w:pPr>
        <w:pStyle w:val="Grundtext"/>
        <w:rPr>
          <w:b/>
          <w:b/>
          <w:u w:val="single"/>
        </w:rPr>
      </w:pPr>
      <w:r>
        <w:rPr/>
        <w:t>Die Testvorschrift zum Testfall ist mit der des Testfalls 6.1.1 identisch. Jedoch muss in diesem Testfall eine fehlerhafte Konvertierung getestet werden.</w:t>
      </w:r>
    </w:p>
    <w:p>
      <w:pPr>
        <w:pStyle w:val="Grundtext"/>
        <w:rPr>
          <w:i/>
          <w:i/>
          <w:iCs/>
        </w:rPr>
      </w:pPr>
      <w:r>
        <w:rPr>
          <w:i/>
          <w:iCs/>
        </w:rPr>
        <w:t xml:space="preserve">6.1.3 - Anzeige der Detailinformationen zu einer Konvertierung </w:t>
      </w:r>
    </w:p>
    <w:p>
      <w:pPr>
        <w:pStyle w:val="Grundtext"/>
        <w:rPr>
          <w:b/>
          <w:b/>
          <w:u w:val="single"/>
        </w:rPr>
      </w:pPr>
      <w:r>
        <w:rPr/>
        <w:t>Zum Testfall 6.1.3 sind die Detailinformationen einer Konvertierung, die fehlerfrei abgeschlossen wurde, zu prüfen.</w:t>
      </w:r>
    </w:p>
    <w:p>
      <w:pPr>
        <w:pStyle w:val="Grundtext"/>
        <w:rPr>
          <w:b/>
          <w:b/>
          <w:u w:val="single"/>
        </w:rPr>
      </w:pPr>
      <w:r>
        <w:rPr/>
        <w:t>Die Nummer eines jeden Testfalls setzt sich aus der Nummer der Testsequenz und einer fortlaufenden Nummer zusammen. Testfall 6.1.3 ist somit der 3. Testfall in der Testsequenz 6.1</w:t>
      </w:r>
      <w:bookmarkStart w:id="57" w:name="_Hlk141432593"/>
      <w:bookmarkEnd w:id="57"/>
    </w:p>
    <w:p>
      <w:pPr>
        <w:pStyle w:val="Grundtext"/>
        <w:keepNext w:val="true"/>
        <w:jc w:val="center"/>
        <w:rPr>
          <w:b/>
          <w:b/>
          <w:u w:val="single"/>
        </w:rPr>
      </w:pPr>
      <w:r>
        <w:rPr/>
        <w:drawing>
          <wp:inline distT="0" distB="0" distL="0" distR="0">
            <wp:extent cx="5400040" cy="3244850"/>
            <wp:effectExtent l="0" t="0" r="0" b="0"/>
            <wp:docPr id="1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7" descr=""/>
                    <pic:cNvPicPr>
                      <a:picLocks noChangeAspect="1" noChangeArrowheads="1"/>
                    </pic:cNvPicPr>
                  </pic:nvPicPr>
                  <pic:blipFill>
                    <a:blip r:embed="rId31"/>
                    <a:stretch>
                      <a:fillRect/>
                    </a:stretch>
                  </pic:blipFill>
                  <pic:spPr bwMode="auto">
                    <a:xfrm>
                      <a:off x="0" y="0"/>
                      <a:ext cx="5400040" cy="3244850"/>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58" w:name="_Toc141868550"/>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14</w:t>
      </w:r>
      <w:r>
        <w:rPr>
          <w:rStyle w:val="Grundzfett"/>
        </w:rPr>
        <w:fldChar w:fldCharType="end"/>
      </w:r>
      <w:r>
        <w:rPr>
          <w:rStyle w:val="Grundzfett"/>
        </w:rPr>
        <w:t>:</w:t>
      </w:r>
      <w:r>
        <w:rPr/>
        <w:t xml:space="preserve"> Abbildung zum Testfall 6.1.3 in der Testsequenz TS-6.1</w:t>
      </w:r>
      <w:bookmarkEnd w:id="58"/>
    </w:p>
    <w:p>
      <w:pPr>
        <w:pStyle w:val="Normal"/>
        <w:rPr>
          <w:szCs w:val="20"/>
        </w:rPr>
      </w:pPr>
      <w:r>
        <w:rPr>
          <w:szCs w:val="20"/>
        </w:rPr>
      </w:r>
      <w:r>
        <w:br w:type="page"/>
      </w:r>
    </w:p>
    <w:p>
      <w:pPr>
        <w:pStyle w:val="Grundtext"/>
        <w:rPr>
          <w:b/>
          <w:b/>
          <w:u w:val="single"/>
        </w:rPr>
      </w:pPr>
      <w:r>
        <w:rPr/>
        <w:t xml:space="preserve">Folgend wird die Durchführung des Testfalls 6.1.3 zur Testsequenz 6.1 beschrieben. Dieser Testfall wurde gemäß der Vorgaben aus der Testvorschrift mit dem Benutzer „Test-PM-Benutzer“ und mit der englischsprachigen Benutzeroberfläche (GUI) durchgeführt. </w:t>
      </w:r>
    </w:p>
    <w:p>
      <w:pPr>
        <w:pStyle w:val="Grundtext"/>
        <w:rPr>
          <w:b/>
          <w:b/>
          <w:u w:val="single"/>
        </w:rPr>
      </w:pPr>
      <w:r>
        <w:rPr/>
        <w:t>Im ersten Schritt wurde die zum Testfall 6.1.3 erstellte Testdatei an den CSV-Datenkonverter übergeben.</w:t>
      </w:r>
    </w:p>
    <w:p>
      <w:pPr>
        <w:pStyle w:val="Grundtext"/>
        <w:jc w:val="center"/>
        <w:rPr>
          <w:b/>
          <w:b/>
          <w:u w:val="single"/>
        </w:rPr>
      </w:pPr>
      <w:r>
        <w:rPr/>
        <w:drawing>
          <wp:inline distT="0" distB="0" distL="0" distR="0">
            <wp:extent cx="2405380" cy="2350135"/>
            <wp:effectExtent l="0" t="0" r="0" b="0"/>
            <wp:docPr id="16"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8" descr=""/>
                    <pic:cNvPicPr>
                      <a:picLocks noChangeAspect="1" noChangeArrowheads="1"/>
                    </pic:cNvPicPr>
                  </pic:nvPicPr>
                  <pic:blipFill>
                    <a:blip r:embed="rId32"/>
                    <a:stretch>
                      <a:fillRect/>
                    </a:stretch>
                  </pic:blipFill>
                  <pic:spPr bwMode="auto">
                    <a:xfrm>
                      <a:off x="0" y="0"/>
                      <a:ext cx="2405380" cy="2350135"/>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59" w:name="_Toc141868551"/>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15</w:t>
      </w:r>
      <w:r>
        <w:rPr>
          <w:rStyle w:val="Grundzfett"/>
        </w:rPr>
        <w:fldChar w:fldCharType="end"/>
      </w:r>
      <w:r>
        <w:rPr>
          <w:rStyle w:val="Grundzfett"/>
        </w:rPr>
        <w:t xml:space="preserve">: </w:t>
      </w:r>
      <w:r>
        <w:rPr/>
        <w:t>Übergabe der Test-Datei an den Datenkonverter, Testfall "TF-6.1.3"</w:t>
      </w:r>
      <w:bookmarkEnd w:id="59"/>
    </w:p>
    <w:p>
      <w:pPr>
        <w:pStyle w:val="Grundtext"/>
        <w:rPr>
          <w:b/>
          <w:b/>
          <w:u w:val="single"/>
        </w:rPr>
      </w:pPr>
      <w:r>
        <w:rPr/>
        <w:t>Nach der Konvertierung wurden gemäß Vorgaben aus der Testvorschrift die Detailinformationen zur Konvertierung und die Beschriftung der Textfelder und Steuerelemente im Programm geprüft. Im Test konnte tatsächlich ein Fehler festgestellt werden. Die Tabellenspalte zur „Belegnummer“ ist in der englischsprachigen Benutzeroberfläche mit „Document number“ zu bezeichnen. Zu dieser Tabellenspalte wurde jedoch die deutsche Bezeichnung „Belegnummer“ angezeigt. Dieser Fehler ist gemäß der Testvorschrift unkritisch. Das bedeutet, dass anschließend weitere Tests ausgeführt werden konnten. Bei kritischen Fehlern, wie bei einem Ausnahmefehler (Exception), ist gemäß der Vorgaben aus der Testvorschrift der Test zu unterbrechen und der Fehler zu beheben.</w:t>
      </w:r>
    </w:p>
    <w:p>
      <w:pPr>
        <w:pStyle w:val="Grundtext"/>
        <w:keepNext w:val="true"/>
        <w:rPr>
          <w:b/>
          <w:b/>
          <w:u w:val="single"/>
        </w:rPr>
      </w:pPr>
      <w:r>
        <w:rPr/>
        <w:drawing>
          <wp:inline distT="0" distB="0" distL="0" distR="0">
            <wp:extent cx="5410200" cy="2491105"/>
            <wp:effectExtent l="0" t="0" r="0" b="0"/>
            <wp:docPr id="17"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9" descr=""/>
                    <pic:cNvPicPr>
                      <a:picLocks noChangeAspect="1" noChangeArrowheads="1"/>
                    </pic:cNvPicPr>
                  </pic:nvPicPr>
                  <pic:blipFill>
                    <a:blip r:embed="rId33"/>
                    <a:stretch>
                      <a:fillRect/>
                    </a:stretch>
                  </pic:blipFill>
                  <pic:spPr bwMode="auto">
                    <a:xfrm>
                      <a:off x="0" y="0"/>
                      <a:ext cx="5410200" cy="2491105"/>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60" w:name="_Toc141868552"/>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9</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16</w:t>
      </w:r>
      <w:r>
        <w:rPr>
          <w:rStyle w:val="Grundzfett"/>
        </w:rPr>
        <w:fldChar w:fldCharType="end"/>
      </w:r>
      <w:r>
        <w:rPr>
          <w:rStyle w:val="Grundzfett"/>
        </w:rPr>
        <w:t>:</w:t>
      </w:r>
      <w:r>
        <w:rPr/>
        <w:t xml:space="preserve"> Bildschirmausgabe zum Testfall 6.1.3</w:t>
      </w:r>
      <w:bookmarkEnd w:id="60"/>
    </w:p>
    <w:p>
      <w:pPr>
        <w:pStyle w:val="Grundtext"/>
        <w:rPr>
          <w:b/>
          <w:b/>
          <w:u w:val="single"/>
        </w:rPr>
      </w:pPr>
      <w:r>
        <w:rPr/>
        <w:t xml:space="preserve">Der Test zum Testfall 6.1.3 bewies, wie wichtig Tests sind, auch wenn im Testergebnis lediglich ein unkritischer Fehler festgestellt wurde. Für die methodische und planmäßige Fehlerbeseitigung und für die Wiederholung des Test zu einem späteren Zeitpunkt sind der Test und dessen Ergebnis im Testbericht zu dokumentieren </w:t>
      </w:r>
      <w:r>
        <w:fldChar w:fldCharType="begin"/>
      </w:r>
      <w:r>
        <w:rPr/>
        <w:instrText>ADDIN ZOTERO_ITEM CSL_CITATION {"citationID":"m7JhfR9g","properties":{"formattedCitation":"(Vgl. Fr\\uc0\\u252{}hauf et al., (2007), S. 72)","plainCitation":"(Vgl. Frühauf et al., (2007), S.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w:instrText>
      </w:r>
      <w:r>
        <w:rPr/>
      </w:r>
      <w:r>
        <w:rPr/>
        <w:fldChar w:fldCharType="separate"/>
      </w:r>
      <w:r>
        <w:rPr/>
      </w:r>
      <w:r>
        <w:rPr>
          <w:szCs w:val="24"/>
        </w:rPr>
        <w:t>(Vgl. Frühauf et al., (2007), S. 72)</w:t>
      </w:r>
      <w:r>
        <w:rPr/>
      </w:r>
      <w:r>
        <w:rPr/>
        <w:fldChar w:fldCharType="end"/>
      </w:r>
      <w:r>
        <w:rPr/>
        <w:t>.</w:t>
      </w:r>
    </w:p>
    <w:p>
      <w:pPr>
        <w:pStyle w:val="Berschrift2"/>
        <w:rPr>
          <w:b/>
          <w:b/>
          <w:u w:val="single"/>
        </w:rPr>
      </w:pPr>
      <w:bookmarkStart w:id="61" w:name="_Toc141868482"/>
      <w:r>
        <w:rPr/>
        <w:t>Testauswertung</w:t>
      </w:r>
      <w:bookmarkEnd w:id="61"/>
    </w:p>
    <w:p>
      <w:pPr>
        <w:pStyle w:val="Grundtext"/>
        <w:rPr>
          <w:b/>
          <w:b/>
          <w:u w:val="single"/>
        </w:rPr>
      </w:pPr>
      <w:r>
        <w:rPr/>
        <w:t xml:space="preserve">Jeder Test wird im Testbericht dokumentiert. Dieser enthält die Beschreibung der Testfälle und die Testresultate und basiert auf der Testvorschrift </w:t>
      </w:r>
      <w:r>
        <w:fldChar w:fldCharType="begin"/>
      </w:r>
      <w:r>
        <w:rPr/>
        <w:instrText>ADDIN ZOTERO_ITEM CSL_CITATION {"citationID":"1yDQLtOs","properties":{"formattedCitation":"(Vgl. Fr\\uc0\\u252{}hauf et al., (2007), S. 34)","plainCitation":"(Vgl. Frühauf et al., (2007), S. 34)","noteIndex":0},"citationItems":[{"id":"RLKPnpNr/rImEIoVq","uris":["http://zotero.org/users/10411486/items/Z569UKYQ"],"itemData":{"id":860,"type":"book","edition":"6.","publisher":"vdf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w:instrText>
      </w:r>
      <w:r>
        <w:rPr/>
      </w:r>
      <w:r>
        <w:rPr/>
        <w:fldChar w:fldCharType="separate"/>
      </w:r>
      <w:r>
        <w:rPr/>
      </w:r>
      <w:r>
        <w:rPr>
          <w:szCs w:val="24"/>
        </w:rPr>
        <w:t>(Vgl. Frühauf et al., (2007), S. 34)</w:t>
      </w:r>
      <w:r>
        <w:rPr/>
      </w:r>
      <w:r>
        <w:rPr/>
        <w:fldChar w:fldCharType="end"/>
      </w:r>
      <w:r>
        <w:rPr/>
        <w:t>. Daher ist eine sorgfältige und detaillierte Testvorschrift für die Testläufe und für die Dokumentation von entscheidender Bedeutung.</w:t>
      </w:r>
    </w:p>
    <w:p>
      <w:pPr>
        <w:pStyle w:val="Grundtext"/>
        <w:rPr>
          <w:b/>
          <w:b/>
          <w:u w:val="single"/>
        </w:rPr>
      </w:pPr>
      <w:r>
        <w:rPr/>
        <w:t>Der Testbericht enthält unter anderem folgende Informationen:</w:t>
      </w:r>
    </w:p>
    <w:p>
      <w:pPr>
        <w:pStyle w:val="Grundtext"/>
        <w:rPr>
          <w:i/>
          <w:i/>
          <w:iCs/>
        </w:rPr>
      </w:pPr>
      <w:r>
        <w:rPr>
          <w:i/>
          <w:iCs/>
        </w:rPr>
        <w:t>Testzusammenfassung</w:t>
      </w:r>
    </w:p>
    <w:p>
      <w:pPr>
        <w:pStyle w:val="Grundtext"/>
        <w:rPr>
          <w:b/>
          <w:b/>
          <w:u w:val="single"/>
        </w:rPr>
      </w:pPr>
      <w:r>
        <w:rPr/>
        <w:t xml:space="preserve">Die Testzusammenfassung beinhaltet die Testvorschrift, Sequenz-Nummer, Testfall-Nummer, die verwendeten Dokumenten sowie Angaben zum Projekt. Ferner enthält sie die Empfehlung über den Umgang mit identifizierten Fehlern und die dazugehörige Begründung </w:t>
      </w:r>
      <w:r>
        <w:fldChar w:fldCharType="begin"/>
      </w:r>
      <w:r>
        <w:rPr/>
        <w:instrText>ADDIN ZOTERO_ITEM CSL_CITATION {"citationID":"SoTnwcQt","properties":{"formattedCitation":"(Vgl. Fr\\uc0\\u252{}hauf et al., (2007), S. 71)","plainCitation":"(Vgl. Frühauf et al., (2007), S.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w:instrText>
      </w:r>
      <w:r>
        <w:rPr/>
      </w:r>
      <w:r>
        <w:rPr/>
        <w:fldChar w:fldCharType="separate"/>
      </w:r>
      <w:r>
        <w:rPr/>
      </w:r>
      <w:r>
        <w:rPr>
          <w:szCs w:val="24"/>
        </w:rPr>
        <w:t>(Vgl. Frühauf et al., (2007), S. 71)</w:t>
      </w:r>
      <w:r>
        <w:rPr/>
      </w:r>
      <w:r>
        <w:rPr/>
        <w:fldChar w:fldCharType="end"/>
      </w:r>
      <w:r>
        <w:rPr/>
        <w:t>.</w:t>
      </w:r>
    </w:p>
    <w:p>
      <w:pPr>
        <w:pStyle w:val="Normal"/>
        <w:rPr>
          <w:i/>
          <w:i/>
          <w:iCs/>
          <w:szCs w:val="20"/>
        </w:rPr>
      </w:pPr>
      <w:r>
        <w:rPr>
          <w:i/>
          <w:iCs/>
          <w:szCs w:val="20"/>
        </w:rPr>
      </w:r>
      <w:r>
        <w:br w:type="page"/>
      </w:r>
    </w:p>
    <w:p>
      <w:pPr>
        <w:pStyle w:val="Grundtext"/>
        <w:rPr>
          <w:i/>
          <w:i/>
          <w:iCs/>
        </w:rPr>
      </w:pPr>
      <w:r>
        <w:rPr>
          <w:i/>
          <w:iCs/>
        </w:rPr>
        <w:t>Testprotokoll</w:t>
      </w:r>
    </w:p>
    <w:p>
      <w:pPr>
        <w:pStyle w:val="Grundtext"/>
        <w:rPr>
          <w:b/>
          <w:b/>
          <w:u w:val="single"/>
        </w:rPr>
      </w:pPr>
      <w:r>
        <w:rPr/>
        <w:t>Im Testprotokoll sind die Durchführung des Tests, die Soll-Vorgaben, das Testergebnis und die Soll</w:t>
        <w:noBreakHyphen/>
        <w:t>/Ist</w:t>
        <w:noBreakHyphen/>
        <w:t xml:space="preserve">Abweichungen dokumentiert. Das Testprotokoll muss auch die Fehlermeldungen des Programms und die im Test identifizierten Fehler sowie die Fehlereschreibungen enthalten </w:t>
      </w:r>
      <w:r>
        <w:fldChar w:fldCharType="begin"/>
      </w:r>
      <w:r>
        <w:rPr/>
        <w:instrText>ADDIN ZOTERO_ITEM CSL_CITATION {"citationID":"9OEw80eq","properties":{"formattedCitation":"(Vgl. Fr\\uc0\\u252{}hauf et al., (2007), S. 71)","plainCitation":"(Vgl. Frühauf et al., (2007), S.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w:instrText>
      </w:r>
      <w:r>
        <w:rPr/>
      </w:r>
      <w:r>
        <w:rPr/>
        <w:fldChar w:fldCharType="separate"/>
      </w:r>
      <w:r>
        <w:rPr/>
      </w:r>
      <w:r>
        <w:rPr>
          <w:szCs w:val="24"/>
        </w:rPr>
        <w:t>(Vgl. Frühauf et al., (2007), S. 71)</w:t>
      </w:r>
      <w:r>
        <w:rPr/>
      </w:r>
      <w:r>
        <w:rPr/>
        <w:fldChar w:fldCharType="end"/>
      </w:r>
      <w:r>
        <w:rPr/>
        <w:t>.</w:t>
      </w:r>
    </w:p>
    <w:p>
      <w:pPr>
        <w:pStyle w:val="Grundtext"/>
        <w:rPr>
          <w:i/>
          <w:i/>
          <w:iCs/>
        </w:rPr>
      </w:pPr>
      <w:r>
        <w:rPr>
          <w:i/>
          <w:iCs/>
        </w:rPr>
        <w:t>Software-Komponenten</w:t>
      </w:r>
    </w:p>
    <w:p>
      <w:pPr>
        <w:pStyle w:val="Grundtext"/>
        <w:rPr>
          <w:b/>
          <w:b/>
          <w:u w:val="single"/>
        </w:rPr>
      </w:pPr>
      <w:r>
        <w:rPr/>
        <w:t>Die Dokumentation der getesteten Software-Komponenten mit präziser Angabe zur Release</w:t>
        <w:noBreakHyphen/>
        <w:t xml:space="preserve"> und Build</w:t>
        <w:noBreakHyphen/>
        <w:t xml:space="preserve">Version ist für die Verständlichkeit und Transparenz des Tests essentiell und ermöglicht die Wiederholung des Testfalls sowie die Kontrolle zur Anwendung der richtigen Konfiguration </w:t>
      </w:r>
      <w:r>
        <w:fldChar w:fldCharType="begin"/>
      </w:r>
      <w:r>
        <w:rPr/>
        <w:instrText>ADDIN ZOTERO_ITEM CSL_CITATION {"citationID":"Iy30qIog","properties":{"formattedCitation":"(Vgl. Fr\\uc0\\u252{}hauf et al., (2007), S. 72)","plainCitation":"(Vgl. Frühauf et al., (2007), S.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w:instrText>
      </w:r>
      <w:r>
        <w:rPr/>
      </w:r>
      <w:r>
        <w:rPr/>
        <w:fldChar w:fldCharType="separate"/>
      </w:r>
      <w:r>
        <w:rPr/>
      </w:r>
      <w:r>
        <w:rPr>
          <w:szCs w:val="24"/>
        </w:rPr>
        <w:t>(Vgl. Frühauf et al., (2007), S. 72)</w:t>
      </w:r>
      <w:r>
        <w:rPr/>
      </w:r>
      <w:r>
        <w:rPr/>
        <w:fldChar w:fldCharType="end"/>
      </w:r>
      <w:r>
        <w:rPr/>
        <w:t>.</w:t>
      </w:r>
    </w:p>
    <w:p>
      <w:pPr>
        <w:pStyle w:val="Grundtext"/>
        <w:rPr>
          <w:b/>
          <w:b/>
          <w:u w:val="single"/>
        </w:rPr>
      </w:pPr>
      <w:r>
        <w:rPr/>
        <w:t>Die genannten Inhalte des Testberichts beschränken sich auf die wichtigsten Informationen. Der zum Test erstellte Testbericht enthält neben den beschriebenen Inhalten noch weitere Details zur Testvorbereitung und Testausführung und zum Testergebnis sowie zu den Soll</w:t>
        <w:noBreakHyphen/>
        <w:t>/Ist</w:t>
        <w:noBreakHyphen/>
        <w:t>Abweichungen. Der Anlage ist der Testbericht beigefügt</w:t>
      </w:r>
      <w:r>
        <w:rPr>
          <w:rStyle w:val="Funotenanker"/>
        </w:rPr>
        <w:footnoteReference w:id="4"/>
      </w:r>
      <w:r>
        <w:rPr/>
        <w:t>.</w:t>
      </w:r>
      <w:r>
        <w:rPr/>
        <w:commentReference w:id="31"/>
      </w:r>
    </w:p>
    <w:p>
      <w:pPr>
        <w:pStyle w:val="Grundtext"/>
        <w:rPr>
          <w:b/>
          <w:b/>
          <w:u w:val="single"/>
        </w:rPr>
      </w:pPr>
      <w:r>
        <w:rPr>
          <w:b/>
          <w:u w:val="single"/>
        </w:rPr>
      </w:r>
    </w:p>
    <w:p>
      <w:pPr>
        <w:sectPr>
          <w:footnotePr>
            <w:numFmt w:val="decimal"/>
          </w:footnotePr>
          <w:type w:val="continuous"/>
          <w:pgSz w:w="11906" w:h="16838"/>
          <w:pgMar w:left="1701" w:right="1701" w:header="720" w:top="1701" w:footer="0" w:bottom="1134" w:gutter="0"/>
          <w:formProt w:val="false"/>
          <w:textDirection w:val="lrTb"/>
          <w:docGrid w:type="default" w:linePitch="360" w:charSpace="0"/>
        </w:sectPr>
      </w:pPr>
    </w:p>
    <w:p>
      <w:pPr>
        <w:pStyle w:val="Berschrift1"/>
        <w:rPr>
          <w:b/>
          <w:b/>
          <w:u w:val="single"/>
        </w:rPr>
      </w:pPr>
      <w:bookmarkStart w:id="62" w:name="_Toc141868483"/>
      <w:r>
        <w:rPr/>
        <w:t>Fazit</w:t>
      </w:r>
      <w:bookmarkEnd w:id="62"/>
    </w:p>
    <w:p>
      <w:pPr>
        <w:pStyle w:val="Grundtext"/>
        <w:rPr>
          <w:b/>
          <w:b/>
          <w:u w:val="single"/>
        </w:rPr>
      </w:pPr>
      <w:r>
        <w:rPr/>
        <w:t>Am Ende möchte ich die Projektarbeit zusammenfassen und meine persönlichen Erfahrungen und Erkenntnisse, die ich in diesem Projekt sammeln konnte, aufzeigen.</w:t>
      </w:r>
      <w:r>
        <w:rPr/>
        <w:commentReference w:id="32"/>
      </w:r>
    </w:p>
    <w:p>
      <w:pPr>
        <w:pStyle w:val="Grundtext"/>
        <w:rPr>
          <w:b/>
          <w:b/>
          <w:u w:val="single"/>
        </w:rPr>
      </w:pPr>
      <w:r>
        <w:rPr/>
        <w:t>Die Software „Progress Monitor“ wurde als unternehmensinternes Projekt termingerecht entwickelt. In dem für den Anwender freigegebenen Release sind die wichtigsten Anforderungen aus der Anforderungsanalyse erfüllt. Durch die Anwendung des Dev-Ops-Konzepts</w:t>
      </w:r>
      <w:r>
        <w:rPr/>
        <w:commentReference w:id="33"/>
      </w:r>
      <w:r>
        <w:rPr/>
        <w:t xml:space="preserve"> einschließlich der kontinuierlichen Integration („Continuous Integration“) und kontinuierlichen automatisierten Software-Auslieferung („Continuous Delivery“)  konnte die Zeit der Auslieferung funktionsfähiger Release Candidates (RC) verkürzt werden. Der wesentliche Aspekt dieses Konzepts, die intensive Zusammenarbeit und Kommunikation zwischen der Softwareentwicklung und dem IT-Betrieb, war ein Garant für die Sicherstellung der Softwarequalität. Neben dem Projektmanagement, der Anforderungs- und Risikoanalyse sowie der Aufnahme der Ist-Situation gehörten auch die Mitarbeit am Entwurf und an der Spezifikation zu meinen Projektaufgaben. Die Bereitstellung der Software und die Durchführung der Systemtests zählten jedoch zu meinen Hauptaufgaben im Projekt.</w:t>
      </w:r>
    </w:p>
    <w:p>
      <w:pPr>
        <w:pStyle w:val="Grundtext"/>
        <w:rPr>
          <w:b/>
          <w:b/>
          <w:u w:val="single"/>
        </w:rPr>
      </w:pPr>
      <w:r>
        <w:rPr/>
        <w:t>Das Projekt ermöglichte mir, das im Studium erlernte Wissen aus den Bereichen Softwareentwicklung und Softwaretechnik sowie Business Engineering und Projektmanagement zu verknüpfen und in der Praxis umzusetzen. Dabei konnte ich auch meinen Erfahrungsschatz aus anderen Projekten nutzen. Durch die praktische Anwendung des Wissens ergaben sich für mich neue Erkenntnisse und noch vorhandene Wissenslücken konnten geschlossen werden. Für mich ergab sich der größte Lerneffekt in der Anwendung des Dev-Ops-Konzepts. Dabei begeistern mich die positiven Effekte in der interdisziplinären Zusammenarbeit und die schnelle Entwicklung von Softwarereleases.</w:t>
      </w:r>
    </w:p>
    <w:p>
      <w:pPr>
        <w:pStyle w:val="Grundtext"/>
        <w:rPr>
          <w:b/>
          <w:b/>
          <w:u w:val="single"/>
        </w:rPr>
      </w:pPr>
      <w:r>
        <w:rPr/>
        <w:t>Die Software „Progress Monitor“ wird auch nach diesem ersten Projektabschnitt weiterentwickelt. Das ist darin begründet, dass die Daten-Konverter stetig weiterentwickelt werden bzw. neue Konverter das Portfolio erweitern.</w:t>
      </w:r>
    </w:p>
    <w:p>
      <w:pPr>
        <w:sectPr>
          <w:headerReference w:type="default" r:id="rId34"/>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Style w:val="Grundtext"/>
        <w:rPr>
          <w:b/>
          <w:b/>
          <w:u w:val="single"/>
        </w:rPr>
      </w:pPr>
      <w:r>
        <w:rPr/>
        <w:t xml:space="preserve">An dieser Stelle möchte ich mich auch für die gute Projektbetreuung durch die Projektleitung und die gute Zusammenarbeit mit der Softwareentwicklung bedanken. </w:t>
      </w:r>
    </w:p>
    <w:p>
      <w:pPr>
        <w:pStyle w:val="Grundtextwieberschr1"/>
        <w:numPr>
          <w:ilvl w:val="0"/>
          <w:numId w:val="0"/>
        </w:numPr>
        <w:ind w:left="851" w:hanging="851"/>
        <w:rPr>
          <w:b/>
          <w:b/>
          <w:u w:val="single"/>
        </w:rPr>
      </w:pPr>
      <w:r>
        <w:rPr/>
        <w:t>Anhang</w:t>
      </w:r>
    </w:p>
    <w:p>
      <w:pPr>
        <w:pStyle w:val="Berschrift8"/>
        <w:spacing w:before="0" w:after="160"/>
        <w:rPr>
          <w:bCs/>
        </w:rPr>
      </w:pPr>
      <w:bookmarkStart w:id="63" w:name="_Ref141543127"/>
      <w:bookmarkStart w:id="64" w:name="_Toc141868484"/>
      <w:bookmarkStart w:id="65" w:name="_Ref140852198"/>
      <w:r>
        <w:rPr>
          <w:rStyle w:val="Grundzenglisch"/>
          <w:bCs/>
          <w:lang w:val="de-DE"/>
        </w:rPr>
        <w:t>Anforderungen</w:t>
      </w:r>
      <w:bookmarkEnd w:id="65"/>
      <w:r>
        <w:rPr>
          <w:rStyle w:val="Grundzenglisch"/>
          <w:bCs/>
          <w:lang w:val="de-DE"/>
        </w:rPr>
        <w:t xml:space="preserve"> aus dem Anforderungsdokument ReqSpec 1.001 vom 26.06.2023</w:t>
      </w:r>
      <w:bookmarkEnd w:id="63"/>
      <w:bookmarkEnd w:id="64"/>
    </w:p>
    <w:p>
      <w:pPr>
        <w:pStyle w:val="Grundtext"/>
        <w:rPr>
          <w:b/>
          <w:b/>
          <w:u w:val="single"/>
        </w:rPr>
      </w:pPr>
      <w:r>
        <w:rPr/>
        <w:t>Die wichtigsten Anforderungen an die Software „Progress Monitor“ sind in der folgenden Tabelle zusammengefasst.</w:t>
      </w:r>
    </w:p>
    <w:p>
      <w:pPr>
        <w:pStyle w:val="Tabellentitel"/>
        <w:rPr>
          <w:b/>
          <w:b/>
          <w:u w:val="single"/>
        </w:rPr>
      </w:pPr>
      <w:bookmarkStart w:id="66" w:name="_Ref141543065"/>
      <w:bookmarkStart w:id="67" w:name="_Toc141868563"/>
      <w:bookmarkStart w:id="68" w:name="_Ref141536436"/>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5</w:t>
      </w:r>
      <w:r>
        <w:rPr>
          <w:rStyle w:val="Grundzfett"/>
        </w:rPr>
        <w:fldChar w:fldCharType="end"/>
      </w:r>
      <w:r>
        <w:rPr>
          <w:rStyle w:val="Grundzfett"/>
        </w:rPr>
        <w:t>:</w:t>
      </w:r>
      <w:r>
        <w:rPr/>
        <w:t xml:space="preserve"> </w:t>
      </w:r>
      <w:bookmarkEnd w:id="68"/>
      <w:r>
        <w:rPr/>
        <w:t>Anforderungsdokument ReqSpec 1.001 vom 26.06.2023</w:t>
      </w:r>
      <w:bookmarkEnd w:id="66"/>
      <w:bookmarkEnd w:id="67"/>
      <w:r>
        <w:rPr/>
        <w:t xml:space="preserve"> </w:t>
      </w:r>
    </w:p>
    <w:tbl>
      <w:tblPr>
        <w:tblW w:w="13964"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7"/>
        <w:gridCol w:w="3827"/>
        <w:gridCol w:w="8363"/>
        <w:gridCol w:w="1276"/>
      </w:tblGrid>
      <w:tr>
        <w:trPr/>
        <w:tc>
          <w:tcPr>
            <w:tcW w:w="497"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Nr.</w:t>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Anforderung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Beschreibung</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Kategorie</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Anwendung soll unabhängig vom Betriebssystem nutzbar sein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Die Anwender arbeiten im Home-Office bzw. mobile Office und nutzen Endgeräte mit verschiedenen Betriebssystemen. </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 xml:space="preserve">nicht </w:t>
            </w:r>
          </w:p>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Konvertierungen sind in Echtzeit darzustellen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Anwender müssen die Datenkonvertierung und evtl. auftretende Fehler in Echtzeit verfolgen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 xml:space="preserve">nicht </w:t>
            </w:r>
          </w:p>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Es sind die Konvertierungen zu allen verwendeten Dateikonvertern anzuzeigen.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Sämtliche unterstützte Kommunikationsanbindungen sollen für den Anwender einzusehen sein.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Nachrichtenaustausch erfolgt über die Netzwerkprotokolle AS2, FTP, HTTP, HTTPS, SFTP, SMTP, X.400. In der Software soll der Benutzer alle genannten Protokolle einsehen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Benutzer muss die Inhalte der in der Datenbank verwendeten Arbeitstabellen einsehen können,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bl>
    <w:p>
      <w:pPr>
        <w:pStyle w:val="Normal"/>
        <w:rPr>
          <w:b/>
          <w:b/>
          <w:u w:val="single"/>
        </w:rPr>
      </w:pPr>
      <w:r>
        <w:rPr>
          <w:b/>
          <w:u w:val="single"/>
        </w:rPr>
      </w:r>
      <w:r>
        <w:br w:type="page"/>
      </w:r>
    </w:p>
    <w:tbl>
      <w:tblPr>
        <w:tblW w:w="13964"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7"/>
        <w:gridCol w:w="3827"/>
        <w:gridCol w:w="8363"/>
        <w:gridCol w:w="1276"/>
      </w:tblGrid>
      <w:tr>
        <w:trPr/>
        <w:tc>
          <w:tcPr>
            <w:tcW w:w="497" w:type="dxa"/>
            <w:tcBorders>
              <w:top w:val="single" w:sz="4" w:space="0" w:color="000000"/>
              <w:bottom w:val="single" w:sz="4" w:space="0" w:color="000000"/>
              <w:right w:val="single" w:sz="4" w:space="0" w:color="000000"/>
            </w:tcBorders>
          </w:tcPr>
          <w:p>
            <w:pPr>
              <w:pStyle w:val="Tabellentext"/>
              <w:pageBreakBefore/>
              <w:widowControl w:val="false"/>
              <w:spacing w:before="40" w:after="40"/>
              <w:rPr>
                <w:rStyle w:val="Grundzfett"/>
              </w:rPr>
            </w:pPr>
            <w:r>
              <w:rPr>
                <w:rStyle w:val="Grundzfett"/>
              </w:rPr>
              <w:t>Nr.</w:t>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Anforderung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Beschreibung</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Kategorie</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Fortschritt der Konvertierung ist grafisch und als Prozentwert darzustellen.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Konvertierung erfolgt in mehreren Phasen nach der Methode Extract-Transform-Load (ETL). In der Software ist der Fortschritt zu jeder der Phasen als Balkendiagramm und als prozentualer Wert dazustellen.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Fehler in der Konvertierung sind anzuzeigen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Bei auftretenden Fehlern ist eine qualifizierte Fehlermeldung auszugeben. diese Fehlermeldung soll über die betreffende Software-Komponente und den Fehlertyp informieren. </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Protokolle der Konverter und der für die Kommunikation verwendeten Softwarekomponenten sollen einsehbar sein.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Anwender soll zu Analysezwecken alle Protokolle der Konverter und Kommunikationsanwendungen einsehen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Konfiguration der für die Konvertierung verwendeten Workflows muss einzusehen sein und bearbeitet werden können.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Einstellungen zu jeder Konvertierung werden in Workflows vorgenommen. Für eine Analyse sollen die Workflowkonfigurationen einzusehen sein und durch den Benutzer bearbeitet werden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Benutzer soll mehrere zeitgleich ausgeführte Konvertierungen beobachten können.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In der täglichen Arbeit werden mehrere Konvertierungen zeitgleich ausgeführt. Diese sollen, gekapselt in einem dedizierten Prozess, parallel dargestellt werden.</w:t>
            </w:r>
          </w:p>
          <w:p>
            <w:pPr>
              <w:pStyle w:val="Tabellentext"/>
              <w:widowControl w:val="false"/>
              <w:spacing w:before="40" w:after="40"/>
              <w:rPr>
                <w:b/>
                <w:b/>
                <w:u w:val="single"/>
              </w:rPr>
            </w:pPr>
            <w:r>
              <w:rPr/>
              <w:t>Im Programm werden für jede Konvertierung werden die dazugehörigen Informationen separat visualisiert.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Mehrbenutzerfähigkeit</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Anwendung soll von mehreren Benutzern parallel ausgeführt werden können. Dabei muss sich jeder Benutzer über ein eigenes Benutzerkonto am Programm anmelden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sichere Benutzerauthentifizierung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Zur Wahrung des Datenschutzes und der Datensicherheit muss sich jeder Benutzer über einen Benutzernamen und Kennwort am Programm anmelden.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verschlüsselte Kommunikation über HTTPS</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Über HTTPS soll die verschlüsselte Kommunikation gewährleistet werden.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autorisierte Zugriffe über dedizierte Benutzerrechte und -rollen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Benutzeraktivitäten sollen durch dedizierte Benutzerrechte und -rollen autorisiert werden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detaillierte Protokollierung der Benutzeraktivitäten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Anzeige des Verarbeitungsfortschritts bei </w:t>
            </w:r>
            <w:r>
              <w:rPr>
                <w:szCs w:val="14"/>
              </w:rPr>
              <w:t xml:space="preserve">fehlerfreier </w:t>
            </w:r>
            <w:r>
              <w:rPr/>
              <w:t>Konvertierung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szCs w:val="14"/>
              </w:rPr>
              <w:t xml:space="preserve">in grüner Schrift: Anzeige der Meldung „100%“ </w:t>
            </w:r>
          </w:p>
          <w:p>
            <w:pPr>
              <w:pStyle w:val="Tabellentext"/>
              <w:widowControl w:val="false"/>
              <w:rPr>
                <w:b/>
                <w:b/>
                <w:u w:val="single"/>
              </w:rPr>
            </w:pPr>
            <w:r>
              <w:rPr/>
              <w:t>Beispielwert:</w:t>
            </w:r>
          </w:p>
          <w:p>
            <w:pPr>
              <w:pStyle w:val="Tabellentext"/>
              <w:widowControl w:val="false"/>
              <w:spacing w:before="40" w:after="40"/>
              <w:rPr>
                <w:b/>
                <w:b/>
                <w:u w:val="single"/>
              </w:rPr>
            </w:pPr>
            <w:r>
              <w:rPr/>
              <w:t>„</w:t>
            </w:r>
            <w:r>
              <w:rPr>
                <w:b/>
                <w:color w:val="538135" w:themeColor="accent6" w:themeShade="bf"/>
                <w:szCs w:val="14"/>
              </w:rPr>
              <w:t>100%</w:t>
            </w:r>
            <w:r>
              <w:rPr/>
              <w: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Anzeige des Verarbeitungsfortschritts bei fehlerhafter Konvertierung in der deutschsprachigen Programmoberfläche</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szCs w:val="14"/>
              </w:rPr>
            </w:pPr>
            <w:r>
              <w:rPr>
                <w:szCs w:val="14"/>
              </w:rPr>
              <w:t>in roter Schrift: Anzeige des Fortschritts zur Konvertierung als Prozentwert und die Meldung</w:t>
            </w:r>
          </w:p>
          <w:p>
            <w:pPr>
              <w:pStyle w:val="Tabellentext"/>
              <w:widowControl w:val="false"/>
              <w:rPr>
                <w:b/>
                <w:b/>
                <w:u w:val="single"/>
              </w:rPr>
            </w:pPr>
            <w:r>
              <w:rPr/>
              <w:t>{</w:t>
            </w:r>
            <w:r>
              <w:rPr>
                <w:b/>
                <w:bCs/>
                <w:color w:val="FF0000"/>
              </w:rPr>
              <w:t>Prozentwert</w:t>
            </w:r>
            <w:r>
              <w:rPr/>
              <w:t>}„</w:t>
            </w:r>
            <w:r>
              <w:rPr>
                <w:b/>
                <w:bCs/>
                <w:color w:val="FF0000"/>
              </w:rPr>
              <w:t>mit Fehler</w:t>
            </w:r>
            <w:r>
              <w:rPr/>
              <w:t>“</w:t>
            </w:r>
          </w:p>
          <w:p>
            <w:pPr>
              <w:pStyle w:val="Tabellentext"/>
              <w:widowControl w:val="false"/>
              <w:rPr>
                <w:b/>
                <w:b/>
                <w:u w:val="single"/>
              </w:rPr>
            </w:pPr>
            <w:r>
              <w:rPr/>
              <w:t>Beispielwert:</w:t>
            </w:r>
          </w:p>
          <w:p>
            <w:pPr>
              <w:pStyle w:val="Tabellentext"/>
              <w:widowControl w:val="false"/>
              <w:spacing w:before="40" w:after="40"/>
              <w:rPr>
                <w:b/>
                <w:b/>
                <w:u w:val="single"/>
              </w:rPr>
            </w:pPr>
            <w:r>
              <w:rPr/>
              <w:t>„</w:t>
            </w:r>
            <w:r>
              <w:rPr>
                <w:b/>
                <w:color w:val="FF0000"/>
              </w:rPr>
              <w:t>80% mit Fehler</w:t>
            </w:r>
            <w:r>
              <w:rPr/>
              <w: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Anzeige des Verarbeitungsfortschritts bei fehlerhafter Konvertierung in der englischsprachigen Programmoberfläche</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szCs w:val="14"/>
              </w:rPr>
            </w:pPr>
            <w:r>
              <w:rPr>
                <w:szCs w:val="14"/>
              </w:rPr>
              <w:t>in roter Schrift: Anzeige des Fortschritts zur Konvertierung als Prozentwert und die Meldung</w:t>
            </w:r>
          </w:p>
          <w:p>
            <w:pPr>
              <w:pStyle w:val="Tabellentext"/>
              <w:widowControl w:val="false"/>
              <w:rPr>
                <w:b/>
                <w:b/>
                <w:u w:val="single"/>
              </w:rPr>
            </w:pPr>
            <w:r>
              <w:rPr/>
              <w:t>{</w:t>
            </w:r>
            <w:r>
              <w:rPr>
                <w:b/>
                <w:bCs/>
                <w:color w:val="FF0000"/>
              </w:rPr>
              <w:t>Prozentwert</w:t>
            </w:r>
            <w:r>
              <w:rPr/>
              <w:t>}„</w:t>
            </w:r>
            <w:r>
              <w:rPr>
                <w:b/>
                <w:bCs/>
                <w:color w:val="FF0000"/>
              </w:rPr>
              <w:t>with errors</w:t>
            </w:r>
            <w:r>
              <w:rPr/>
              <w:t>“</w:t>
            </w:r>
          </w:p>
          <w:p>
            <w:pPr>
              <w:pStyle w:val="Tabellentext"/>
              <w:widowControl w:val="false"/>
              <w:rPr>
                <w:b/>
                <w:b/>
                <w:u w:val="single"/>
              </w:rPr>
            </w:pPr>
            <w:r>
              <w:rPr/>
              <w:t>Beispielwert:</w:t>
            </w:r>
          </w:p>
          <w:p>
            <w:pPr>
              <w:pStyle w:val="Tabellentext"/>
              <w:widowControl w:val="false"/>
              <w:spacing w:before="40" w:after="40"/>
              <w:rPr>
                <w:b/>
                <w:b/>
                <w:u w:val="single"/>
              </w:rPr>
            </w:pPr>
            <w:r>
              <w:rPr/>
              <w:t>„</w:t>
            </w:r>
            <w:r>
              <w:rPr>
                <w:b/>
                <w:color w:val="FF0000"/>
              </w:rPr>
              <w:t>80% with errors</w:t>
            </w:r>
            <w:r>
              <w:rPr/>
              <w: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b/>
                <w:b/>
                <w:u w:val="single"/>
              </w:rPr>
            </w:pPr>
            <w:r>
              <w:rPr>
                <w:b/>
                <w:u w:val="single"/>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Beschriftung der Textfelder und Steuerelemente im Programm </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Beschriftung der Textfelder und Steuerelemente im Programm erfolgt gemäß Anforderungs-Dokument Referenz:</w:t>
            </w:r>
            <w:bookmarkStart w:id="69" w:name="_Hlk141542499"/>
            <w:r>
              <w:rPr/>
              <w:t xml:space="preserve"> ReqSpec 2.001</w:t>
            </w:r>
            <w:bookmarkEnd w:id="69"/>
            <w:r>
              <w:rPr/>
              <w:t xml:space="preserve"> vom 12.04.2019</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bl>
    <w:p>
      <w:pPr>
        <w:sectPr>
          <w:headerReference w:type="default" r:id="rId35"/>
          <w:footnotePr>
            <w:numFmt w:val="decimal"/>
          </w:footnotePr>
          <w:type w:val="nextPage"/>
          <w:pgSz w:orient="landscape" w:w="16838" w:h="11906"/>
          <w:pgMar w:left="1134" w:right="1701" w:header="720" w:top="1701" w:footer="0" w:bottom="1701" w:gutter="0"/>
          <w:pgNumType w:fmt="decimal"/>
          <w:formProt w:val="false"/>
          <w:textDirection w:val="lrTb"/>
          <w:docGrid w:type="default" w:linePitch="360" w:charSpace="0"/>
        </w:sectPr>
      </w:pPr>
    </w:p>
    <w:p>
      <w:pPr>
        <w:pStyle w:val="Berschrift8"/>
        <w:spacing w:before="0" w:after="160"/>
        <w:rPr>
          <w:rStyle w:val="Grundzenglisch"/>
          <w:bCs/>
          <w:lang w:val="de-DE"/>
        </w:rPr>
      </w:pPr>
      <w:bookmarkStart w:id="70" w:name="_Ref141606622"/>
      <w:bookmarkStart w:id="71" w:name="_Ref141606639"/>
      <w:bookmarkStart w:id="72" w:name="_Toc141868485"/>
      <w:r>
        <w:rPr>
          <w:rStyle w:val="Grundzenglisch"/>
          <w:bCs/>
          <w:lang w:val="de-DE"/>
        </w:rPr>
        <w:t>Risikokatalog</w:t>
      </w:r>
      <w:bookmarkEnd w:id="70"/>
      <w:bookmarkEnd w:id="71"/>
      <w:bookmarkEnd w:id="72"/>
      <w:r>
        <w:rPr>
          <w:rStyle w:val="Grundzenglisch"/>
          <w:bCs/>
          <w:lang w:val="de-DE"/>
        </w:rPr>
        <w:t xml:space="preserve"> </w:t>
      </w:r>
    </w:p>
    <w:p>
      <w:pPr>
        <w:pStyle w:val="Grundtext"/>
        <w:rPr>
          <w:rStyle w:val="Grundzenglisch"/>
          <w:bCs/>
          <w:lang w:val="de-DE"/>
        </w:rPr>
      </w:pPr>
      <w:r>
        <w:rPr/>
        <w:t>Folgende Tabelle enthält einen Auszug aus dem Risikokatalog</w:t>
      </w:r>
    </w:p>
    <w:p>
      <w:pPr>
        <w:pStyle w:val="Tabellentitel"/>
        <w:rPr>
          <w:rStyle w:val="Grundzenglisch"/>
          <w:bCs/>
          <w:lang w:val="de-DE"/>
        </w:rPr>
      </w:pPr>
      <w:bookmarkStart w:id="73" w:name="_Ref141536680"/>
      <w:bookmarkStart w:id="74" w:name="_Toc141868564"/>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6</w:t>
      </w:r>
      <w:r>
        <w:rPr>
          <w:rStyle w:val="Grundzfett"/>
        </w:rPr>
        <w:fldChar w:fldCharType="end"/>
      </w:r>
      <w:r>
        <w:rPr>
          <w:rStyle w:val="Grundzfett"/>
        </w:rPr>
        <w:t>:</w:t>
      </w:r>
      <w:r>
        <w:rPr/>
        <w:t xml:space="preserve"> Risikokatalog</w:t>
      </w:r>
      <w:bookmarkEnd w:id="73"/>
      <w:bookmarkEnd w:id="74"/>
      <w:r>
        <w:rPr/>
        <w:commentReference w:id="34"/>
      </w:r>
    </w:p>
    <w:tbl>
      <w:tblPr>
        <w:tblW w:w="1368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6"/>
        <w:gridCol w:w="2267"/>
        <w:gridCol w:w="2836"/>
        <w:gridCol w:w="993"/>
        <w:gridCol w:w="2693"/>
        <w:gridCol w:w="4394"/>
      </w:tblGrid>
      <w:tr>
        <w:trPr/>
        <w:tc>
          <w:tcPr>
            <w:tcW w:w="496"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Nr.</w:t>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Risiko</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Wirkung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 xml:space="preserve">Ewk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Schadensausmaß</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Maßnahme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Fehlerhaftes Projektmanagement</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Nichterreichen der Projektziels</w:t>
            </w:r>
          </w:p>
          <w:p>
            <w:pPr>
              <w:pStyle w:val="Tabellentext"/>
              <w:widowControl w:val="false"/>
              <w:spacing w:before="40" w:after="40"/>
              <w:rPr>
                <w:rStyle w:val="Grundzenglisch"/>
                <w:bCs/>
                <w:lang w:val="de-DE"/>
              </w:rPr>
            </w:pPr>
            <w:r>
              <w:rPr/>
              <w:t>Terminüberschreitung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p>
            <w:pPr>
              <w:pStyle w:val="Tabellentext"/>
              <w:widowControl w:val="false"/>
              <w:spacing w:before="40" w:after="40"/>
              <w:rPr>
                <w:rStyle w:val="Grundzenglisch"/>
                <w:bCs/>
                <w:lang w:val="de-DE"/>
              </w:rPr>
            </w:pPr>
            <w:r>
              <w:rPr/>
              <w:t>Überschreitung des Finanz</w:t>
              <w:noBreakHyphen/>
              <w:t xml:space="preserve"> und Zeit</w:t>
              <w:noBreakHyphen/>
              <w:t>Budgets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Effektives Projektmanagement</w:t>
            </w:r>
          </w:p>
          <w:p>
            <w:pPr>
              <w:pStyle w:val="Tabellentext"/>
              <w:widowControl w:val="false"/>
              <w:spacing w:before="40" w:after="40"/>
              <w:rPr>
                <w:rStyle w:val="Grundzenglisch"/>
                <w:bCs/>
                <w:lang w:val="de-DE"/>
              </w:rPr>
            </w:pPr>
            <w:r>
              <w:rPr>
                <w:bCs/>
                <w:lang w:val="de-DE"/>
              </w:rPr>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Unklarer Projektumfang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bCs/>
                <w:lang w:val="de-DE"/>
              </w:rPr>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p>
            <w:pPr>
              <w:pStyle w:val="Tabellentext"/>
              <w:widowControl w:val="false"/>
              <w:rPr>
                <w:rStyle w:val="Grundzenglisch"/>
                <w:bCs/>
                <w:lang w:val="de-DE"/>
              </w:rPr>
            </w:pPr>
            <w:r>
              <w:rPr/>
              <w:t>Überschreitung des Finanz</w:t>
              <w:noBreakHyphen/>
              <w:t xml:space="preserve"> und Zeit</w:t>
              <w:noBreakHyphen/>
              <w:t>Budgets</w:t>
            </w:r>
          </w:p>
          <w:p>
            <w:pPr>
              <w:pStyle w:val="Tabellentext"/>
              <w:widowControl w:val="false"/>
              <w:spacing w:before="40" w:after="40"/>
              <w:rPr>
                <w:rStyle w:val="Grundzenglisch"/>
                <w:bCs/>
                <w:lang w:val="de-DE"/>
              </w:rPr>
            </w:pPr>
            <w:r>
              <w:rPr/>
              <w:t>Nichterfüllen der Anforderungen</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 xml:space="preserve">gut organisierter und strukturiertes Projektmanagement </w:t>
            </w:r>
          </w:p>
          <w:p>
            <w:pPr>
              <w:pStyle w:val="Tabellentext"/>
              <w:widowControl w:val="false"/>
              <w:rPr>
                <w:rStyle w:val="Grundzenglisch"/>
                <w:bCs/>
                <w:lang w:val="de-DE"/>
              </w:rPr>
            </w:pPr>
            <w:r>
              <w:rPr/>
              <w:t>Erstellen eines detaillierten Lastenhefts</w:t>
            </w:r>
          </w:p>
          <w:p>
            <w:pPr>
              <w:pStyle w:val="Tabellentext"/>
              <w:widowControl w:val="false"/>
              <w:rPr>
                <w:rStyle w:val="Grundzenglisch"/>
                <w:bCs/>
                <w:lang w:val="de-DE"/>
              </w:rPr>
            </w:pPr>
            <w:r>
              <w:rPr/>
              <w:t>Erstellen eines detaillierten Pflichtenhefts</w:t>
            </w:r>
          </w:p>
          <w:p>
            <w:pPr>
              <w:pStyle w:val="Tabellentext"/>
              <w:widowControl w:val="false"/>
              <w:spacing w:before="40" w:after="40"/>
              <w:rPr>
                <w:rStyle w:val="Grundzenglisch"/>
                <w:bCs/>
                <w:lang w:val="de-DE"/>
              </w:rPr>
            </w:pPr>
            <w:r>
              <w:rPr/>
              <w:t xml:space="preserve">sorgfältig ausgearbeiteter Projektantrag und der Projektauftrag </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 Personalressourcen</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Terminüberschreitung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Überschreitung des Finanz</w:t>
              <w:noBreakHyphen/>
              <w:t xml:space="preserve"> und Zeit</w:t>
              <w:noBreakHyphen/>
              <w:t>Budgets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Pufferzeiten in den Arbeitspaketen</w:t>
            </w:r>
          </w:p>
          <w:p>
            <w:pPr>
              <w:pStyle w:val="Tabellentext"/>
              <w:widowControl w:val="false"/>
              <w:rPr>
                <w:rStyle w:val="Grundzenglisch"/>
                <w:bCs/>
                <w:lang w:val="de-DE"/>
              </w:rPr>
            </w:pPr>
            <w:r>
              <w:rPr/>
              <w:t>Ermitteln der Abhängigkeiten zu den Aufgaben</w:t>
            </w:r>
          </w:p>
          <w:p>
            <w:pPr>
              <w:pStyle w:val="Tabellentext"/>
              <w:widowControl w:val="false"/>
              <w:spacing w:before="40" w:after="40"/>
              <w:rPr>
                <w:rStyle w:val="Grundzenglisch"/>
                <w:bCs/>
                <w:lang w:val="de-DE"/>
              </w:rPr>
            </w:pPr>
            <w:r>
              <w:rPr/>
              <w:t xml:space="preserve">Planung der Substitution von Mitarbeitenden </w:t>
            </w:r>
          </w:p>
        </w:tc>
      </w:tr>
    </w:tbl>
    <w:p>
      <w:pPr>
        <w:pStyle w:val="Normal"/>
        <w:rPr>
          <w:rStyle w:val="Grundzenglisch"/>
          <w:bCs/>
          <w:lang w:val="de-DE"/>
        </w:rPr>
      </w:pPr>
      <w:r>
        <w:rPr>
          <w:bCs/>
          <w:lang w:val="de-DE"/>
        </w:rPr>
      </w:r>
    </w:p>
    <w:p>
      <w:pPr>
        <w:pStyle w:val="Normal"/>
        <w:rPr>
          <w:rStyle w:val="Grundzenglisch"/>
          <w:bCs/>
          <w:lang w:val="de-DE"/>
        </w:rPr>
      </w:pPr>
      <w:r>
        <w:rPr>
          <w:bCs/>
          <w:lang w:val="de-DE"/>
        </w:rPr>
      </w:r>
      <w:r>
        <w:br w:type="page"/>
      </w:r>
    </w:p>
    <w:tbl>
      <w:tblPr>
        <w:tblW w:w="1368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6"/>
        <w:gridCol w:w="2267"/>
        <w:gridCol w:w="2836"/>
        <w:gridCol w:w="993"/>
        <w:gridCol w:w="2693"/>
        <w:gridCol w:w="4394"/>
      </w:tblGrid>
      <w:tr>
        <w:trPr/>
        <w:tc>
          <w:tcPr>
            <w:tcW w:w="496" w:type="dxa"/>
            <w:tcBorders>
              <w:top w:val="single" w:sz="4" w:space="0" w:color="000000"/>
              <w:bottom w:val="single" w:sz="4" w:space="0" w:color="000000"/>
              <w:right w:val="single" w:sz="4" w:space="0" w:color="000000"/>
            </w:tcBorders>
          </w:tcPr>
          <w:p>
            <w:pPr>
              <w:pStyle w:val="Tabellentext"/>
              <w:pageBreakBefore/>
              <w:widowControl w:val="false"/>
              <w:spacing w:before="40" w:after="40"/>
              <w:rPr>
                <w:rStyle w:val="Grundzfett"/>
                <w:bCs/>
              </w:rPr>
            </w:pPr>
            <w:r>
              <w:rPr>
                <w:rStyle w:val="Grundzfett"/>
                <w:bCs/>
              </w:rPr>
              <w:t>Nr.</w:t>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Risiko</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Wirkung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 xml:space="preserve">Ewk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Schadensausmaß</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Maßnahme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 Festlegung der Funktionen und Rollen</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Verzögerungen im Projektablauf</w:t>
            </w:r>
          </w:p>
          <w:p>
            <w:pPr>
              <w:pStyle w:val="Tabellentext"/>
              <w:widowControl w:val="false"/>
              <w:rPr>
                <w:rStyle w:val="Grundzenglisch"/>
                <w:bCs/>
                <w:lang w:val="de-DE"/>
              </w:rPr>
            </w:pPr>
            <w:r>
              <w:rPr/>
              <w:t>Terminüberschreitung</w:t>
            </w:r>
          </w:p>
          <w:p>
            <w:pPr>
              <w:pStyle w:val="Tabellentext"/>
              <w:widowControl w:val="false"/>
              <w:rPr>
                <w:rStyle w:val="Grundzenglisch"/>
                <w:bCs/>
                <w:lang w:val="de-DE"/>
              </w:rPr>
            </w:pPr>
            <w:r>
              <w:rPr/>
              <w:t>Nichterreichen der Projektziels</w:t>
            </w:r>
          </w:p>
          <w:p>
            <w:pPr>
              <w:pStyle w:val="Tabellentext"/>
              <w:widowControl w:val="false"/>
              <w:spacing w:before="40" w:after="40"/>
              <w:rPr>
                <w:rStyle w:val="Grundzenglisch"/>
                <w:bCs/>
                <w:lang w:val="de-DE"/>
              </w:rPr>
            </w:pPr>
            <w:r>
              <w:rPr/>
              <w:t>Überschreitung des finanziellen Budgets</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p>
            <w:pPr>
              <w:pStyle w:val="Tabellentext"/>
              <w:widowControl w:val="false"/>
              <w:spacing w:before="40" w:after="40"/>
              <w:rPr>
                <w:rStyle w:val="Grundzenglisch"/>
                <w:bCs/>
                <w:lang w:val="de-DE"/>
              </w:rPr>
            </w:pPr>
            <w:r>
              <w:rPr/>
              <w:t>Überschreitung des Finanz</w:t>
              <w:noBreakHyphen/>
              <w:t xml:space="preserve"> und Zeit</w:t>
              <w:noBreakHyphen/>
              <w:t>Budgets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präzise Bestimmung der Funktionen und Rollen und Zuweisung dieser an die Ausführenden</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 in der Anforderungserhebung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Annahme falscher Anforderungen; Anforderungen werden nicht erfüllt</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Anforderungen des Kunden werden nicht erfüllt</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Bestimmen der kompetenten Ansprechpartner und Entscheidungsträger</w:t>
            </w:r>
          </w:p>
          <w:p>
            <w:pPr>
              <w:pStyle w:val="Tabellentext"/>
              <w:widowControl w:val="false"/>
              <w:rPr>
                <w:rStyle w:val="Grundzenglisch"/>
                <w:bCs/>
                <w:lang w:val="de-DE"/>
              </w:rPr>
            </w:pPr>
            <w:r>
              <w:rPr/>
              <w:t>Gründliche Vorbereitung auf die Interviews</w:t>
            </w:r>
          </w:p>
          <w:p>
            <w:pPr>
              <w:pStyle w:val="Tabellentext"/>
              <w:widowControl w:val="false"/>
              <w:rPr>
                <w:rStyle w:val="Grundzenglisch"/>
                <w:bCs/>
                <w:lang w:val="de-DE"/>
              </w:rPr>
            </w:pPr>
            <w:r>
              <w:rPr/>
              <w:t>Führen und Dokumentieren der Interviews</w:t>
            </w:r>
          </w:p>
          <w:p>
            <w:pPr>
              <w:pStyle w:val="Tabellentext"/>
              <w:widowControl w:val="false"/>
              <w:rPr>
                <w:rStyle w:val="Grundzenglisch"/>
                <w:bCs/>
                <w:lang w:val="de-DE"/>
              </w:rPr>
            </w:pPr>
            <w:r>
              <w:rPr/>
              <w:t>Pflichtenheft</w:t>
            </w:r>
          </w:p>
          <w:p>
            <w:pPr>
              <w:pStyle w:val="Tabellentext"/>
              <w:widowControl w:val="false"/>
              <w:rPr>
                <w:rStyle w:val="Grundzenglisch"/>
                <w:bCs/>
                <w:lang w:val="de-DE"/>
              </w:rPr>
            </w:pPr>
            <w:r>
              <w:rPr/>
              <w:t>Entwickeln von Mockups und Prototypen</w:t>
            </w:r>
          </w:p>
          <w:p>
            <w:pPr>
              <w:pStyle w:val="Tabellentext"/>
              <w:widowControl w:val="false"/>
              <w:rPr>
                <w:rStyle w:val="Grundzenglisch"/>
                <w:bCs/>
                <w:lang w:val="de-DE"/>
              </w:rPr>
            </w:pPr>
            <w:r>
              <w:rPr/>
              <w:t>Intensive Kommunikation mit dem Kunden und den Shareholdern</w:t>
            </w:r>
          </w:p>
          <w:p>
            <w:pPr>
              <w:pStyle w:val="Tabellentext"/>
              <w:widowControl w:val="false"/>
              <w:spacing w:before="40" w:after="40"/>
              <w:rPr>
                <w:rStyle w:val="Grundzenglisch"/>
                <w:bCs/>
                <w:lang w:val="de-DE"/>
              </w:rPr>
            </w:pPr>
            <w:r>
              <w:rPr>
                <w:bCs/>
                <w:lang w:val="de-DE"/>
              </w:rPr>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Änderung der Anforderungen</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Nichterreichen der Projektziels</w:t>
            </w:r>
          </w:p>
          <w:p>
            <w:pPr>
              <w:pStyle w:val="Tabellentext"/>
              <w:widowControl w:val="false"/>
              <w:rPr>
                <w:rStyle w:val="Grundzenglisch"/>
                <w:bCs/>
                <w:lang w:val="de-DE"/>
              </w:rPr>
            </w:pPr>
            <w:r>
              <w:rPr/>
              <w:t>Terminüberschreitung</w:t>
            </w:r>
          </w:p>
          <w:p>
            <w:pPr>
              <w:pStyle w:val="Tabellentext"/>
              <w:widowControl w:val="false"/>
              <w:rPr>
                <w:rStyle w:val="Grundzenglisch"/>
                <w:bCs/>
                <w:lang w:val="de-DE"/>
              </w:rPr>
            </w:pPr>
            <w:r>
              <w:rPr/>
              <w:t>Verzögerungen im Projektablauf</w:t>
            </w:r>
          </w:p>
          <w:p>
            <w:pPr>
              <w:pStyle w:val="Tabellentext"/>
              <w:widowControl w:val="false"/>
              <w:spacing w:before="40" w:after="40"/>
              <w:rPr>
                <w:rStyle w:val="Grundzenglisch"/>
                <w:bCs/>
                <w:lang w:val="de-DE"/>
              </w:rPr>
            </w:pPr>
            <w:r>
              <w:rPr/>
              <w:t>fehlende bzw. unzureichende Funktionalitäten in der Software</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unzureichende/fehlerhafte Software</w:t>
            </w:r>
          </w:p>
          <w:p>
            <w:pPr>
              <w:pStyle w:val="Tabellentext"/>
              <w:widowControl w:val="false"/>
              <w:spacing w:before="40" w:after="40"/>
              <w:rPr>
                <w:rStyle w:val="Grundzenglisch"/>
                <w:bCs/>
                <w:lang w:val="de-DE"/>
              </w:rPr>
            </w:pPr>
            <w:r>
              <w:rPr/>
              <w:t>Nachbesserung erforderlich</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sorgfältige Durchführung des Requirements Engineering und Change Managements</w:t>
            </w:r>
          </w:p>
        </w:tc>
      </w:tr>
    </w:tbl>
    <w:p>
      <w:pPr>
        <w:pStyle w:val="Normal"/>
        <w:rPr>
          <w:rStyle w:val="Grundzenglisch"/>
          <w:bCs/>
          <w:lang w:val="de-DE"/>
        </w:rPr>
      </w:pPr>
      <w:r>
        <w:rPr>
          <w:bCs/>
          <w:lang w:val="de-DE"/>
        </w:rPr>
      </w:r>
      <w:r>
        <w:br w:type="page"/>
      </w:r>
    </w:p>
    <w:tbl>
      <w:tblPr>
        <w:tblW w:w="1368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6"/>
        <w:gridCol w:w="2267"/>
        <w:gridCol w:w="2836"/>
        <w:gridCol w:w="993"/>
        <w:gridCol w:w="2693"/>
        <w:gridCol w:w="4394"/>
      </w:tblGrid>
      <w:tr>
        <w:trPr/>
        <w:tc>
          <w:tcPr>
            <w:tcW w:w="496" w:type="dxa"/>
            <w:tcBorders>
              <w:top w:val="single" w:sz="4" w:space="0" w:color="000000"/>
              <w:bottom w:val="single" w:sz="4" w:space="0" w:color="000000"/>
              <w:right w:val="single" w:sz="4" w:space="0" w:color="000000"/>
            </w:tcBorders>
          </w:tcPr>
          <w:p>
            <w:pPr>
              <w:pStyle w:val="Tabellentext"/>
              <w:pageBreakBefore/>
              <w:widowControl w:val="false"/>
              <w:spacing w:before="40" w:after="40"/>
              <w:rPr>
                <w:rStyle w:val="Grundzfett"/>
                <w:bCs/>
              </w:rPr>
            </w:pPr>
            <w:r>
              <w:rPr>
                <w:rStyle w:val="Grundzfett"/>
                <w:bCs/>
              </w:rPr>
              <w:t>Nr.</w:t>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Risiko</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Wirkung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 xml:space="preserve">Ewk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Schadensausmaß</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Maßnahme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 in der Implementierung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 in der Ausführung der Software; fehlerhafte Software-Funktionalitäten</w:t>
            </w:r>
          </w:p>
          <w:p>
            <w:pPr>
              <w:pStyle w:val="Tabellentext"/>
              <w:widowControl w:val="false"/>
              <w:spacing w:before="40" w:after="40"/>
              <w:rPr>
                <w:rStyle w:val="Grundzenglisch"/>
                <w:bCs/>
                <w:lang w:val="de-DE"/>
              </w:rPr>
            </w:pPr>
            <w:r>
              <w:rPr/>
              <w:t>geforderte Funktionalitäten werden nicht oder fehlerhaft umgesetzt</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Schwerkalkulierbar</w:t>
            </w:r>
          </w:p>
          <w:p>
            <w:pPr>
              <w:pStyle w:val="Tabellentext"/>
              <w:widowControl w:val="false"/>
              <w:spacing w:before="40" w:after="40"/>
              <w:rPr>
                <w:rStyle w:val="Grundzenglisch"/>
                <w:bCs/>
                <w:lang w:val="de-DE"/>
              </w:rPr>
            </w:pPr>
            <w:r>
              <w:rPr/>
              <w:t>Kosten = Personalstunden * Stundensatz</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 xml:space="preserve">Unit-Test, </w:t>
            </w:r>
          </w:p>
          <w:p>
            <w:pPr>
              <w:pStyle w:val="Tabellentext"/>
              <w:widowControl w:val="false"/>
              <w:rPr>
                <w:rStyle w:val="Grundzenglisch"/>
                <w:bCs/>
                <w:lang w:val="de-DE"/>
              </w:rPr>
            </w:pPr>
            <w:r>
              <w:rPr/>
              <w:t xml:space="preserve">Integrationstests, </w:t>
            </w:r>
          </w:p>
          <w:p>
            <w:pPr>
              <w:pStyle w:val="Tabellentext"/>
              <w:widowControl w:val="false"/>
              <w:rPr>
                <w:rStyle w:val="Grundzenglisch"/>
                <w:bCs/>
                <w:lang w:val="de-DE"/>
              </w:rPr>
            </w:pPr>
            <w:r>
              <w:rPr/>
              <w:t xml:space="preserve">Systemprüfungs-Test, </w:t>
            </w:r>
          </w:p>
          <w:p>
            <w:pPr>
              <w:pStyle w:val="Tabellentext"/>
              <w:widowControl w:val="false"/>
              <w:rPr>
                <w:rStyle w:val="Grundzenglisch"/>
                <w:bCs/>
                <w:lang w:val="de-DE"/>
              </w:rPr>
            </w:pPr>
            <w:r>
              <w:rPr/>
              <w:t>Abnahmeprüfung</w:t>
            </w:r>
          </w:p>
          <w:p>
            <w:pPr>
              <w:pStyle w:val="Tabellentext"/>
              <w:widowControl w:val="false"/>
              <w:rPr>
                <w:rStyle w:val="Grundzenglisch"/>
                <w:bCs/>
                <w:lang w:val="de-DE"/>
              </w:rPr>
            </w:pPr>
            <w:r>
              <w:rPr>
                <w:bCs/>
                <w:lang w:val="de-DE"/>
              </w:rPr>
            </w:r>
          </w:p>
          <w:p>
            <w:pPr>
              <w:pStyle w:val="Tabellentext"/>
              <w:widowControl w:val="false"/>
              <w:spacing w:before="40" w:after="40"/>
              <w:rPr>
                <w:rStyle w:val="Grundzenglisch"/>
                <w:bCs/>
                <w:lang w:val="de-DE"/>
              </w:rPr>
            </w:pPr>
            <w:r>
              <w:rPr/>
              <w:t>Dokumentation der Tests</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 bzw. mangelhafte Durchführung der Qualitätssicherung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mangelhafte bzw. fehlerhafte Software</w:t>
            </w:r>
          </w:p>
          <w:p>
            <w:pPr>
              <w:pStyle w:val="Tabellentext"/>
              <w:widowControl w:val="false"/>
              <w:spacing w:before="40" w:after="40"/>
              <w:rPr>
                <w:rStyle w:val="Grundzenglisch"/>
                <w:bCs/>
                <w:lang w:val="de-DE"/>
              </w:rPr>
            </w:pPr>
            <w:r>
              <w:rPr/>
              <w:t>fehlende Funktionalitäten in der Software</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Mittel: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fehlerhafte Software</w:t>
            </w:r>
          </w:p>
          <w:p>
            <w:pPr>
              <w:pStyle w:val="Tabellentext"/>
              <w:widowControl w:val="false"/>
              <w:spacing w:before="40" w:after="40"/>
              <w:rPr>
                <w:rStyle w:val="Grundzenglisch"/>
                <w:bCs/>
                <w:lang w:val="de-DE"/>
              </w:rPr>
            </w:pPr>
            <w:r>
              <w:rPr/>
              <w:t>Nachbesserung erforderlich</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Planung, Konzeption und Definition der Qualitätssicherung</w:t>
            </w:r>
          </w:p>
          <w:p>
            <w:pPr>
              <w:pStyle w:val="Tabellentext"/>
              <w:widowControl w:val="false"/>
              <w:rPr>
                <w:rStyle w:val="Grundzenglisch"/>
                <w:bCs/>
                <w:lang w:val="de-DE"/>
              </w:rPr>
            </w:pPr>
            <w:r>
              <w:rPr/>
              <w:t>Einbeziehung des Kunden in die Qualitätssicherung</w:t>
            </w:r>
          </w:p>
          <w:p>
            <w:pPr>
              <w:pStyle w:val="Tabellentext"/>
              <w:widowControl w:val="false"/>
              <w:spacing w:before="40" w:after="40"/>
              <w:rPr>
                <w:rStyle w:val="Grundzenglisch"/>
                <w:bCs/>
                <w:lang w:val="de-DE"/>
              </w:rPr>
            </w:pPr>
            <w:r>
              <w:rPr/>
              <w:t>agile Softwareentwicklung mit kontinuierlichen Tests und frühzeitiger Entwicklung von Prototypen</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1"/>
              </w:numPr>
              <w:spacing w:before="40" w:after="40"/>
              <w:ind w:left="153" w:hanging="74"/>
              <w:rPr>
                <w:rStyle w:val="Grundzenglisch"/>
                <w:bCs/>
                <w:lang w:val="de-DE"/>
              </w:rPr>
            </w:pPr>
            <w:r>
              <w:rPr>
                <w:bCs/>
                <w:lang w:val="de-DE"/>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Fehlendes Bewusstsein für die Produktqualität</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mangelhafte bzw. fehlerhafte Software</w:t>
            </w:r>
          </w:p>
          <w:p>
            <w:pPr>
              <w:pStyle w:val="Tabellentext"/>
              <w:widowControl w:val="false"/>
              <w:spacing w:before="40" w:after="40"/>
              <w:rPr>
                <w:rStyle w:val="Grundzenglisch"/>
                <w:bCs/>
                <w:lang w:val="de-DE"/>
              </w:rPr>
            </w:pPr>
            <w:r>
              <w:rPr/>
              <w:t>fehlende Funktionalitäten in der Software</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fehlerhafte Software</w:t>
            </w:r>
          </w:p>
          <w:p>
            <w:pPr>
              <w:pStyle w:val="Tabellentext"/>
              <w:widowControl w:val="false"/>
              <w:spacing w:before="40" w:after="40"/>
              <w:rPr>
                <w:rStyle w:val="Grundzenglisch"/>
                <w:bCs/>
                <w:lang w:val="de-DE"/>
              </w:rPr>
            </w:pPr>
            <w:r>
              <w:rPr/>
              <w:t>Nachbesserung erforderlich</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Motivation der Mitarbeitenden zu qualitätsorientiertem Handeln</w:t>
            </w:r>
          </w:p>
        </w:tc>
      </w:tr>
    </w:tbl>
    <w:p>
      <w:pPr>
        <w:pStyle w:val="Grundtext"/>
        <w:rPr>
          <w:rStyle w:val="Grundzenglisch"/>
          <w:bCs/>
          <w:lang w:val="de-DE"/>
        </w:rPr>
      </w:pPr>
      <w:r>
        <w:rPr>
          <w:bCs/>
          <w:lang w:val="de-DE"/>
        </w:rPr>
      </w:r>
    </w:p>
    <w:p>
      <w:pPr>
        <w:pStyle w:val="Grundtext"/>
        <w:rPr>
          <w:rStyle w:val="Grundzenglisch"/>
          <w:bCs/>
          <w:lang w:val="de-DE"/>
        </w:rPr>
      </w:pPr>
      <w:r>
        <w:rPr>
          <w:bCs/>
          <w:lang w:val="de-DE"/>
        </w:rPr>
      </w:r>
    </w:p>
    <w:p>
      <w:pPr>
        <w:pStyle w:val="Grundtext"/>
        <w:rPr>
          <w:rStyle w:val="Grundzenglisch"/>
          <w:bCs/>
          <w:lang w:val="de-DE"/>
        </w:rPr>
      </w:pPr>
      <w:r>
        <w:rPr>
          <w:bCs/>
          <w:lang w:val="de-DE"/>
        </w:rPr>
      </w:r>
    </w:p>
    <w:p>
      <w:pPr>
        <w:sectPr>
          <w:headerReference w:type="default" r:id="rId36"/>
          <w:footnotePr>
            <w:numFmt w:val="decimal"/>
          </w:footnotePr>
          <w:type w:val="nextPage"/>
          <w:pgSz w:orient="landscape" w:w="16838" w:h="11906"/>
          <w:pgMar w:left="1134" w:right="1701" w:header="720" w:top="1701" w:footer="0" w:bottom="1701" w:gutter="0"/>
          <w:pgNumType w:fmt="decimal"/>
          <w:formProt w:val="false"/>
          <w:textDirection w:val="lrTb"/>
          <w:docGrid w:type="default" w:linePitch="360" w:charSpace="0"/>
        </w:sectPr>
        <w:pStyle w:val="Grundtext"/>
        <w:rPr>
          <w:rStyle w:val="Grundzenglisch"/>
          <w:bCs/>
          <w:lang w:val="de-DE"/>
        </w:rPr>
      </w:pPr>
      <w:r>
        <w:rPr>
          <w:bCs/>
          <w:lang w:val="de-DE"/>
        </w:rPr>
      </w:r>
    </w:p>
    <w:p>
      <w:pPr>
        <w:pStyle w:val="Berschrift8"/>
        <w:spacing w:before="0" w:after="160"/>
        <w:rPr>
          <w:rStyle w:val="Grundzenglisch"/>
          <w:bCs/>
          <w:lang w:val="de-DE"/>
        </w:rPr>
      </w:pPr>
      <w:bookmarkStart w:id="75" w:name="_Ref141634165"/>
      <w:bookmarkStart w:id="76" w:name="_Toc141868486"/>
      <w:r>
        <w:rPr>
          <w:rStyle w:val="Grundzenglisch"/>
          <w:bCs/>
          <w:lang w:val="de-DE"/>
        </w:rPr>
        <w:t>Testbericht zum Test der Software „Progress-Monitor“</w:t>
      </w:r>
      <w:bookmarkEnd w:id="75"/>
      <w:bookmarkEnd w:id="76"/>
    </w:p>
    <w:p>
      <w:pPr>
        <w:pStyle w:val="GrafikQuelle"/>
        <w:rPr>
          <w:rStyle w:val="Grundzfett"/>
        </w:rPr>
      </w:pPr>
      <w:r>
        <w:rPr/>
        <w:drawing>
          <wp:inline distT="0" distB="0" distL="0" distR="0">
            <wp:extent cx="5068570" cy="6480175"/>
            <wp:effectExtent l="0" t="0" r="0" b="0"/>
            <wp:docPr id="1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0" descr=""/>
                    <pic:cNvPicPr>
                      <a:picLocks noChangeAspect="1" noChangeArrowheads="1"/>
                    </pic:cNvPicPr>
                  </pic:nvPicPr>
                  <pic:blipFill>
                    <a:blip r:embed="rId37"/>
                    <a:stretch>
                      <a:fillRect/>
                    </a:stretch>
                  </pic:blipFill>
                  <pic:spPr bwMode="auto">
                    <a:xfrm>
                      <a:off x="0" y="0"/>
                      <a:ext cx="5068570" cy="6480175"/>
                    </a:xfrm>
                    <a:prstGeom prst="rect">
                      <a:avLst/>
                    </a:prstGeom>
                  </pic:spPr>
                </pic:pic>
              </a:graphicData>
            </a:graphic>
          </wp:inline>
        </w:drawing>
      </w:r>
      <w:r>
        <w:rPr/>
        <w:t>(Quel</w:t>
      </w:r>
      <w:r>
        <w:rPr/>
        <w:commentReference w:id="35"/>
      </w:r>
      <w:r>
        <w:rPr/>
        <w:t>le: Softzoll GmbH &amp; Co. KG, 2023)</w:t>
      </w:r>
    </w:p>
    <w:p>
      <w:pPr>
        <w:pStyle w:val="Abbildungstitel"/>
        <w:rPr>
          <w:rStyle w:val="Grundzenglisch"/>
          <w:bCs/>
          <w:lang w:val="de-DE"/>
        </w:rPr>
      </w:pPr>
      <w:bookmarkStart w:id="77" w:name="_Toc141868553"/>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17</w:t>
      </w:r>
      <w:r>
        <w:rPr>
          <w:rStyle w:val="Grundzfett"/>
        </w:rPr>
        <w:fldChar w:fldCharType="end"/>
      </w:r>
      <w:r>
        <w:rPr>
          <w:rStyle w:val="Grundzfett"/>
        </w:rPr>
        <w:t>:</w:t>
      </w:r>
      <w:r>
        <w:rPr/>
        <w:t xml:space="preserve"> Testbericht zum Test der Software „Progress Monitor“, Seite 2</w:t>
      </w:r>
      <w:bookmarkEnd w:id="77"/>
    </w:p>
    <w:p>
      <w:pPr>
        <w:pStyle w:val="Normal"/>
        <w:rPr>
          <w:szCs w:val="20"/>
        </w:rPr>
      </w:pPr>
      <w:r>
        <w:rPr>
          <w:szCs w:val="20"/>
        </w:rPr>
      </w:r>
      <w:r>
        <w:br w:type="page"/>
      </w:r>
    </w:p>
    <w:p>
      <w:pPr>
        <w:pStyle w:val="GrafikQuelle"/>
        <w:rPr>
          <w:rStyle w:val="Grundzfett"/>
        </w:rPr>
      </w:pPr>
      <w:r>
        <w:rPr/>
        <w:drawing>
          <wp:inline distT="0" distB="0" distL="0" distR="0">
            <wp:extent cx="5072380" cy="6480175"/>
            <wp:effectExtent l="0" t="0" r="0" b="0"/>
            <wp:docPr id="19"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1" descr=""/>
                    <pic:cNvPicPr>
                      <a:picLocks noChangeAspect="1" noChangeArrowheads="1"/>
                    </pic:cNvPicPr>
                  </pic:nvPicPr>
                  <pic:blipFill>
                    <a:blip r:embed="rId38"/>
                    <a:stretch>
                      <a:fillRect/>
                    </a:stretch>
                  </pic:blipFill>
                  <pic:spPr bwMode="auto">
                    <a:xfrm>
                      <a:off x="0" y="0"/>
                      <a:ext cx="5072380" cy="6480175"/>
                    </a:xfrm>
                    <a:prstGeom prst="rect">
                      <a:avLst/>
                    </a:prstGeom>
                  </pic:spPr>
                </pic:pic>
              </a:graphicData>
            </a:graphic>
          </wp:inline>
        </w:drawing>
      </w:r>
      <w:r>
        <w:rPr/>
        <w:t>(Quelle: Softzoll GmbH &amp; Co. KG, 2023)</w:t>
      </w:r>
    </w:p>
    <w:p>
      <w:pPr>
        <w:pStyle w:val="Abbildungstitel"/>
        <w:rPr>
          <w:rStyle w:val="Grundzenglisch"/>
          <w:bCs/>
          <w:lang w:val="de-DE"/>
        </w:rPr>
      </w:pPr>
      <w:bookmarkStart w:id="78" w:name="_Toc141868554"/>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18</w:t>
      </w:r>
      <w:r>
        <w:rPr>
          <w:rStyle w:val="Grundzfett"/>
        </w:rPr>
        <w:fldChar w:fldCharType="end"/>
      </w:r>
      <w:r>
        <w:rPr>
          <w:rStyle w:val="Grundzfett"/>
        </w:rPr>
        <w:t>:</w:t>
      </w:r>
      <w:r>
        <w:rPr/>
        <w:t xml:space="preserve"> Testbericht zum Test der Software „Progress Monitor“, Seite 3</w:t>
      </w:r>
      <w:bookmarkEnd w:id="78"/>
    </w:p>
    <w:p>
      <w:pPr>
        <w:pStyle w:val="Normal"/>
        <w:rPr>
          <w:szCs w:val="20"/>
        </w:rPr>
      </w:pPr>
      <w:r>
        <w:rPr>
          <w:szCs w:val="20"/>
        </w:rPr>
      </w:r>
      <w:r>
        <w:br w:type="page"/>
      </w:r>
    </w:p>
    <w:p>
      <w:pPr>
        <w:pStyle w:val="GrafikQuelle"/>
        <w:rPr>
          <w:rStyle w:val="Grundzfett"/>
        </w:rPr>
      </w:pPr>
      <w:r>
        <w:rPr/>
        <w:drawing>
          <wp:inline distT="0" distB="0" distL="0" distR="0">
            <wp:extent cx="5076190" cy="6480175"/>
            <wp:effectExtent l="0" t="0" r="0" b="0"/>
            <wp:docPr id="20"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2" descr=""/>
                    <pic:cNvPicPr>
                      <a:picLocks noChangeAspect="1" noChangeArrowheads="1"/>
                    </pic:cNvPicPr>
                  </pic:nvPicPr>
                  <pic:blipFill>
                    <a:blip r:embed="rId39"/>
                    <a:stretch>
                      <a:fillRect/>
                    </a:stretch>
                  </pic:blipFill>
                  <pic:spPr bwMode="auto">
                    <a:xfrm>
                      <a:off x="0" y="0"/>
                      <a:ext cx="5076190" cy="6480175"/>
                    </a:xfrm>
                    <a:prstGeom prst="rect">
                      <a:avLst/>
                    </a:prstGeom>
                  </pic:spPr>
                </pic:pic>
              </a:graphicData>
            </a:graphic>
          </wp:inline>
        </w:drawing>
      </w:r>
      <w:r>
        <w:rPr/>
        <w:t>(Quelle: Softzoll GmbH &amp; Co. KG, 2023)</w:t>
      </w:r>
    </w:p>
    <w:p>
      <w:pPr>
        <w:pStyle w:val="Abbildungstitel"/>
        <w:rPr>
          <w:rStyle w:val="Grundzenglisch"/>
          <w:bCs/>
          <w:lang w:val="de-DE"/>
        </w:rPr>
      </w:pPr>
      <w:bookmarkStart w:id="79" w:name="_Toc141868555"/>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19</w:t>
      </w:r>
      <w:r>
        <w:rPr>
          <w:rStyle w:val="Grundzfett"/>
        </w:rPr>
        <w:fldChar w:fldCharType="end"/>
      </w:r>
      <w:r>
        <w:rPr>
          <w:rStyle w:val="Grundzfett"/>
        </w:rPr>
        <w:t>:</w:t>
      </w:r>
      <w:r>
        <w:rPr/>
        <w:t xml:space="preserve"> Testbericht zum Test der Software „Progress Monitor“, Seite 4</w:t>
      </w:r>
      <w:bookmarkEnd w:id="79"/>
    </w:p>
    <w:p>
      <w:pPr>
        <w:pStyle w:val="Normal"/>
        <w:rPr>
          <w:szCs w:val="20"/>
        </w:rPr>
      </w:pPr>
      <w:r>
        <w:rPr>
          <w:szCs w:val="20"/>
        </w:rPr>
      </w:r>
    </w:p>
    <w:p>
      <w:pPr>
        <w:pStyle w:val="Normal"/>
        <w:rPr>
          <w:szCs w:val="20"/>
        </w:rPr>
      </w:pPr>
      <w:r>
        <w:rPr>
          <w:szCs w:val="20"/>
        </w:rPr>
      </w:r>
      <w:r>
        <w:br w:type="page"/>
      </w:r>
    </w:p>
    <w:p>
      <w:pPr>
        <w:pStyle w:val="GrafikQuelle"/>
        <w:rPr>
          <w:rStyle w:val="Grundzfett"/>
        </w:rPr>
      </w:pPr>
      <w:r>
        <w:rPr/>
        <w:drawing>
          <wp:inline distT="0" distB="0" distL="0" distR="0">
            <wp:extent cx="5076190" cy="6480175"/>
            <wp:effectExtent l="0" t="0" r="0" b="0"/>
            <wp:docPr id="21"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3" descr=""/>
                    <pic:cNvPicPr>
                      <a:picLocks noChangeAspect="1" noChangeArrowheads="1"/>
                    </pic:cNvPicPr>
                  </pic:nvPicPr>
                  <pic:blipFill>
                    <a:blip r:embed="rId40"/>
                    <a:stretch>
                      <a:fillRect/>
                    </a:stretch>
                  </pic:blipFill>
                  <pic:spPr bwMode="auto">
                    <a:xfrm>
                      <a:off x="0" y="0"/>
                      <a:ext cx="5076190" cy="6480175"/>
                    </a:xfrm>
                    <a:prstGeom prst="rect">
                      <a:avLst/>
                    </a:prstGeom>
                  </pic:spPr>
                </pic:pic>
              </a:graphicData>
            </a:graphic>
          </wp:inline>
        </w:drawing>
      </w:r>
      <w:r>
        <w:rPr/>
        <w:t>(Quelle: Softzoll GmbH &amp; Co. KG, 2023)</w:t>
      </w:r>
    </w:p>
    <w:p>
      <w:pPr>
        <w:pStyle w:val="Abbildungstitel"/>
        <w:rPr>
          <w:rStyle w:val="Grundzenglisch"/>
          <w:bCs/>
          <w:lang w:val="de-DE"/>
        </w:rPr>
      </w:pPr>
      <w:bookmarkStart w:id="80" w:name="_Toc141868556"/>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20</w:t>
      </w:r>
      <w:r>
        <w:rPr>
          <w:rStyle w:val="Grundzfett"/>
        </w:rPr>
        <w:fldChar w:fldCharType="end"/>
      </w:r>
      <w:r>
        <w:rPr>
          <w:rStyle w:val="Grundzfett"/>
        </w:rPr>
        <w:t>:</w:t>
      </w:r>
      <w:r>
        <w:rPr/>
        <w:t xml:space="preserve"> Testbericht zum Test der Software „Progress Monitor“, Seite 5</w:t>
      </w:r>
      <w:bookmarkEnd w:id="80"/>
    </w:p>
    <w:p>
      <w:pPr>
        <w:pStyle w:val="Normal"/>
        <w:rPr>
          <w:szCs w:val="20"/>
        </w:rPr>
      </w:pPr>
      <w:r>
        <w:rPr>
          <w:szCs w:val="20"/>
        </w:rPr>
      </w:r>
      <w:r>
        <w:br w:type="page"/>
      </w:r>
    </w:p>
    <w:p>
      <w:pPr>
        <w:pStyle w:val="GrafikQuelle"/>
        <w:rPr>
          <w:rStyle w:val="Grundzfett"/>
        </w:rPr>
      </w:pPr>
      <w:r>
        <w:rPr/>
        <w:drawing>
          <wp:inline distT="0" distB="0" distL="0" distR="0">
            <wp:extent cx="5043805" cy="6480175"/>
            <wp:effectExtent l="0" t="0" r="0" b="0"/>
            <wp:docPr id="2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4" descr=""/>
                    <pic:cNvPicPr>
                      <a:picLocks noChangeAspect="1" noChangeArrowheads="1"/>
                    </pic:cNvPicPr>
                  </pic:nvPicPr>
                  <pic:blipFill>
                    <a:blip r:embed="rId41"/>
                    <a:stretch>
                      <a:fillRect/>
                    </a:stretch>
                  </pic:blipFill>
                  <pic:spPr bwMode="auto">
                    <a:xfrm>
                      <a:off x="0" y="0"/>
                      <a:ext cx="5043805" cy="6480175"/>
                    </a:xfrm>
                    <a:prstGeom prst="rect">
                      <a:avLst/>
                    </a:prstGeom>
                  </pic:spPr>
                </pic:pic>
              </a:graphicData>
            </a:graphic>
          </wp:inline>
        </w:drawing>
      </w:r>
      <w:r>
        <w:rPr/>
        <w:t>(Quelle: Softzoll GmbH &amp; Co. KG, 2023)</w:t>
      </w:r>
    </w:p>
    <w:p>
      <w:pPr>
        <w:sectPr>
          <w:headerReference w:type="default" r:id="rId42"/>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pStyle w:val="Abbildungstitel"/>
        <w:rPr>
          <w:rStyle w:val="Grundzenglisch"/>
          <w:bCs/>
          <w:lang w:val="de-DE"/>
        </w:rPr>
      </w:pPr>
      <w:bookmarkStart w:id="81" w:name="_Toc141868557"/>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21</w:t>
      </w:r>
      <w:r>
        <w:rPr>
          <w:rStyle w:val="Grundzfett"/>
        </w:rPr>
        <w:fldChar w:fldCharType="end"/>
      </w:r>
      <w:r>
        <w:rPr>
          <w:rStyle w:val="Grundzfett"/>
        </w:rPr>
        <w:t>:</w:t>
      </w:r>
      <w:r>
        <w:rPr/>
        <w:t xml:space="preserve"> Testbericht zum Test der Software „Progress Monitor“, Seite 6</w:t>
      </w:r>
      <w:bookmarkEnd w:id="81"/>
    </w:p>
    <w:p>
      <w:pPr>
        <w:pStyle w:val="Berschrift8"/>
        <w:spacing w:before="0" w:after="160"/>
        <w:rPr>
          <w:rStyle w:val="Grundzenglisch"/>
          <w:bCs/>
          <w:lang w:val="de-DE"/>
        </w:rPr>
      </w:pPr>
      <w:bookmarkStart w:id="82" w:name="_Toc141868487"/>
      <w:r>
        <w:rPr>
          <w:rStyle w:val="Grundzenglisch"/>
          <w:bCs/>
          <w:lang w:val="de-DE"/>
        </w:rPr>
        <w:t>BPMN zum Prozess „Softwaretest“</w:t>
      </w:r>
      <w:bookmarkEnd w:id="82"/>
    </w:p>
    <w:p>
      <w:pPr>
        <w:pStyle w:val="Grundtext"/>
        <w:keepNext w:val="true"/>
        <w:jc w:val="center"/>
        <w:rPr>
          <w:rStyle w:val="Grundzenglisch"/>
          <w:bCs/>
          <w:lang w:val="de-DE"/>
        </w:rPr>
      </w:pPr>
      <w:r>
        <w:rPr/>
        <w:drawing>
          <wp:inline distT="0" distB="0" distL="0" distR="0">
            <wp:extent cx="8898890" cy="2903855"/>
            <wp:effectExtent l="0" t="0" r="0" b="0"/>
            <wp:docPr id="23"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15" descr=""/>
                    <pic:cNvPicPr>
                      <a:picLocks noChangeAspect="1" noChangeArrowheads="1"/>
                    </pic:cNvPicPr>
                  </pic:nvPicPr>
                  <pic:blipFill>
                    <a:blip r:embed="rId43"/>
                    <a:stretch>
                      <a:fillRect/>
                    </a:stretch>
                  </pic:blipFill>
                  <pic:spPr bwMode="auto">
                    <a:xfrm>
                      <a:off x="0" y="0"/>
                      <a:ext cx="8898890" cy="2903855"/>
                    </a:xfrm>
                    <a:prstGeom prst="rect">
                      <a:avLst/>
                    </a:prstGeom>
                  </pic:spPr>
                </pic:pic>
              </a:graphicData>
            </a:graphic>
          </wp:inline>
        </w:drawing>
      </w:r>
    </w:p>
    <w:p>
      <w:pPr>
        <w:pStyle w:val="GrafikQuelle"/>
        <w:rPr>
          <w:rStyle w:val="Grundzfett"/>
        </w:rPr>
      </w:pPr>
      <w:r>
        <w:rPr/>
        <w:t>(Quelle: Softzoll GmbH &amp; Co. KG, 2023)</w:t>
      </w:r>
    </w:p>
    <w:p>
      <w:pPr>
        <w:sectPr>
          <w:headerReference w:type="default" r:id="rId44"/>
          <w:footnotePr>
            <w:numFmt w:val="decimal"/>
          </w:footnotePr>
          <w:type w:val="nextPage"/>
          <w:pgSz w:orient="landscape" w:w="16838" w:h="11906"/>
          <w:pgMar w:left="1134" w:right="1701" w:header="720" w:top="1701" w:footer="0" w:bottom="1701" w:gutter="0"/>
          <w:pgNumType w:fmt="decimal"/>
          <w:formProt w:val="false"/>
          <w:textDirection w:val="lrTb"/>
          <w:docGrid w:type="default" w:linePitch="360" w:charSpace="0"/>
        </w:sectPr>
        <w:pStyle w:val="Abbildungstitel"/>
        <w:rPr>
          <w:rStyle w:val="Grundzenglisch"/>
          <w:bCs/>
          <w:lang w:val="de-DE"/>
        </w:rPr>
      </w:pPr>
      <w:bookmarkStart w:id="83" w:name="_Toc141868558"/>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10</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22</w:t>
      </w:r>
      <w:r>
        <w:rPr>
          <w:rStyle w:val="Grundzfett"/>
        </w:rPr>
        <w:fldChar w:fldCharType="end"/>
      </w:r>
      <w:r>
        <w:rPr>
          <w:rStyle w:val="Grundzfett"/>
        </w:rPr>
        <w:t>:</w:t>
      </w:r>
      <w:r>
        <w:rPr/>
        <w:t xml:space="preserve"> BPMN zum Prozess „Softwaretest“</w:t>
      </w:r>
      <w:bookmarkEnd w:id="83"/>
    </w:p>
    <w:p>
      <w:pPr>
        <w:pStyle w:val="BerschriftVerzeichnis"/>
        <w:numPr>
          <w:ilvl w:val="0"/>
          <w:numId w:val="0"/>
        </w:numPr>
        <w:ind w:left="851" w:hanging="851"/>
        <w:rPr>
          <w:rStyle w:val="Grundzenglisch"/>
          <w:bCs/>
          <w:lang w:val="de-DE"/>
        </w:rPr>
      </w:pPr>
      <w:bookmarkStart w:id="84" w:name="Literaturverzeichnis"/>
      <w:bookmarkStart w:id="85" w:name="_Toc395354983"/>
      <w:bookmarkStart w:id="86" w:name="_Toc141868488"/>
      <w:bookmarkStart w:id="87" w:name="_Toc3953549821"/>
      <w:bookmarkEnd w:id="87"/>
      <w:r>
        <w:rPr/>
        <w:t>Literaturverzeichnis</w:t>
      </w:r>
      <w:bookmarkEnd w:id="84"/>
      <w:bookmarkEnd w:id="85"/>
      <w:bookmarkEnd w:id="86"/>
    </w:p>
    <w:p>
      <w:pPr>
        <w:pStyle w:val="Bibliography"/>
        <w:rPr>
          <w:rStyle w:val="Grundzenglisch"/>
          <w:bCs/>
          <w:lang w:val="de-DE"/>
        </w:rPr>
      </w:pPr>
      <w:r>
        <w:fldChar w:fldCharType="begin"/>
      </w:r>
      <w:r>
        <w:rPr/>
        <w:instrText>ADDIN ZOTERO_BIBL {"uncited":[],"omitted":[],"custom":[]} CSL_BIBLIOGRAPHY</w:instrText>
      </w:r>
      <w:r>
        <w:rPr/>
      </w:r>
      <w:r>
        <w:rPr/>
        <w:fldChar w:fldCharType="separate"/>
      </w:r>
      <w:r>
        <w:rPr/>
        <w:t xml:space="preserve">Aichele, C., &amp; Schönberger, M. (Hrsg.). (2014). </w:t>
      </w:r>
      <w:r>
        <w:rPr>
          <w:i/>
          <w:iCs/>
        </w:rPr>
        <w:t>App4U: Mehrwerte durch Apps im B2B und B2C</w:t>
      </w:r>
      <w:r>
        <w:rPr/>
        <w:t>. Springer Fachmedien Wiesbaden. https://doi.org/10.1007/978-3-8348-2436-3</w:t>
      </w:r>
    </w:p>
    <w:p>
      <w:pPr>
        <w:pStyle w:val="Bibliography"/>
        <w:rPr>
          <w:rStyle w:val="Grundzenglisch"/>
          <w:bCs/>
          <w:lang w:val="de-DE"/>
        </w:rPr>
      </w:pPr>
      <w:r>
        <w:rPr/>
        <w:t xml:space="preserve">Alpar, P., Alt, R., Bensberg, F., &amp; Czarnecki, C. (2023). </w:t>
      </w:r>
      <w:r>
        <w:rPr>
          <w:i/>
          <w:iCs/>
        </w:rPr>
        <w:t>Anwendungsorientierte Wirtschaftsinformatik: Strategische Planung, Entwicklung und Nutzung von Informationssystemen</w:t>
      </w:r>
      <w:r>
        <w:rPr/>
        <w:t>. Springer Fachmedien Wiesbaden. https://doi.org/10.1007/978-3-658-40352-2</w:t>
      </w:r>
    </w:p>
    <w:p>
      <w:pPr>
        <w:pStyle w:val="Bibliography"/>
        <w:rPr>
          <w:rStyle w:val="Grundzenglisch"/>
          <w:bCs/>
          <w:lang w:val="de-DE"/>
        </w:rPr>
      </w:pPr>
      <w:r>
        <w:rPr/>
        <w:t xml:space="preserve">Alt, R., Auth, G., &amp; Kögler, C. (2017). </w:t>
      </w:r>
      <w:r>
        <w:rPr>
          <w:i/>
          <w:iCs/>
        </w:rPr>
        <w:t>Innovationsorientiertes IT-Management mit DevOps</w:t>
      </w:r>
      <w:r>
        <w:rPr/>
        <w:t>. Springer Fachmedien Wiesbaden. https://doi.org/10.1007/978-3-658-18704-0</w:t>
      </w:r>
    </w:p>
    <w:p>
      <w:pPr>
        <w:pStyle w:val="Bibliography"/>
        <w:rPr>
          <w:rStyle w:val="Grundzenglisch"/>
          <w:bCs/>
          <w:lang w:val="de-DE"/>
        </w:rPr>
      </w:pPr>
      <w:r>
        <w:rPr/>
        <w:t xml:space="preserve">Bayer, M. (2023). </w:t>
      </w:r>
      <w:r>
        <w:rPr>
          <w:i/>
          <w:iCs/>
        </w:rPr>
        <w:t>Installation von Tomcat und EDI-Portal</w:t>
      </w:r>
      <w:r>
        <w:rPr/>
        <w:t>. Softzoll GmbH &amp; Co. KG.</w:t>
      </w:r>
    </w:p>
    <w:p>
      <w:pPr>
        <w:pStyle w:val="Bibliography"/>
        <w:rPr>
          <w:rStyle w:val="Grundzenglisch"/>
          <w:bCs/>
          <w:lang w:val="de-DE"/>
        </w:rPr>
      </w:pPr>
      <w:r>
        <w:rPr/>
        <w:t xml:space="preserve">Bechmann, R., &amp; Landerer, S. (2010). </w:t>
      </w:r>
      <w:r>
        <w:rPr>
          <w:i/>
          <w:iCs/>
        </w:rPr>
        <w:t>Qualitätsmanagement und kontinuierlicher Verbesserungsprozess</w:t>
      </w:r>
      <w:r>
        <w:rPr/>
        <w:t>. Bund-Verl.</w:t>
      </w:r>
    </w:p>
    <w:p>
      <w:pPr>
        <w:pStyle w:val="Bibliography"/>
        <w:rPr>
          <w:rStyle w:val="Grundzenglisch"/>
          <w:bCs/>
          <w:lang w:val="de-DE"/>
        </w:rPr>
      </w:pPr>
      <w:r>
        <w:rPr/>
        <w:t xml:space="preserve">Beifuss, A., &amp; Holzbaur, U. (2020). </w:t>
      </w:r>
      <w:r>
        <w:rPr>
          <w:i/>
          <w:iCs/>
        </w:rPr>
        <w:t>Projektmanagement für Studierende: Strategie und Methode für ein erfolgreiches Studium</w:t>
      </w:r>
      <w:r>
        <w:rPr/>
        <w:t>. Springer Fachmedien Wiesbaden. https://doi.org/10.1007/978-3-658-32664-7</w:t>
      </w:r>
    </w:p>
    <w:p>
      <w:pPr>
        <w:pStyle w:val="Bibliography"/>
        <w:rPr>
          <w:rStyle w:val="Grundzenglisch"/>
          <w:bCs/>
          <w:lang w:val="de-DE"/>
        </w:rPr>
      </w:pPr>
      <w:r>
        <w:rPr/>
        <w:t xml:space="preserve">Broy, M. (2023). </w:t>
      </w:r>
      <w:r>
        <w:rPr>
          <w:i/>
          <w:iCs/>
        </w:rPr>
        <w:t>Logische und Methodische Grundlagen der Entwicklung verteilter Systeme: Unter Mitarbeit von Alexander Malkis</w:t>
      </w:r>
      <w:r>
        <w:rPr/>
        <w:t>. Springer Berlin Heidelberg. https://doi.org/10.1007/978-3-662-67317-1</w:t>
      </w:r>
    </w:p>
    <w:p>
      <w:pPr>
        <w:pStyle w:val="Bibliography"/>
        <w:rPr>
          <w:rStyle w:val="Grundzenglisch"/>
          <w:bCs/>
          <w:lang w:val="de-DE"/>
        </w:rPr>
      </w:pPr>
      <w:r>
        <w:rPr/>
        <w:t xml:space="preserve">Burnus, H. (2008). </w:t>
      </w:r>
      <w:r>
        <w:rPr>
          <w:i/>
          <w:iCs/>
        </w:rPr>
        <w:t>Datenbankentwicklung in IT-Berufen: Eine praktisch orientierte Einführung mit MS Access und MySQL ; [mit Online-Service zum Buch]</w:t>
      </w:r>
      <w:r>
        <w:rPr/>
        <w:t xml:space="preserve"> (1. Aufl). Vieweg.</w:t>
      </w:r>
    </w:p>
    <w:p>
      <w:pPr>
        <w:pStyle w:val="Bibliography"/>
        <w:rPr>
          <w:rStyle w:val="Grundzenglisch"/>
          <w:bCs/>
          <w:lang w:val="de-DE"/>
        </w:rPr>
      </w:pPr>
      <w:r>
        <w:rPr/>
        <w:t xml:space="preserve">Carle, G., Günther, S., Herold, N., &amp; Posselt, S. (2013). </w:t>
      </w:r>
      <w:r>
        <w:rPr>
          <w:i/>
          <w:iCs/>
        </w:rPr>
        <w:t>Was_ist_Subversion_TU_Munich.pdf</w:t>
      </w:r>
      <w:r>
        <w:rPr/>
        <w:t>. Technische Universität München. https://www.net.in.tum.de/pub/grnvs/2013/svnintro.pdf</w:t>
      </w:r>
    </w:p>
    <w:p>
      <w:pPr>
        <w:pStyle w:val="Bibliography"/>
        <w:rPr>
          <w:rStyle w:val="Grundzenglisch"/>
          <w:bCs/>
          <w:lang w:val="de-DE"/>
        </w:rPr>
      </w:pPr>
      <w:r>
        <w:rPr/>
        <w:t xml:space="preserve">Frick, D., Gadatsch, A., &amp; Schäffer-Külz, U. G. (2008). </w:t>
      </w:r>
      <w:r>
        <w:rPr>
          <w:i/>
          <w:iCs/>
        </w:rPr>
        <w:t>Grundkurs SAP ERP</w:t>
      </w:r>
      <w:r>
        <w:rPr/>
        <w:t>. Vieweg+Teubner. https://doi.org/10.1007/978-3-8348-9264-5</w:t>
      </w:r>
    </w:p>
    <w:p>
      <w:pPr>
        <w:pStyle w:val="Bibliography"/>
        <w:rPr>
          <w:rStyle w:val="Grundzenglisch"/>
          <w:bCs/>
          <w:lang w:val="de-DE"/>
        </w:rPr>
      </w:pPr>
      <w:r>
        <w:rPr/>
        <w:t xml:space="preserve">Frühauf, K., Ludewig, J., &amp; Sandmayr, H. (2007). </w:t>
      </w:r>
      <w:r>
        <w:rPr>
          <w:i/>
          <w:iCs/>
        </w:rPr>
        <w:t>Software-Prüfung: Eine Anleitung zum Test und zur Inspektion</w:t>
      </w:r>
      <w:r>
        <w:rPr/>
        <w:t xml:space="preserve"> (6.). vdf Hochschulverlag AG.</w:t>
      </w:r>
    </w:p>
    <w:p>
      <w:pPr>
        <w:pStyle w:val="Bibliography"/>
        <w:rPr>
          <w:rStyle w:val="Grundzenglisch"/>
          <w:bCs/>
          <w:lang w:val="de-DE"/>
        </w:rPr>
      </w:pPr>
      <w:r>
        <w:rPr/>
        <w:t xml:space="preserve">Gehring, H., &amp; Gabriel, R. (2022). </w:t>
      </w:r>
      <w:r>
        <w:rPr>
          <w:i/>
          <w:iCs/>
        </w:rPr>
        <w:t>Wirtschaftsinformatik</w:t>
      </w:r>
      <w:r>
        <w:rPr/>
        <w:t>. Springer Fachmedien Wiesbaden. https://doi.org/10.1007/978-3-658-37702-1</w:t>
      </w:r>
    </w:p>
    <w:p>
      <w:pPr>
        <w:pStyle w:val="Bibliography"/>
        <w:rPr>
          <w:rStyle w:val="Grundzenglisch"/>
          <w:bCs/>
          <w:lang w:val="de-DE"/>
        </w:rPr>
      </w:pPr>
      <w:r>
        <w:rPr/>
        <w:t xml:space="preserve">Halstenberg, J., Pfitzinger, B., &amp; Jestädt, T. (2020). </w:t>
      </w:r>
      <w:r>
        <w:rPr>
          <w:i/>
          <w:iCs/>
        </w:rPr>
        <w:t>DevOps: Ein Überblick</w:t>
      </w:r>
      <w:r>
        <w:rPr/>
        <w:t>. Springer Fachmedien Wiesbaden. https://doi.org/10.1007/978-3-658-31405-7</w:t>
      </w:r>
    </w:p>
    <w:p>
      <w:pPr>
        <w:pStyle w:val="Bibliography"/>
        <w:rPr>
          <w:rStyle w:val="Grundzenglisch"/>
          <w:bCs/>
          <w:lang w:val="de-DE"/>
        </w:rPr>
      </w:pPr>
      <w:r>
        <w:rPr/>
        <w:t xml:space="preserve">Herrmann, A. (2022). </w:t>
      </w:r>
      <w:r>
        <w:rPr>
          <w:i/>
          <w:iCs/>
        </w:rPr>
        <w:t>Grundlagen der Anforderungsanalyse: Standardkonformes Requirements Engineering</w:t>
      </w:r>
      <w:r>
        <w:rPr/>
        <w:t>. Springer Fachmedien Wiesbaden. https://doi.org/10.1007/978-3-658-35460-2</w:t>
      </w:r>
    </w:p>
    <w:p>
      <w:pPr>
        <w:pStyle w:val="Bibliography"/>
        <w:rPr>
          <w:rStyle w:val="Grundzenglisch"/>
          <w:bCs/>
          <w:lang w:val="de-DE"/>
        </w:rPr>
      </w:pPr>
      <w:r>
        <w:rPr/>
        <w:t xml:space="preserve">Hoffmann, D. W. (2013). </w:t>
      </w:r>
      <w:r>
        <w:rPr>
          <w:i/>
          <w:iCs/>
        </w:rPr>
        <w:t>Software-Qualität</w:t>
      </w:r>
      <w:r>
        <w:rPr/>
        <w:t>. Springer Berlin Heidelberg. https://doi.org/10.1007/978-3-642-35700-8</w:t>
      </w:r>
    </w:p>
    <w:p>
      <w:pPr>
        <w:pStyle w:val="Bibliography"/>
        <w:rPr>
          <w:rStyle w:val="Grundzenglisch"/>
          <w:bCs/>
          <w:lang w:val="de-DE"/>
        </w:rPr>
      </w:pPr>
      <w:r>
        <w:rPr/>
        <w:t xml:space="preserve">Kaufmann, J., &amp; Mülder, W. (2023a). </w:t>
      </w:r>
      <w:r>
        <w:rPr>
          <w:i/>
          <w:iCs/>
        </w:rPr>
        <w:t>Grundkurs Wirtschaftsinformatik: Eine kompakte und praxisorientierte Einführung</w:t>
      </w:r>
      <w:r>
        <w:rPr/>
        <w:t>. Springer Fachmedien Wiesbaden. https://doi.org/10.1007/978-3-658-37937-7</w:t>
      </w:r>
    </w:p>
    <w:p>
      <w:pPr>
        <w:pStyle w:val="Bibliography"/>
        <w:rPr>
          <w:rStyle w:val="Grundzenglisch"/>
          <w:bCs/>
          <w:lang w:val="de-DE"/>
        </w:rPr>
      </w:pPr>
      <w:r>
        <w:rPr/>
        <w:t xml:space="preserve">Kaufmann, J., &amp; Mülder, W. (2023b). </w:t>
      </w:r>
      <w:r>
        <w:rPr>
          <w:i/>
          <w:iCs/>
        </w:rPr>
        <w:t>Grundkurs Wirtschaftsinformatik: Eine kompakte und praxisorientierte Einführung</w:t>
      </w:r>
      <w:r>
        <w:rPr/>
        <w:t>. Springer Fachmedien Wiesbaden. https://doi.org/10.1007/978-3-658-37937-7</w:t>
      </w:r>
    </w:p>
    <w:p>
      <w:pPr>
        <w:pStyle w:val="Bibliography"/>
        <w:rPr>
          <w:rStyle w:val="Grundzenglisch"/>
          <w:bCs/>
          <w:lang w:val="de-DE"/>
        </w:rPr>
      </w:pPr>
      <w:r>
        <w:rPr/>
        <w:t xml:space="preserve">Kirner, E., Armbruster, H., &amp; Kinkel, S. (2006). </w:t>
      </w:r>
      <w:r>
        <w:rPr>
          <w:i/>
          <w:iCs/>
        </w:rPr>
        <w:t>Kontinuierlicher Verbesserungsprozess-Baustein zur Prozessinnovation in KMU: Nutzung und Effekte von KVP im Verarbeitenden Gewerbe</w:t>
      </w:r>
      <w:r>
        <w:rPr/>
        <w:t>. Mitteilungen aus der ISI-Erhebung-Modernisierung der Produktion.</w:t>
      </w:r>
    </w:p>
    <w:p>
      <w:pPr>
        <w:pStyle w:val="Bibliography"/>
        <w:rPr>
          <w:rStyle w:val="Grundzenglisch"/>
          <w:bCs/>
          <w:lang w:val="de-DE"/>
        </w:rPr>
      </w:pPr>
      <w:r>
        <w:rPr/>
        <w:t xml:space="preserve">Krallmann, H., Schönherr, M., &amp; Trier, M. (2013). </w:t>
      </w:r>
      <w:r>
        <w:rPr>
          <w:i/>
          <w:iCs/>
        </w:rPr>
        <w:t>Systemanalyse im Unternehmen</w:t>
      </w:r>
      <w:r>
        <w:rPr/>
        <w:t xml:space="preserve"> (6. Aufl.). Oldenbourg Verlag München Wien.</w:t>
      </w:r>
    </w:p>
    <w:p>
      <w:pPr>
        <w:pStyle w:val="Bibliography"/>
        <w:rPr>
          <w:rStyle w:val="Grundzenglisch"/>
          <w:bCs/>
          <w:lang w:val="de-DE"/>
        </w:rPr>
      </w:pPr>
      <w:r>
        <w:rPr/>
        <w:t xml:space="preserve">Kusay-Merkle, U. (2018). </w:t>
      </w:r>
      <w:r>
        <w:rPr>
          <w:i/>
          <w:iCs/>
        </w:rPr>
        <w:t>Agiles Projektmanagement im Berufsalltag: Für mittlere und kleine Projekte</w:t>
      </w:r>
      <w:r>
        <w:rPr/>
        <w:t>. Springer Berlin Heidelberg. https://doi.org/10.1007/978-3-662-56800-2</w:t>
      </w:r>
    </w:p>
    <w:p>
      <w:pPr>
        <w:pStyle w:val="Bibliography"/>
        <w:rPr>
          <w:rStyle w:val="Grundzenglisch"/>
          <w:bCs/>
          <w:lang w:val="de-DE"/>
        </w:rPr>
      </w:pPr>
      <w:r>
        <w:rPr/>
        <w:t xml:space="preserve">Meier, A. (2010). </w:t>
      </w:r>
      <w:r>
        <w:rPr>
          <w:i/>
          <w:iCs/>
        </w:rPr>
        <w:t>Relationale und postrelationale Datenbanken</w:t>
      </w:r>
      <w:r>
        <w:rPr/>
        <w:t>. Springer Berlin Heidelberg. https://doi.org/10.1007/978-3-642-05256-9</w:t>
      </w:r>
    </w:p>
    <w:p>
      <w:pPr>
        <w:pStyle w:val="Bibliography"/>
        <w:rPr>
          <w:rStyle w:val="Grundzenglisch"/>
          <w:bCs/>
          <w:lang w:val="de-DE"/>
        </w:rPr>
      </w:pPr>
      <w:r>
        <w:rPr/>
        <w:t xml:space="preserve">ORACLE. (2023). </w:t>
      </w:r>
      <w:r>
        <w:rPr>
          <w:i/>
          <w:iCs/>
        </w:rPr>
        <w:t>ORACLE Java Tutorials</w:t>
      </w:r>
      <w:r>
        <w:rPr/>
        <w:t>. https://docs.oracle.com/javase/tutorial/jdbc/overview/index.html</w:t>
      </w:r>
    </w:p>
    <w:p>
      <w:pPr>
        <w:pStyle w:val="Bibliography"/>
        <w:rPr>
          <w:rStyle w:val="Grundzenglisch"/>
          <w:bCs/>
          <w:lang w:val="de-DE"/>
        </w:rPr>
      </w:pPr>
      <w:r>
        <w:rPr/>
        <w:t xml:space="preserve">Pekša, J. (2018). Extensible Portfolio of Forecasting Methods for ERP Systems: Integration Approach. </w:t>
      </w:r>
      <w:r>
        <w:rPr>
          <w:i/>
          <w:iCs/>
        </w:rPr>
        <w:t>Information Technology and Management Science</w:t>
      </w:r>
      <w:r>
        <w:rPr/>
        <w:t xml:space="preserve">, </w:t>
      </w:r>
      <w:r>
        <w:rPr>
          <w:i/>
          <w:iCs/>
        </w:rPr>
        <w:t>21</w:t>
      </w:r>
      <w:r>
        <w:rPr/>
        <w:t>, 64–68. https://doi.org/10.7250/itms-2018-0010</w:t>
      </w:r>
    </w:p>
    <w:p>
      <w:pPr>
        <w:pStyle w:val="Bibliography"/>
        <w:rPr>
          <w:rStyle w:val="Grundzenglisch"/>
          <w:bCs/>
          <w:lang w:val="de-DE"/>
        </w:rPr>
      </w:pPr>
      <w:r>
        <w:rPr/>
        <w:t xml:space="preserve">Scheer, A.-W., Abolhassan, F., Jost, W., &amp; Kirchmer, M. (Hrsg.). (2003). </w:t>
      </w:r>
      <w:r>
        <w:rPr>
          <w:i/>
          <w:iCs/>
        </w:rPr>
        <w:t>Change Management im Unternehmen</w:t>
      </w:r>
      <w:r>
        <w:rPr/>
        <w:t>. Springer Berlin Heidelberg. https://doi.org/10.1007/978-3-642-19020-9</w:t>
      </w:r>
    </w:p>
    <w:p>
      <w:pPr>
        <w:pStyle w:val="Bibliography"/>
        <w:rPr>
          <w:rStyle w:val="Grundzenglisch"/>
          <w:bCs/>
          <w:lang w:val="de-DE"/>
        </w:rPr>
      </w:pPr>
      <w:r>
        <w:rPr/>
        <w:t xml:space="preserve">Simons, A., Niehaves, B., Niehaves, B., Reimer, K., &amp; vom Brocke, J. (2009). RECONSTRUCTING THE GIANT: ON THE IMPORTANCE OF RIGOUR IN DOCUMENTING THE LITERATURE SEARCH PROCESS. </w:t>
      </w:r>
      <w:r>
        <w:rPr>
          <w:i/>
          <w:iCs/>
        </w:rPr>
        <w:t>AIS Electronic Library</w:t>
      </w:r>
      <w:r>
        <w:rPr/>
        <w:t>. https://aisel.aisnet.org/ecis2009</w:t>
      </w:r>
    </w:p>
    <w:p>
      <w:pPr>
        <w:pStyle w:val="Bibliography"/>
        <w:rPr>
          <w:rStyle w:val="Grundzenglisch"/>
          <w:bCs/>
          <w:lang w:val="de-DE"/>
        </w:rPr>
      </w:pPr>
      <w:r>
        <w:rPr/>
        <w:t xml:space="preserve">Timinger, H. (2015). </w:t>
      </w:r>
      <w:r>
        <w:rPr>
          <w:i/>
          <w:iCs/>
        </w:rPr>
        <w:t>Wiley-Schnellkurs Projektmanagement</w:t>
      </w:r>
      <w:r>
        <w:rPr/>
        <w:t>. Wiley-VCH Verlag GmbH &amp; Co. KGaA.</w:t>
      </w:r>
    </w:p>
    <w:p>
      <w:pPr>
        <w:pStyle w:val="Bibliography"/>
        <w:rPr>
          <w:rStyle w:val="Grundzenglisch"/>
          <w:bCs/>
          <w:lang w:val="de-DE"/>
        </w:rPr>
      </w:pPr>
      <w:r>
        <w:rPr/>
        <w:t xml:space="preserve">Valentini, U., Weißbach, R., Fahney, R., Gartung, T., Glunde, J., Herrmann, A., Hoffmann, A., &amp; Knauss, E. (2013). </w:t>
      </w:r>
      <w:r>
        <w:rPr>
          <w:i/>
          <w:iCs/>
        </w:rPr>
        <w:t>Requirements Engineering und Projektmanagement</w:t>
      </w:r>
      <w:r>
        <w:rPr/>
        <w:t xml:space="preserve"> (A. Herrmann, E. Knauss, &amp; R. Weißbach, Hrsg.). Springer Berlin Heidelberg. https://doi.org/10.1007/978-3-642-29432-7</w:t>
      </w:r>
    </w:p>
    <w:p>
      <w:pPr>
        <w:pStyle w:val="Bibliography"/>
        <w:rPr>
          <w:rStyle w:val="Grundzenglisch"/>
          <w:bCs/>
          <w:lang w:val="de-DE"/>
        </w:rPr>
      </w:pPr>
      <w:r>
        <w:rPr/>
        <w:t xml:space="preserve">Wack, J. (2007). </w:t>
      </w:r>
      <w:r>
        <w:rPr>
          <w:i/>
          <w:iCs/>
        </w:rPr>
        <w:t>Risikomanagement für IT-Projekte</w:t>
      </w:r>
      <w:r>
        <w:rPr/>
        <w:t xml:space="preserve"> (1. Aufl). Dt. Univ.-Verl.</w:t>
      </w:r>
    </w:p>
    <w:p>
      <w:pPr>
        <w:pStyle w:val="Bibliography"/>
        <w:rPr>
          <w:rStyle w:val="Grundzenglisch"/>
          <w:bCs/>
          <w:lang w:val="de-DE"/>
        </w:rPr>
      </w:pPr>
      <w:r>
        <w:rPr/>
      </w:r>
      <w:r>
        <w:rPr/>
        <w:fldChar w:fldCharType="end"/>
      </w:r>
    </w:p>
    <w:p>
      <w:pPr>
        <w:pStyle w:val="Grundtextwieberschr1"/>
        <w:numPr>
          <w:ilvl w:val="0"/>
          <w:numId w:val="0"/>
        </w:numPr>
        <w:ind w:left="851" w:hanging="851"/>
        <w:rPr>
          <w:rStyle w:val="Grundzenglisch"/>
          <w:bCs/>
          <w:lang w:val="de-DE"/>
        </w:rPr>
      </w:pPr>
      <w:r>
        <w:rPr/>
        <w:t>Abschließende Erklärung</w:t>
      </w:r>
    </w:p>
    <w:p>
      <w:pPr>
        <w:pStyle w:val="Grundtext"/>
        <w:rPr>
          <w:rStyle w:val="Grundzenglisch"/>
          <w:bCs/>
          <w:lang w:val="de-DE"/>
        </w:rPr>
      </w:pPr>
      <w:r>
        <w:rPr>
          <w:bCs/>
          <w:lang w:val="de-DE"/>
        </w:rPr>
      </w:r>
    </w:p>
    <w:p>
      <w:pPr>
        <w:pStyle w:val="Grundtext"/>
        <w:rPr>
          <w:rStyle w:val="Grundzenglisch"/>
          <w:bCs/>
          <w:lang w:val="de-DE"/>
        </w:rPr>
      </w:pPr>
      <w:r>
        <w:rPr/>
        <w:t xml:space="preserve">Ich versichere hiermit, dass ich die vorliegende Arbeit selbstständig, ohne unzulässige Hilfe Dritter und ohne Benutzung anderer als der angegebenen Hilfsmittel angefertigt habe. Die aus fremden Quellen direkt oder indirekt übernommenen Gedanken sind als solche kenntlich gemacht. </w:t>
      </w:r>
    </w:p>
    <w:p>
      <w:pPr>
        <w:pStyle w:val="Grundtext"/>
        <w:rPr>
          <w:rStyle w:val="Grundzenglisch"/>
          <w:bCs/>
          <w:lang w:val="de-DE"/>
        </w:rPr>
      </w:pPr>
      <w:r>
        <w:rPr/>
        <w:t>Berlin, den 25. August 2023</w:t>
      </w:r>
    </w:p>
    <w:p>
      <w:pPr>
        <w:pStyle w:val="Grundtext"/>
        <w:spacing w:before="0" w:after="240"/>
        <w:rPr>
          <w:rStyle w:val="Grundzenglisch"/>
          <w:bCs/>
          <w:lang w:val="de-DE"/>
        </w:rPr>
      </w:pPr>
      <w:r>
        <w:rPr/>
      </w:r>
    </w:p>
    <w:sectPr>
      <w:headerReference w:type="default" r:id="rId45"/>
      <w:footnotePr>
        <w:numFmt w:val="decimal"/>
      </w:footnotePr>
      <w:type w:val="nextPage"/>
      <w:pgSz w:w="11906" w:h="16838"/>
      <w:pgMar w:left="1701" w:right="1701" w:header="720" w:top="1701" w:footer="0" w:bottom="1134"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G" w:date="2023-08-07T11:04:1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Einheitlich deutsch oder englisch → und statt and</w:t>
      </w:r>
    </w:p>
  </w:comment>
  <w:comment w:id="1" w:author="AG" w:date="2023-08-08T11:10:2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Reihenfolge prüfen:</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IST+SOLL (Anforderung)</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Abweichung ergibt Projektbegründung</w:t>
      </w:r>
    </w:p>
    <w:p>
      <w:r>
        <w:rPr>
          <w:rFonts w:ascii="Liberation Serif" w:hAnsi="Liberation Serif" w:eastAsia="Segoe UI" w:cs="Tahoma"/>
          <w:lang w:val="en-US" w:eastAsia="en-US" w:bidi="en-US"/>
        </w:rPr>
      </w:r>
    </w:p>
  </w:comment>
  <w:comment w:id="2" w:author="AG" w:date="2023-08-07T11:06:0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bzw. steht im Duden</w:t>
      </w:r>
    </w:p>
  </w:comment>
  <w:comment w:id="3" w:author="AG" w:date="2023-08-07T11:06:2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Development- und IT Operations --&gt; ohne Bindestrich und einheitlich englisch</w:t>
      </w:r>
    </w:p>
  </w:comment>
  <w:comment w:id="4" w:author="AG" w:date="2023-08-07T11:06:43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t>
      </w:r>
    </w:p>
  </w:comment>
  <w:comment w:id="5" w:author="AG" w:date="2023-08-07T11:07:1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Vereinheitlichen, deutsch/englisch oder mit Übersetzung</w:t>
      </w:r>
    </w:p>
  </w:comment>
  <w:comment w:id="6" w:author="AG" w:date="2023-08-08T14:49:50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Artikel entfernen</w:t>
      </w:r>
    </w:p>
  </w:comment>
  <w:comment w:id="7" w:author="AG" w:date="2023-08-07T11:07:48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große Lücke zur nächsten Seite</w:t>
      </w:r>
    </w:p>
  </w:comment>
  <w:comment w:id="8" w:author="AG" w:date="2023-08-07T11:08:1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nach Dozentenvorlage: Einfache Anführungszeichen kennzeichnen Begriffe. Doppelte Anführungszeichen kennzeichnen Zitate und wörtliche Rede.</w:t>
      </w:r>
    </w:p>
  </w:comment>
  <w:comment w:id="9" w:author="AG" w:date="2023-08-07T11:11:1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die</w:t>
      </w:r>
    </w:p>
  </w:comment>
  <w:comment w:id="10" w:author="AG" w:date="2023-08-07T11:08:4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Soll wirklich die Methodik der Erstellung der Arbeit beschrieben werden? (höchstens genutzte Software für Recherche + Verwaltung angeben)</w:t>
      </w:r>
    </w:p>
  </w:comment>
  <w:comment w:id="11" w:author="AG" w:date="2023-08-07T11:11:2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unterteilt</w:t>
      </w:r>
    </w:p>
  </w:comment>
  <w:comment w:id="12" w:author="AG" w:date="2023-08-07T11:09:38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In der Einleitung wird bereits auf die Firma eingegangen. Das Unternehmensprofil hat wenig mit der eigentlichen Aufgabe zu tun.</w:t>
      </w:r>
    </w:p>
  </w:comment>
  <w:comment w:id="13" w:author="AG" w:date="2023-08-07T11:10:3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kein Text unter der Hauptüberschrift, wenn es noch Unterüberschriften gibt</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Besser: Zweite Unterüberschrift</w:t>
      </w:r>
    </w:p>
  </w:comment>
  <w:comment w:id="14" w:author="AG" w:date="2023-08-07T11:16:5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Welche Probleme gab es denn?</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Lücken in der bisherigen Arbeitsweise (Probleme + Projektbegründung)</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Projektziel</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Projektumfang und Machbarkeitsanalyse</w:t>
      </w:r>
    </w:p>
  </w:comment>
  <w:comment w:id="15" w:author="AG" w:date="2023-08-07T11:29:3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kein Text unter der Hauptüberschrift, wenn es noch Unterüberschriften gibt</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Besser: Zweite Unterüberschrift</w:t>
      </w:r>
    </w:p>
  </w:comment>
  <w:comment w:id="16" w:author="AG" w:date="2023-08-08T15:06:10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Benutzerrolle</w:t>
      </w:r>
    </w:p>
  </w:comment>
  <w:comment w:id="17" w:author="AG" w:date="2023-08-07T13:32:4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Zusammenfassung der Anforderungen hier im Text erwähnen und ggf. diskutieren.</w:t>
      </w:r>
    </w:p>
  </w:comment>
  <w:comment w:id="18" w:author="AG" w:date="2023-08-07T13:33:30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Zusammenfassung der Risken hier im Text erwähnen und Auswirkungen auf das konkrete Projekt diskutieren. Insbesondere, da ein „interdisziplinäres“ Projekt gefordert wird, ist hier der wirtschaftswissenschaftliche Teil  wesentlich.</w:t>
      </w:r>
    </w:p>
  </w:comment>
  <w:comment w:id="19" w:author="AG" w:date="2023-08-07T13:45:3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Ist damit die Regelebene gemeint?</w:t>
      </w:r>
    </w:p>
  </w:comment>
  <w:comment w:id="20" w:author="AG" w:date="2023-08-07T13:45:56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Ausgangskommunikation fehlt noch</w:t>
      </w:r>
    </w:p>
  </w:comment>
  <w:comment w:id="21" w:author="AG" w:date="2023-08-07T13:38:08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xml:space="preserve">Das führt im Zusammenhang mit dem ProgressMonitor etwas zu weit. Wenn Platz gespart werden soll, können die Einzelheiten der Konvertierung und der Kommunikationsprotokolle hier ausgelagert werden. </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Gilt auch für Tabelle 6.2</w:t>
      </w:r>
    </w:p>
  </w:comment>
  <w:comment w:id="22" w:author="AG" w:date="2023-08-07T13:40:3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BPMN sollte beim ersten Auftreten im Text ausgeschrieben werden.</w:t>
      </w:r>
    </w:p>
  </w:comment>
  <w:comment w:id="23" w:author="AG" w:date="2023-08-07T13:50:2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Zentral ist eigentlich die DB (wie auch in Abb. 6.2). Monitoring beispielsweise setzt weitgehend dort an.</w:t>
      </w:r>
    </w:p>
  </w:comment>
  <w:comment w:id="24" w:author="AG" w:date="2023-08-07T14:28:13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Wichtig wäre auch, bei Fehlern eine Zuordnung der Ursache und der auslösenden Komponente zu erhalten.</w:t>
      </w:r>
    </w:p>
  </w:comment>
  <w:comment w:id="25" w:author="AG" w:date="2023-08-07T14:30:11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Weiter oben wird DevOps zusammengeschrieben.</w:t>
      </w:r>
    </w:p>
  </w:comment>
  <w:comment w:id="26" w:author="AG" w:date="2023-08-07T14:34:3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Ist das auch im Anhang?</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--&gt;Verweis auf Testsequenz im folgenden Kapitel</w:t>
      </w:r>
    </w:p>
  </w:comment>
  <w:comment w:id="27" w:author="AG" w:date="2023-08-07T14:35:3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Das sind Einzelheiten der Installation, die hier eigentlich keine Relevanz haben.</w:t>
      </w:r>
    </w:p>
  </w:comment>
  <w:comment w:id="28" w:author="AG" w:date="2023-08-07T14:36:23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Das sind Einzelheiten der Konfiguration, die hier eigentlich keine Relevanz haben.</w:t>
      </w:r>
    </w:p>
  </w:comment>
  <w:comment w:id="29" w:author="AG" w:date="2023-08-07T14:36:4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Das sind Einzelheiten der Konfiguration, die hier eigentlich keine Relevanz haben.</w:t>
      </w:r>
    </w:p>
  </w:comment>
  <w:comment w:id="30" w:author="AG" w:date="2023-08-07T14:37:3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Leere Seite</w:t>
      </w:r>
    </w:p>
  </w:comment>
  <w:comment w:id="31" w:author="AG" w:date="2023-08-07T14:58:44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Was sind die Ergebnisse der Tests insgesamt (nicht nur des exemplarischen Testfalls)?</w:t>
      </w:r>
    </w:p>
  </w:comment>
  <w:comment w:id="32" w:author="AG" w:date="2023-08-07T14:39:4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Frage: Soll hier wirklich der persönliche Nutzen diskutiert werden?</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Wesentlich wäre, den Nutzen für die Entwicklung der Software und für den Nutzer zu erörtern: klare Testszenarien für Vergleichbarkeit und schnellere Tests. Effektive Nutzung der Ressourcen, Nachvollziehbarkeit der Ergebnisse und einfache Wiederholungsmöglichkeit im Fehlerfall. Dokumentation der Ergebnisse auch für nachfolgende Tests.</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Was sind die Lehren für die weitere Entwicklung der Software ProgressMonitor?</w:t>
      </w:r>
    </w:p>
  </w:comment>
  <w:comment w:id="33" w:author="AG" w:date="2023-08-07T13:59:11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Weiter oben wird DevOps zusammengeschrieben → Vereinheitlichen</w:t>
      </w:r>
    </w:p>
  </w:comment>
  <w:comment w:id="34" w:author="AG" w:date="2023-08-07T14:51:3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Allgemeine Risiken, Anwendung auf das konkrete Projekt?</w:t>
      </w:r>
    </w:p>
  </w:comment>
  <w:comment w:id="35" w:author="AG" w:date="2023-08-07T14:48:54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Frau Kuhlmann heißt Johanna, nicht Johann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unote"/>
        <w:rPr/>
      </w:pPr>
      <w:r>
        <w:rPr>
          <w:rStyle w:val="Funotenzeichen"/>
        </w:rPr>
        <w:footnoteRef/>
      </w:r>
      <w:r>
        <w:rPr/>
        <w:tab/>
        <w:t xml:space="preserve"> </w:t>
      </w:r>
      <w:r>
        <w:rPr/>
        <w:t xml:space="preserve">Verweis zu den </w:t>
      </w:r>
      <w:r>
        <w:rPr/>
        <w:fldChar w:fldCharType="begin"/>
      </w:r>
      <w:r>
        <w:rPr/>
        <w:instrText> REF _Ref141543127 \h </w:instrText>
      </w:r>
      <w:r>
        <w:rPr/>
        <w:fldChar w:fldCharType="separate"/>
      </w:r>
      <w:r>
        <w:rPr/>
        <w:t>Anforderungen aus dem Anforderungsdokument ReqSpec 1.001 vom 26.06.2023</w:t>
      </w:r>
      <w:r>
        <w:rPr/>
        <w:fldChar w:fldCharType="end"/>
      </w:r>
      <w:r>
        <w:rPr/>
        <w:t>.</w:t>
      </w:r>
    </w:p>
  </w:footnote>
  <w:footnote w:id="3">
    <w:p>
      <w:pPr>
        <w:pStyle w:val="Funote"/>
        <w:rPr/>
      </w:pPr>
      <w:r>
        <w:rPr>
          <w:rStyle w:val="Funotenzeichen"/>
        </w:rPr>
        <w:footnoteRef/>
      </w:r>
      <w:r>
        <w:rPr/>
        <w:tab/>
        <w:t xml:space="preserve"> </w:t>
      </w:r>
      <w:r>
        <w:rPr/>
        <w:t xml:space="preserve">Verweis zum </w:t>
      </w:r>
      <w:r>
        <w:rPr/>
        <w:fldChar w:fldCharType="begin"/>
      </w:r>
      <w:r>
        <w:rPr/>
        <w:instrText> REF _Ref141606639 \h </w:instrText>
      </w:r>
      <w:r>
        <w:rPr/>
        <w:fldChar w:fldCharType="separate"/>
      </w:r>
      <w:r>
        <w:rPr/>
        <w:t>Risikokatalog</w:t>
      </w:r>
      <w:r>
        <w:rPr/>
        <w:fldChar w:fldCharType="end"/>
      </w:r>
      <w:r>
        <w:rPr/>
        <w:t>.</w:t>
      </w:r>
    </w:p>
  </w:footnote>
  <w:footnote w:id="4">
    <w:p>
      <w:pPr>
        <w:pStyle w:val="Funote"/>
        <w:rPr/>
      </w:pPr>
      <w:r>
        <w:rPr>
          <w:rStyle w:val="Funotenzeichen"/>
        </w:rPr>
        <w:footnoteRef/>
      </w:r>
      <w:r>
        <w:rPr/>
        <w:tab/>
        <w:t xml:space="preserve"> </w:t>
      </w:r>
      <w:r>
        <w:rPr/>
        <w:t xml:space="preserve">Verweis auf den </w:t>
      </w:r>
      <w:r>
        <w:rPr/>
        <w:fldChar w:fldCharType="begin"/>
      </w:r>
      <w:r>
        <w:rPr/>
        <w:instrText> REF _Ref141634165 \h </w:instrText>
      </w:r>
      <w:r>
        <w:rPr/>
        <w:fldChar w:fldCharType="separate"/>
      </w:r>
      <w:r>
        <w:rPr/>
        <w:t>Testbericht zum Test der Software „Progress-Monitor“</w:t>
      </w:r>
      <w:r>
        <w:rPr/>
        <w:fldChar w:fldCharType="end"/>
      </w:r>
      <w:r>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pBdr>
        <w:bottom w:val="single" w:sz="6" w:space="1" w:color="000000"/>
      </w:pBdr>
      <w:jc w:val="center"/>
      <w:rPr/>
    </w:pPr>
    <w:r>
      <w:rPr/>
      <w:t>Beuth Hochschule für Technik Berlin</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14</w:t>
    </w:r>
    <w:r>
      <w:rPr>
        <w:rStyle w:val="Pagenumber"/>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19</w:t>
    </w:r>
    <w:r>
      <w:rPr>
        <w:rStyle w:val="Pagenumbe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34</w:t>
    </w:r>
    <w:r>
      <w:rPr>
        <w:rStyle w:val="Pagenumbe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35</w:t>
    </w:r>
    <w:r>
      <w:rPr>
        <w:rStyle w:val="Pagenumbe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38</w:t>
    </w:r>
    <w:r>
      <w:rPr>
        <w:rStyle w:val="Pagenumber"/>
      </w:rP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41</w:t>
    </w:r>
    <w:r>
      <w:rPr>
        <w:rStyle w:val="Pagenumber"/>
      </w:rP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46</w:t>
    </w:r>
    <w:r>
      <w:rPr>
        <w:rStyle w:val="Pagenumber"/>
      </w:rPr>
      <w:fldChar w:fldCharType="end"/>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47</w:t>
    </w:r>
    <w:r>
      <w:rPr>
        <w:rStyle w:val="Pagenumbe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pBdr>
        <w:bottom w:val="single" w:sz="6" w:space="1" w:color="000000"/>
      </w:pBdr>
      <w:jc w:val="center"/>
      <w:rPr/>
    </w:pPr>
    <w:r>
      <w:rPr/>
      <w:t>Berliner Hochschule für Technik</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52</w:t>
    </w:r>
    <w:r>
      <w:rPr>
        <w:rStyle w:val="Pagenumbe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VII</w:t>
    </w:r>
    <w:r>
      <w:rPr>
        <w:rStyle w:val="Pagenumbe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III</w:t>
    </w:r>
    <w:r>
      <w:rPr>
        <w:rStyle w:val="Pagenumbe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XIII</w:t>
    </w:r>
    <w:r>
      <w:rPr>
        <w:rStyle w:val="Pagenumbe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7</w:t>
    </w:r>
    <w:r>
      <w:rPr>
        <w:rStyle w:val="Pagenumbe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10</w:t>
    </w:r>
    <w:r>
      <w:rPr>
        <w:rStyle w:val="Pagenumbe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11</w:t>
    </w:r>
    <w:r>
      <w:rPr>
        <w:rStyle w:val="Pagenumbe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Berschrift1"/>
      <w:numFmt w:val="decimal"/>
      <w:lvlText w:val="%1"/>
      <w:lvlJc w:val="left"/>
      <w:pPr>
        <w:tabs>
          <w:tab w:val="num" w:pos="0"/>
        </w:tabs>
        <w:ind w:left="0" w:hanging="0"/>
      </w:pPr>
    </w:lvl>
    <w:lvl w:ilvl="1">
      <w:start w:val="1"/>
      <w:pStyle w:val="Berschrift2"/>
      <w:numFmt w:val="decimal"/>
      <w:lvlText w:val="%1.%2"/>
      <w:lvlJc w:val="left"/>
      <w:pPr>
        <w:tabs>
          <w:tab w:val="num" w:pos="0"/>
        </w:tabs>
        <w:ind w:left="0" w:hanging="0"/>
      </w:pPr>
    </w:lvl>
    <w:lvl w:ilvl="2">
      <w:start w:val="1"/>
      <w:pStyle w:val="Berschrift3"/>
      <w:numFmt w:val="decimal"/>
      <w:lvlText w:val="%1.%2.%3"/>
      <w:lvlJc w:val="left"/>
      <w:pPr>
        <w:tabs>
          <w:tab w:val="num" w:pos="0"/>
        </w:tabs>
        <w:ind w:left="0" w:hanging="0"/>
      </w:pPr>
    </w:lvl>
    <w:lvl w:ilvl="3">
      <w:start w:val="1"/>
      <w:pStyle w:val="Berschrift4"/>
      <w:numFmt w:val="decimal"/>
      <w:lvlText w:val="%1.%2.%3.%4"/>
      <w:lvlJc w:val="left"/>
      <w:pPr>
        <w:tabs>
          <w:tab w:val="num" w:pos="0"/>
        </w:tabs>
        <w:ind w:left="0" w:hanging="0"/>
      </w:pPr>
    </w:lvl>
    <w:lvl w:ilvl="4">
      <w:start w:val="1"/>
      <w:pStyle w:val="Berschrift5"/>
      <w:numFmt w:val="decimal"/>
      <w:lvlText w:val="%1.%2.%3.%4.%5"/>
      <w:lvlJc w:val="left"/>
      <w:pPr>
        <w:tabs>
          <w:tab w:val="num" w:pos="0"/>
        </w:tabs>
        <w:ind w:left="0" w:hanging="0"/>
      </w:pPr>
    </w:lvl>
    <w:lvl w:ilvl="5">
      <w:start w:val="1"/>
      <w:pStyle w:val="Berschrift6"/>
      <w:numFmt w:val="decimal"/>
      <w:lvlText w:val="%1.%2.%3.%4.%5.%6"/>
      <w:lvlJc w:val="left"/>
      <w:pPr>
        <w:tabs>
          <w:tab w:val="num" w:pos="0"/>
        </w:tabs>
        <w:ind w:left="0" w:hanging="0"/>
      </w:pPr>
    </w:lvl>
    <w:lvl w:ilvl="6">
      <w:start w:val="1"/>
      <w:pStyle w:val="Berschrift7"/>
      <w:numFmt w:val="decimal"/>
      <w:lvlText w:val="%1.%2.%3.%4.%5.%6.%7"/>
      <w:lvlJc w:val="left"/>
      <w:pPr>
        <w:tabs>
          <w:tab w:val="num" w:pos="0"/>
        </w:tabs>
        <w:ind w:left="0" w:hanging="0"/>
      </w:pPr>
    </w:lvl>
    <w:lvl w:ilvl="7">
      <w:start w:val="1"/>
      <w:pStyle w:val="Berschrift8"/>
      <w:numFmt w:val="upperLetter"/>
      <w:lvlText w:val="%8"/>
      <w:lvlJc w:val="left"/>
      <w:pPr>
        <w:tabs>
          <w:tab w:val="num" w:pos="0"/>
        </w:tabs>
        <w:ind w:left="0" w:hanging="0"/>
      </w:pPr>
    </w:lvl>
    <w:lvl w:ilvl="8">
      <w:start w:val="1"/>
      <w:pStyle w:val="Berschrift9"/>
      <w:numFmt w:val="lowerLetter"/>
      <w:lvlText w:val="%9"/>
      <w:lvlJc w:val="left"/>
      <w:pPr>
        <w:tabs>
          <w:tab w:val="num" w:pos="0"/>
        </w:tabs>
        <w:ind w:left="0" w:hanging="0"/>
      </w:pPr>
    </w:lvl>
  </w:abstractNum>
  <w:abstractNum w:abstractNumId="2">
    <w:lvl w:ilvl="0">
      <w:start w:val="1"/>
      <w:numFmt w:val="bullet"/>
      <w:lvlText w:val=""/>
      <w:lvlJc w:val="left"/>
      <w:pPr>
        <w:tabs>
          <w:tab w:val="num" w:pos="0"/>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284" w:hanging="284"/>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1287"/>
        </w:tabs>
        <w:ind w:left="1287" w:hanging="360"/>
      </w:pPr>
      <w:rPr>
        <w:rFonts w:ascii="Symbol" w:hAnsi="Symbol" w:cs="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cs="Wingdings" w:hint="default"/>
      </w:rPr>
    </w:lvl>
    <w:lvl w:ilvl="3">
      <w:start w:val="1"/>
      <w:numFmt w:val="bullet"/>
      <w:lvlText w:val=""/>
      <w:lvlJc w:val="left"/>
      <w:pPr>
        <w:tabs>
          <w:tab w:val="num" w:pos="3447"/>
        </w:tabs>
        <w:ind w:left="3447" w:hanging="360"/>
      </w:pPr>
      <w:rPr>
        <w:rFonts w:ascii="Symbol" w:hAnsi="Symbol" w:cs="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cs="Wingdings" w:hint="default"/>
      </w:rPr>
    </w:lvl>
    <w:lvl w:ilvl="6">
      <w:start w:val="1"/>
      <w:numFmt w:val="bullet"/>
      <w:lvlText w:val=""/>
      <w:lvlJc w:val="left"/>
      <w:pPr>
        <w:tabs>
          <w:tab w:val="num" w:pos="5607"/>
        </w:tabs>
        <w:ind w:left="5607" w:hanging="360"/>
      </w:pPr>
      <w:rPr>
        <w:rFonts w:ascii="Symbol" w:hAnsi="Symbol" w:cs="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cs="Wingdings" w:hint="default"/>
      </w:rPr>
    </w:lvl>
  </w:abstractNum>
  <w:abstractNum w:abstractNumId="5">
    <w:lvl w:ilvl="0">
      <w:start w:val="1"/>
      <w:numFmt w:val="bullet"/>
      <w:lvlText w:val=""/>
      <w:lvlJc w:val="left"/>
      <w:pPr>
        <w:tabs>
          <w:tab w:val="num" w:pos="360"/>
        </w:tabs>
        <w:ind w:left="284" w:hanging="284"/>
      </w:pPr>
      <w:rPr>
        <w:rFonts w:ascii="Symbol" w:hAnsi="Symbol" w:cs="Symbol" w:hint="default"/>
      </w:rPr>
    </w:lvl>
    <w:lvl w:ilvl="1">
      <w:start w:val="16"/>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uiPriority="39"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uiPriority="1"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cf37c6"/>
    <w:pPr>
      <w:widowControl/>
      <w:suppressAutoHyphens w:val="true"/>
      <w:bidi w:val="0"/>
      <w:spacing w:before="0" w:after="0"/>
      <w:jc w:val="left"/>
    </w:pPr>
    <w:rPr>
      <w:rFonts w:ascii="Times New Roman" w:hAnsi="Times New Roman" w:eastAsia="Times New Roman" w:cs="Times New Roman"/>
      <w:color w:val="auto"/>
      <w:kern w:val="0"/>
      <w:sz w:val="24"/>
      <w:szCs w:val="24"/>
      <w:lang w:val="de-DE" w:eastAsia="de-DE" w:bidi="ar-SA"/>
    </w:rPr>
  </w:style>
  <w:style w:type="paragraph" w:styleId="Berschrift1">
    <w:name w:val="Heading 1"/>
    <w:next w:val="Grundtext"/>
    <w:link w:val="berschrift1Zchn"/>
    <w:uiPriority w:val="9"/>
    <w:qFormat/>
    <w:pPr>
      <w:keepNext w:val="true"/>
      <w:keepLines/>
      <w:pageBreakBefore/>
      <w:widowControl/>
      <w:numPr>
        <w:ilvl w:val="0"/>
        <w:numId w:val="1"/>
      </w:numPr>
      <w:tabs>
        <w:tab w:val="clear" w:pos="709"/>
        <w:tab w:val="right" w:pos="8494" w:leader="dot"/>
      </w:tabs>
      <w:suppressAutoHyphens w:val="true"/>
      <w:bidi w:val="0"/>
      <w:spacing w:lineRule="exact" w:line="360" w:before="0" w:after="160"/>
      <w:jc w:val="left"/>
      <w:outlineLvl w:val="0"/>
    </w:pPr>
    <w:rPr>
      <w:rFonts w:ascii="Times New Roman" w:hAnsi="Times New Roman" w:eastAsia="Times New Roman" w:cs="Times New Roman"/>
      <w:b/>
      <w:color w:val="auto"/>
      <w:kern w:val="2"/>
      <w:sz w:val="28"/>
      <w:szCs w:val="20"/>
      <w:lang w:val="de-DE" w:eastAsia="de-DE" w:bidi="ar-SA"/>
    </w:rPr>
  </w:style>
  <w:style w:type="paragraph" w:styleId="Berschrift2">
    <w:name w:val="Heading 2"/>
    <w:basedOn w:val="Berschrift1"/>
    <w:next w:val="Grundtext"/>
    <w:link w:val="berschrift2Zchn"/>
    <w:qFormat/>
    <w:pPr>
      <w:pageBreakBefore w:val="false"/>
      <w:numPr>
        <w:ilvl w:val="1"/>
        <w:numId w:val="1"/>
      </w:numPr>
      <w:spacing w:before="600" w:after="160"/>
      <w:outlineLvl w:val="1"/>
    </w:pPr>
    <w:rPr>
      <w:sz w:val="24"/>
    </w:rPr>
  </w:style>
  <w:style w:type="paragraph" w:styleId="Berschrift3">
    <w:name w:val="Heading 3"/>
    <w:basedOn w:val="Berschrift2"/>
    <w:next w:val="Grundtext"/>
    <w:link w:val="berschrift3Zchn"/>
    <w:qFormat/>
    <w:pPr>
      <w:numPr>
        <w:ilvl w:val="2"/>
        <w:numId w:val="1"/>
      </w:numPr>
      <w:outlineLvl w:val="2"/>
    </w:pPr>
    <w:rPr/>
  </w:style>
  <w:style w:type="paragraph" w:styleId="Berschrift4">
    <w:name w:val="Heading 4"/>
    <w:basedOn w:val="Berschrift3"/>
    <w:next w:val="Grundtext"/>
    <w:qFormat/>
    <w:pPr>
      <w:numPr>
        <w:ilvl w:val="3"/>
        <w:numId w:val="1"/>
      </w:numPr>
      <w:outlineLvl w:val="3"/>
    </w:pPr>
    <w:rPr/>
  </w:style>
  <w:style w:type="paragraph" w:styleId="Berschrift5">
    <w:name w:val="Heading 5"/>
    <w:basedOn w:val="Berschrift4"/>
    <w:next w:val="Grundtext"/>
    <w:qFormat/>
    <w:pPr>
      <w:numPr>
        <w:ilvl w:val="4"/>
        <w:numId w:val="1"/>
      </w:numPr>
      <w:spacing w:before="160" w:after="160"/>
      <w:outlineLvl w:val="4"/>
    </w:pPr>
    <w:rPr>
      <w:b w:val="false"/>
    </w:rPr>
  </w:style>
  <w:style w:type="paragraph" w:styleId="Berschrift6">
    <w:name w:val="Heading 6"/>
    <w:basedOn w:val="Normal"/>
    <w:next w:val="Normal"/>
    <w:qFormat/>
    <w:pPr>
      <w:numPr>
        <w:ilvl w:val="5"/>
        <w:numId w:val="1"/>
      </w:numPr>
      <w:spacing w:before="240" w:after="60"/>
      <w:outlineLvl w:val="5"/>
    </w:pPr>
    <w:rPr>
      <w:i/>
      <w:sz w:val="22"/>
      <w:szCs w:val="20"/>
    </w:rPr>
  </w:style>
  <w:style w:type="paragraph" w:styleId="Berschrift7">
    <w:name w:val="Heading 7"/>
    <w:basedOn w:val="Normal"/>
    <w:next w:val="Normal"/>
    <w:qFormat/>
    <w:pPr>
      <w:numPr>
        <w:ilvl w:val="6"/>
        <w:numId w:val="1"/>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Id w:val="1"/>
      </w:numPr>
      <w:outlineLvl w:val="7"/>
    </w:pPr>
    <w:rPr/>
  </w:style>
  <w:style w:type="paragraph" w:styleId="Berschrift9">
    <w:name w:val="Heading 9"/>
    <w:basedOn w:val="Berschrift3"/>
    <w:next w:val="Grundtext"/>
    <w:qFormat/>
    <w:pPr>
      <w:numPr>
        <w:ilvl w:val="8"/>
        <w:numId w:val="1"/>
      </w:numPr>
      <w:tabs>
        <w:tab w:val="left" w:pos="360" w:leader="none"/>
        <w:tab w:val="right" w:pos="8494" w:leader="dot"/>
      </w:tabs>
      <w:outlineLvl w:val="8"/>
    </w:pPr>
    <w:rPr/>
  </w:style>
  <w:style w:type="character" w:styleId="DefaultParagraphFont" w:default="1">
    <w:name w:val="Default Paragraph Font"/>
    <w:uiPriority w:val="1"/>
    <w:semiHidden/>
    <w:unhideWhenUsed/>
    <w:qFormat/>
    <w:rPr/>
  </w:style>
  <w:style w:type="character" w:styleId="Grundzfett" w:customStyle="1">
    <w:name w:val="Grundz. (fett)"/>
    <w:qFormat/>
    <w:rPr>
      <w:b/>
    </w:rPr>
  </w:style>
  <w:style w:type="character" w:styleId="Grundzkursiv" w:customStyle="1">
    <w:name w:val="Grundz. (kursiv)"/>
    <w:qFormat/>
    <w:rPr>
      <w:i/>
    </w:rPr>
  </w:style>
  <w:style w:type="character" w:styleId="Funotenanker">
    <w:name w:val="Fußnotenanker"/>
    <w:rPr>
      <w:sz w:val="20"/>
      <w:vertAlign w:val="superscript"/>
    </w:rPr>
  </w:style>
  <w:style w:type="character" w:styleId="FootnoteCharacters">
    <w:name w:val="Footnote Characters"/>
    <w:semiHidden/>
    <w:qFormat/>
    <w:rPr>
      <w:sz w:val="20"/>
      <w:vertAlign w:val="superscript"/>
    </w:rPr>
  </w:style>
  <w:style w:type="character" w:styleId="GrundzKapitlchen" w:customStyle="1">
    <w:name w:val="Grundz. (Kapitälchen)"/>
    <w:qFormat/>
    <w:rPr>
      <w:smallCaps/>
    </w:rPr>
  </w:style>
  <w:style w:type="character" w:styleId="Grundzunterstr" w:customStyle="1">
    <w:name w:val="Grundz. (unterstr.)"/>
    <w:qFormat/>
    <w:rPr>
      <w:u w:val="single"/>
    </w:rPr>
  </w:style>
  <w:style w:type="character" w:styleId="Pagenumber">
    <w:name w:val="page number"/>
    <w:basedOn w:val="DefaultParagraphFont"/>
    <w:qFormat/>
    <w:rPr/>
  </w:style>
  <w:style w:type="character" w:styleId="GrundzCourier" w:customStyle="1">
    <w:name w:val="Grundz. (Courier)"/>
    <w:qFormat/>
    <w:rPr>
      <w:rFonts w:ascii="Courier New" w:hAnsi="Courier New"/>
      <w:sz w:val="24"/>
    </w:rPr>
  </w:style>
  <w:style w:type="character" w:styleId="Grundzenglisch" w:customStyle="1">
    <w:name w:val="Grundz. (englisch)"/>
    <w:qFormat/>
    <w:rPr>
      <w:lang w:val="en-GB"/>
    </w:rPr>
  </w:style>
  <w:style w:type="character" w:styleId="GrundzkeineSprache" w:customStyle="1">
    <w:name w:val="Grundz. (keine Sprache)"/>
    <w:qFormat/>
    <w:rPr/>
  </w:style>
  <w:style w:type="character" w:styleId="Internetverknpfung">
    <w:name w:val="Internetverknüpfung"/>
    <w:uiPriority w:val="99"/>
    <w:rPr>
      <w:color w:val="0000FF"/>
      <w:u w:val="single"/>
    </w:rPr>
  </w:style>
  <w:style w:type="character" w:styleId="SprechblasentextZchn" w:customStyle="1">
    <w:name w:val="Sprechblasentext Zchn"/>
    <w:basedOn w:val="DefaultParagraphFont"/>
    <w:link w:val="Sprechblasentext"/>
    <w:qFormat/>
    <w:rsid w:val="0001736d"/>
    <w:rPr>
      <w:rFonts w:ascii="Tahoma" w:hAnsi="Tahoma" w:cs="Tahoma"/>
      <w:sz w:val="16"/>
      <w:szCs w:val="16"/>
    </w:rPr>
  </w:style>
  <w:style w:type="character" w:styleId="BesuchteInternetverknpfung">
    <w:name w:val="Besuchte Internetverknüpfung"/>
    <w:basedOn w:val="DefaultParagraphFont"/>
    <w:semiHidden/>
    <w:unhideWhenUsed/>
    <w:rsid w:val="00470bb0"/>
    <w:rPr>
      <w:color w:val="954F72" w:themeColor="followedHyperlink"/>
      <w:u w:val="single"/>
    </w:rPr>
  </w:style>
  <w:style w:type="character" w:styleId="UnresolvedMention">
    <w:name w:val="Unresolved Mention"/>
    <w:basedOn w:val="DefaultParagraphFont"/>
    <w:uiPriority w:val="99"/>
    <w:semiHidden/>
    <w:unhideWhenUsed/>
    <w:qFormat/>
    <w:rsid w:val="00470bb0"/>
    <w:rPr>
      <w:color w:val="605E5C"/>
      <w:shd w:fill="E1DFDD" w:val="clear"/>
    </w:rPr>
  </w:style>
  <w:style w:type="character" w:styleId="Berschrift3Zchn" w:customStyle="1">
    <w:name w:val="Überschrift 3 Zchn"/>
    <w:basedOn w:val="DefaultParagraphFont"/>
    <w:link w:val="berschrift3"/>
    <w:qFormat/>
    <w:rsid w:val="00065d41"/>
    <w:rPr>
      <w:b/>
      <w:kern w:val="2"/>
      <w:sz w:val="24"/>
    </w:rPr>
  </w:style>
  <w:style w:type="character" w:styleId="Berschrift8Zchn" w:customStyle="1">
    <w:name w:val="Überschrift 8 Zchn"/>
    <w:basedOn w:val="DefaultParagraphFont"/>
    <w:link w:val="berschrift8"/>
    <w:qFormat/>
    <w:rsid w:val="00be0513"/>
    <w:rPr>
      <w:b/>
      <w:kern w:val="2"/>
      <w:sz w:val="24"/>
    </w:rPr>
  </w:style>
  <w:style w:type="character" w:styleId="Berschrift2Zchn" w:customStyle="1">
    <w:name w:val="Überschrift 2 Zchn"/>
    <w:basedOn w:val="DefaultParagraphFont"/>
    <w:link w:val="berschrift2"/>
    <w:qFormat/>
    <w:rsid w:val="00c50321"/>
    <w:rPr>
      <w:b/>
      <w:kern w:val="2"/>
      <w:sz w:val="24"/>
    </w:rPr>
  </w:style>
  <w:style w:type="character" w:styleId="Berschrift1Zchn" w:customStyle="1">
    <w:name w:val="Überschrift 1 Zchn"/>
    <w:basedOn w:val="DefaultParagraphFont"/>
    <w:link w:val="berschrift1"/>
    <w:uiPriority w:val="9"/>
    <w:qFormat/>
    <w:rsid w:val="00554a27"/>
    <w:rPr>
      <w:b/>
      <w:kern w:val="2"/>
      <w:sz w:val="28"/>
    </w:rPr>
  </w:style>
  <w:style w:type="character" w:styleId="TextkrperZchn" w:customStyle="1">
    <w:name w:val="Textkörper Zchn"/>
    <w:basedOn w:val="DefaultParagraphFont"/>
    <w:link w:val="Textkrper"/>
    <w:uiPriority w:val="1"/>
    <w:qFormat/>
    <w:rsid w:val="003c782d"/>
    <w:rPr>
      <w:rFonts w:cs="" w:cstheme="minorBidi"/>
      <w:sz w:val="25"/>
      <w:szCs w:val="25"/>
      <w:lang w:val="en-US" w:eastAsia="en-US"/>
    </w:rPr>
  </w:style>
  <w:style w:type="character" w:styleId="Verzeichnissprung">
    <w:name w:val="Verzeichnissprung"/>
    <w:qFormat/>
    <w:rPr/>
  </w:style>
  <w:style w:type="character" w:styleId="Funotenzeichen">
    <w:name w:val="Fußnotenzeichen"/>
    <w:qFormat/>
    <w:rPr/>
  </w:style>
  <w:style w:type="character" w:styleId="Endnotenanker">
    <w:name w:val="Endnotenanker"/>
    <w:rPr>
      <w:vertAlign w:val="superscript"/>
    </w:rPr>
  </w:style>
  <w:style w:type="character" w:styleId="Endnotenzeichen">
    <w:name w:val="Endnotenzeichen"/>
    <w:qFormat/>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link w:val="TextkrperZchn"/>
    <w:uiPriority w:val="1"/>
    <w:qFormat/>
    <w:rsid w:val="003c782d"/>
    <w:pPr>
      <w:widowControl w:val="false"/>
      <w:ind w:left="119" w:hanging="0"/>
    </w:pPr>
    <w:rPr>
      <w:rFonts w:cs="" w:cstheme="minorBidi"/>
      <w:sz w:val="25"/>
      <w:szCs w:val="25"/>
      <w:lang w:val="en-US" w:eastAsia="en-US"/>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Grundtext" w:customStyle="1">
    <w:name w:val="Grundtext"/>
    <w:qFormat/>
    <w:pPr>
      <w:widowControl/>
      <w:suppressAutoHyphens w:val="true"/>
      <w:bidi w:val="0"/>
      <w:spacing w:lineRule="atLeast" w:line="360" w:before="0" w:after="240"/>
      <w:jc w:val="both"/>
    </w:pPr>
    <w:rPr>
      <w:rFonts w:ascii="Times New Roman" w:hAnsi="Times New Roman" w:eastAsia="Times New Roman" w:cs="Times New Roman"/>
      <w:color w:val="auto"/>
      <w:kern w:val="0"/>
      <w:sz w:val="24"/>
      <w:szCs w:val="20"/>
      <w:lang w:val="de-DE" w:eastAsia="de-DE" w:bidi="ar-SA"/>
    </w:rPr>
  </w:style>
  <w:style w:type="paragraph" w:styleId="KopfundFuzeile">
    <w:name w:val="Kopf- und Fußzeile"/>
    <w:basedOn w:val="Normal"/>
    <w:qFormat/>
    <w:pPr/>
    <w:rPr/>
  </w:style>
  <w:style w:type="paragraph" w:styleId="Kopfzeile">
    <w:name w:val="Header"/>
    <w:basedOn w:val="Normal"/>
    <w:pPr>
      <w:tabs>
        <w:tab w:val="clear" w:pos="709"/>
        <w:tab w:val="center" w:pos="4153" w:leader="none"/>
        <w:tab w:val="right" w:pos="8306" w:leader="none"/>
      </w:tabs>
    </w:pPr>
    <w:rPr/>
  </w:style>
  <w:style w:type="paragraph" w:styleId="Fuzeile">
    <w:name w:val="Footer"/>
    <w:basedOn w:val="Normal"/>
    <w:pPr>
      <w:tabs>
        <w:tab w:val="clear" w:pos="709"/>
        <w:tab w:val="center" w:pos="4153" w:leader="none"/>
        <w:tab w:val="right" w:pos="8306" w:leader="none"/>
      </w:tabs>
    </w:pPr>
    <w:rPr/>
  </w:style>
  <w:style w:type="paragraph" w:styleId="Grundtextzentriert" w:customStyle="1">
    <w:name w:val="Grundtext (zentriert)"/>
    <w:basedOn w:val="Grundtext"/>
    <w:qFormat/>
    <w:pPr>
      <w:spacing w:lineRule="atLeast" w:line="320" w:before="0" w:after="0"/>
      <w:jc w:val="center"/>
    </w:pPr>
    <w:rPr/>
  </w:style>
  <w:style w:type="paragraph" w:styleId="AnmdAutors" w:customStyle="1">
    <w:name w:val="Anm.d.Autors"/>
    <w:next w:val="Grundtext"/>
    <w:qFormat/>
    <w:pPr>
      <w:widowControl/>
      <w:suppressAutoHyphens w:val="true"/>
      <w:bidi w:val="0"/>
      <w:spacing w:before="160" w:after="320"/>
      <w:ind w:left="567" w:right="567" w:hanging="0"/>
      <w:jc w:val="left"/>
    </w:pPr>
    <w:rPr>
      <w:rFonts w:ascii="Times New Roman" w:hAnsi="Times New Roman" w:eastAsia="Times New Roman" w:cs="Times New Roman"/>
      <w:i/>
      <w:color w:val="auto"/>
      <w:kern w:val="0"/>
      <w:sz w:val="24"/>
      <w:szCs w:val="20"/>
      <w:lang w:val="de-DE" w:eastAsia="de-DE" w:bidi="ar-SA"/>
    </w:rPr>
  </w:style>
  <w:style w:type="paragraph" w:styleId="Funote">
    <w:name w:val="Footnote Text"/>
    <w:semiHidden/>
    <w:pPr>
      <w:widowControl/>
      <w:tabs>
        <w:tab w:val="clear" w:pos="709"/>
        <w:tab w:val="left" w:pos="284" w:leader="none"/>
      </w:tabs>
      <w:suppressAutoHyphens w:val="true"/>
      <w:bidi w:val="0"/>
      <w:spacing w:before="0" w:after="0"/>
      <w:ind w:left="284" w:hanging="284"/>
      <w:jc w:val="both"/>
    </w:pPr>
    <w:rPr>
      <w:rFonts w:ascii="Times New Roman" w:hAnsi="Times New Roman" w:eastAsia="Times New Roman" w:cs="Times New Roman"/>
      <w:color w:val="auto"/>
      <w:kern w:val="0"/>
      <w:sz w:val="20"/>
      <w:szCs w:val="20"/>
      <w:lang w:val="de-DE" w:eastAsia="de-DE" w:bidi="ar-SA"/>
    </w:rPr>
  </w:style>
  <w:style w:type="paragraph" w:styleId="GrundtextAufzhlung" w:customStyle="1">
    <w:name w:val="Grundtext (Aufzählung)"/>
    <w:basedOn w:val="Grundtext"/>
    <w:qFormat/>
    <w:pPr>
      <w:numPr>
        <w:ilvl w:val="0"/>
        <w:numId w:val="5"/>
      </w:numPr>
      <w:tabs>
        <w:tab w:val="clear" w:pos="709"/>
        <w:tab w:val="left" w:pos="284" w:leader="none"/>
      </w:tabs>
    </w:pPr>
    <w:rPr/>
  </w:style>
  <w:style w:type="paragraph" w:styleId="GrundtextEinrckung" w:customStyle="1">
    <w:name w:val="Grundtext (Einrückung)"/>
    <w:basedOn w:val="Grundtext"/>
    <w:qFormat/>
    <w:pPr>
      <w:spacing w:lineRule="auto" w:line="240" w:before="0" w:after="0"/>
      <w:ind w:left="1701" w:hanging="1701"/>
      <w:jc w:val="left"/>
    </w:pPr>
    <w:rPr/>
  </w:style>
  <w:style w:type="paragraph" w:styleId="AnmdAutorsAufz" w:customStyle="1">
    <w:name w:val="Anm.d.Autors(Aufz."/>
    <w:basedOn w:val="Normal"/>
    <w:qFormat/>
    <w:pPr>
      <w:numPr>
        <w:ilvl w:val="0"/>
        <w:numId w:val="2"/>
      </w:numPr>
      <w:tabs>
        <w:tab w:val="clear" w:pos="709"/>
        <w:tab w:val="left" w:pos="284" w:leader="none"/>
        <w:tab w:val="left" w:pos="851" w:leader="none"/>
      </w:tabs>
      <w:spacing w:before="80" w:after="160"/>
      <w:ind w:left="1135" w:right="567" w:hanging="284"/>
    </w:pPr>
    <w:rPr>
      <w:i/>
      <w:szCs w:val="20"/>
    </w:rPr>
  </w:style>
  <w:style w:type="paragraph" w:styleId="BerschriftVerzeichnis" w:customStyle="1">
    <w:name w:val="Überschrift Verzeichnis"/>
    <w:basedOn w:val="Berschrift1"/>
    <w:next w:val="Grundtext"/>
    <w:qFormat/>
    <w:pPr>
      <w:numPr>
        <w:ilvl w:val="0"/>
        <w:numId w:val="0"/>
      </w:numPr>
      <w:spacing w:before="0" w:after="360"/>
    </w:pPr>
    <w:rPr/>
  </w:style>
  <w:style w:type="paragraph" w:styleId="AnmdAutorsAufz1" w:customStyle="1">
    <w:name w:val="Anm.d.Autors(Aufz.)"/>
    <w:basedOn w:val="AnmdAutors"/>
    <w:qFormat/>
    <w:pPr>
      <w:numPr>
        <w:ilvl w:val="0"/>
        <w:numId w:val="4"/>
      </w:numPr>
      <w:tabs>
        <w:tab w:val="clear" w:pos="709"/>
        <w:tab w:val="left" w:pos="284" w:leader="none"/>
        <w:tab w:val="left" w:pos="851" w:leader="none"/>
      </w:tabs>
      <w:spacing w:before="80" w:after="160"/>
      <w:ind w:left="851" w:right="567" w:hanging="284"/>
    </w:pPr>
    <w:rPr/>
  </w:style>
  <w:style w:type="paragraph" w:styleId="Inhaltsverzeichnis1">
    <w:name w:val="TOC 1"/>
    <w:next w:val="Inhaltsverzeichnis2"/>
    <w:autoRedefine/>
    <w:uiPriority w:val="39"/>
    <w:rsid w:val="00197648"/>
    <w:pPr>
      <w:keepNext w:val="true"/>
      <w:widowControl/>
      <w:tabs>
        <w:tab w:val="clear" w:pos="709"/>
        <w:tab w:val="left" w:pos="1134" w:leader="none"/>
        <w:tab w:val="right" w:pos="8505" w:leader="dot"/>
      </w:tabs>
      <w:suppressAutoHyphens w:val="true"/>
      <w:bidi w:val="0"/>
      <w:spacing w:before="120" w:after="0"/>
      <w:ind w:left="284" w:hanging="284"/>
      <w:jc w:val="left"/>
    </w:pPr>
    <w:rPr>
      <w:rFonts w:ascii="Times New Roman" w:hAnsi="Times New Roman" w:eastAsia="Times New Roman" w:cs="Times New Roman"/>
      <w:color w:val="auto"/>
      <w:kern w:val="0"/>
      <w:sz w:val="24"/>
      <w:szCs w:val="20"/>
      <w:lang w:val="de-DE" w:eastAsia="de-DE" w:bidi="ar-SA"/>
    </w:rPr>
  </w:style>
  <w:style w:type="paragraph" w:styleId="Inhaltsverzeichnis2">
    <w:name w:val="TOC 2"/>
    <w:basedOn w:val="Inhaltsverzeichnis1"/>
    <w:next w:val="Inhaltsverzeichnis3"/>
    <w:autoRedefine/>
    <w:uiPriority w:val="39"/>
    <w:pPr>
      <w:keepNext w:val="false"/>
      <w:tabs>
        <w:tab w:val="left" w:pos="960" w:leader="none"/>
        <w:tab w:val="left" w:pos="1134" w:leader="none"/>
        <w:tab w:val="right" w:pos="8505" w:leader="dot"/>
      </w:tabs>
      <w:spacing w:before="60" w:after="0"/>
      <w:ind w:left="851" w:hanging="567"/>
    </w:pPr>
    <w:rPr/>
  </w:style>
  <w:style w:type="paragraph" w:styleId="Inhaltsverzeichnis3">
    <w:name w:val="TOC 3"/>
    <w:basedOn w:val="Normal"/>
    <w:next w:val="Normal"/>
    <w:autoRedefine/>
    <w:uiPriority w:val="39"/>
    <w:pPr>
      <w:tabs>
        <w:tab w:val="clear" w:pos="709"/>
        <w:tab w:val="right" w:pos="737" w:leader="none"/>
        <w:tab w:val="right" w:pos="8505" w:leader="dot"/>
      </w:tabs>
      <w:spacing w:before="60" w:after="0"/>
      <w:ind w:left="1588" w:hanging="737"/>
    </w:pPr>
    <w:rPr/>
  </w:style>
  <w:style w:type="paragraph" w:styleId="Zwberschr1" w:customStyle="1">
    <w:name w:val="ZwÜberschr1"/>
    <w:next w:val="Grundtext"/>
    <w:qFormat/>
    <w:pPr>
      <w:keepNext w:val="true"/>
      <w:widowControl/>
      <w:suppressAutoHyphens w:val="true"/>
      <w:bidi w:val="0"/>
      <w:spacing w:lineRule="auto" w:line="360" w:before="600" w:after="60"/>
      <w:jc w:val="left"/>
    </w:pPr>
    <w:rPr>
      <w:rFonts w:ascii="Times New Roman" w:hAnsi="Times New Roman" w:eastAsia="Times New Roman" w:cs="Times New Roman"/>
      <w:i/>
      <w:color w:val="auto"/>
      <w:kern w:val="0"/>
      <w:sz w:val="24"/>
      <w:szCs w:val="20"/>
      <w:lang w:val="de-DE" w:eastAsia="de-DE" w:bidi="ar-SA"/>
    </w:rPr>
  </w:style>
  <w:style w:type="paragraph" w:styleId="GrundtextSQL" w:customStyle="1">
    <w:name w:val="Grundtext (SQL)"/>
    <w:basedOn w:val="Grundtext"/>
    <w:qFormat/>
    <w:pPr>
      <w:tabs>
        <w:tab w:val="clear" w:pos="709"/>
        <w:tab w:val="left" w:pos="1134" w:leader="none"/>
      </w:tabs>
      <w:spacing w:before="0" w:after="0"/>
      <w:ind w:left="1134" w:hanging="1134"/>
      <w:jc w:val="left"/>
    </w:pPr>
    <w:rPr>
      <w:rFonts w:ascii="Courier New" w:hAnsi="Courier New"/>
    </w:rPr>
  </w:style>
  <w:style w:type="paragraph" w:styleId="GrundtextSQLletzteZeile" w:customStyle="1">
    <w:name w:val="Grundtext (SQL): letzte Zeile"/>
    <w:basedOn w:val="GrundtextSQL"/>
    <w:qFormat/>
    <w:pPr>
      <w:spacing w:before="0" w:after="240"/>
    </w:pPr>
    <w:rPr/>
  </w:style>
  <w:style w:type="paragraph" w:styleId="Anmerkungenklein" w:customStyle="1">
    <w:name w:val="Anmerkungen/klein"/>
    <w:qFormat/>
    <w:pPr>
      <w:widowControl/>
      <w:suppressAutoHyphens w:val="true"/>
      <w:bidi w:val="0"/>
      <w:spacing w:before="0" w:after="0"/>
      <w:jc w:val="left"/>
    </w:pPr>
    <w:rPr>
      <w:rFonts w:ascii="Times New Roman" w:hAnsi="Times New Roman" w:eastAsia="Times New Roman" w:cs="Times New Roman"/>
      <w:color w:val="auto"/>
      <w:kern w:val="0"/>
      <w:sz w:val="20"/>
      <w:szCs w:val="20"/>
      <w:lang w:val="de-DE" w:eastAsia="de-DE" w:bidi="ar-SA"/>
    </w:rPr>
  </w:style>
  <w:style w:type="paragraph" w:styleId="Tableoffigures">
    <w:name w:val="table of figures"/>
    <w:next w:val="Grundtext"/>
    <w:uiPriority w:val="99"/>
    <w:qFormat/>
    <w:pPr>
      <w:widowControl/>
      <w:tabs>
        <w:tab w:val="clear" w:pos="709"/>
        <w:tab w:val="right" w:pos="8505" w:leader="dot"/>
      </w:tabs>
      <w:suppressAutoHyphens w:val="true"/>
      <w:bidi w:val="0"/>
      <w:spacing w:before="120" w:after="0"/>
      <w:ind w:left="1134" w:hanging="1134"/>
      <w:jc w:val="left"/>
    </w:pPr>
    <w:rPr>
      <w:rFonts w:ascii="Times New Roman" w:hAnsi="Times New Roman" w:eastAsia="Times New Roman" w:cs="Times New Roman"/>
      <w:color w:val="auto"/>
      <w:kern w:val="0"/>
      <w:sz w:val="24"/>
      <w:szCs w:val="20"/>
      <w:lang w:val="de-DE" w:eastAsia="de-DE" w:bidi="ar-SA"/>
    </w:rPr>
  </w:style>
  <w:style w:type="paragraph" w:styleId="Grafik" w:customStyle="1">
    <w:name w:val="Grafik"/>
    <w:basedOn w:val="Grundtext"/>
    <w:next w:val="Normal"/>
    <w:qFormat/>
    <w:pPr>
      <w:keepNext w:val="true"/>
      <w:spacing w:lineRule="auto" w:line="240"/>
      <w:jc w:val="center"/>
    </w:pPr>
    <w:rPr/>
  </w:style>
  <w:style w:type="paragraph" w:styleId="Abbildungstitel" w:customStyle="1">
    <w:name w:val="Abbildungstitel"/>
    <w:qFormat/>
    <w:pPr>
      <w:widowControl/>
      <w:suppressAutoHyphens w:val="true"/>
      <w:bidi w:val="0"/>
      <w:spacing w:before="120" w:after="240"/>
      <w:jc w:val="center"/>
    </w:pPr>
    <w:rPr>
      <w:rFonts w:ascii="Times New Roman" w:hAnsi="Times New Roman" w:eastAsia="Times New Roman" w:cs="Times New Roman"/>
      <w:color w:val="auto"/>
      <w:kern w:val="0"/>
      <w:sz w:val="20"/>
      <w:szCs w:val="20"/>
      <w:lang w:val="de-DE" w:eastAsia="de-DE" w:bidi="ar-SA"/>
    </w:rPr>
  </w:style>
  <w:style w:type="paragraph" w:styleId="Caption">
    <w:name w:val="caption"/>
    <w:basedOn w:val="Normal"/>
    <w:next w:val="Normal"/>
    <w:qFormat/>
    <w:pPr>
      <w:spacing w:before="120" w:after="120"/>
    </w:pPr>
    <w:rPr>
      <w:b/>
      <w:bCs/>
      <w:sz w:val="20"/>
      <w:szCs w:val="20"/>
    </w:rPr>
  </w:style>
  <w:style w:type="paragraph" w:styleId="Tabellentitel" w:customStyle="1">
    <w:name w:val="Tabellentitel"/>
    <w:basedOn w:val="Abbildungstitel"/>
    <w:qFormat/>
    <w:pPr>
      <w:keepNext w:val="true"/>
      <w:spacing w:before="0" w:after="120"/>
    </w:pPr>
    <w:rPr/>
  </w:style>
  <w:style w:type="paragraph" w:styleId="GrafikQuelle" w:customStyle="1">
    <w:name w:val="GrafikQuelle"/>
    <w:basedOn w:val="Grundtext"/>
    <w:next w:val="Caption"/>
    <w:qFormat/>
    <w:pPr>
      <w:keepNext w:val="true"/>
      <w:spacing w:lineRule="auto" w:line="240" w:before="120" w:after="240"/>
      <w:jc w:val="center"/>
    </w:pPr>
    <w:rPr>
      <w:sz w:val="20"/>
    </w:rPr>
  </w:style>
  <w:style w:type="paragraph" w:styleId="Grundtextwieberschr1" w:customStyle="1">
    <w:name w:val="Grundtext (wie Überschr1)"/>
    <w:basedOn w:val="Berschrift1"/>
    <w:next w:val="Grundtext"/>
    <w:qFormat/>
    <w:pPr>
      <w:numPr>
        <w:ilvl w:val="0"/>
        <w:numId w:val="0"/>
      </w:numPr>
    </w:pPr>
    <w:rPr/>
  </w:style>
  <w:style w:type="paragraph" w:styleId="Tabellentext" w:customStyle="1">
    <w:name w:val="Tabellentext"/>
    <w:qFormat/>
    <w:pPr>
      <w:keepNext w:val="true"/>
      <w:widowControl/>
      <w:suppressAutoHyphens w:val="true"/>
      <w:bidi w:val="0"/>
      <w:spacing w:before="40" w:after="40"/>
      <w:jc w:val="left"/>
    </w:pPr>
    <w:rPr>
      <w:rFonts w:ascii="Times New Roman" w:hAnsi="Times New Roman" w:eastAsia="Times New Roman" w:cs="Times New Roman"/>
      <w:color w:val="auto"/>
      <w:kern w:val="0"/>
      <w:sz w:val="20"/>
      <w:szCs w:val="20"/>
      <w:lang w:val="de-DE" w:eastAsia="de-DE" w:bidi="ar-SA"/>
    </w:rPr>
  </w:style>
  <w:style w:type="paragraph" w:styleId="GrundtextnachTabelle" w:customStyle="1">
    <w:name w:val="Grundtext (nach Tabelle)"/>
    <w:basedOn w:val="Grundtext"/>
    <w:qFormat/>
    <w:pPr>
      <w:spacing w:before="240" w:after="240"/>
    </w:pPr>
    <w:rPr/>
  </w:style>
  <w:style w:type="paragraph" w:styleId="Literatureintrag" w:customStyle="1">
    <w:name w:val="Literatureintrag"/>
    <w:qFormat/>
    <w:pPr>
      <w:widowControl/>
      <w:suppressAutoHyphens w:val="true"/>
      <w:bidi w:val="0"/>
      <w:spacing w:lineRule="atLeast" w:line="320" w:before="0" w:after="0"/>
      <w:ind w:left="851" w:hanging="851"/>
      <w:jc w:val="left"/>
    </w:pPr>
    <w:rPr>
      <w:rFonts w:ascii="Times New Roman" w:hAnsi="Times New Roman" w:eastAsia="Times New Roman" w:cs="Times New Roman"/>
      <w:color w:val="auto"/>
      <w:kern w:val="0"/>
      <w:sz w:val="24"/>
      <w:szCs w:val="20"/>
      <w:lang w:val="de-DE" w:eastAsia="de-DE" w:bidi="ar-SA"/>
    </w:rPr>
  </w:style>
  <w:style w:type="paragraph" w:styleId="Inhaltsverzeichnis4">
    <w:name w:val="TOC 4"/>
    <w:basedOn w:val="Normal"/>
    <w:next w:val="Normal"/>
    <w:autoRedefine/>
    <w:semiHidden/>
    <w:pPr>
      <w:tabs>
        <w:tab w:val="clear" w:pos="709"/>
        <w:tab w:val="left" w:pos="851" w:leader="none"/>
        <w:tab w:val="right" w:pos="8505" w:leader="dot"/>
      </w:tabs>
      <w:spacing w:before="60" w:after="0"/>
      <w:ind w:left="2439" w:hanging="851"/>
    </w:pPr>
    <w:rPr/>
  </w:style>
  <w:style w:type="paragraph" w:styleId="Index1">
    <w:name w:val="index 1"/>
    <w:basedOn w:val="Normal"/>
    <w:next w:val="Normal"/>
    <w:autoRedefine/>
    <w:semiHidden/>
    <w:qFormat/>
    <w:pPr>
      <w:ind w:left="240" w:hanging="240"/>
    </w:pPr>
    <w:rPr/>
  </w:style>
  <w:style w:type="paragraph" w:styleId="Inhaltsverzeichnis8">
    <w:name w:val="TOC 8"/>
    <w:basedOn w:val="Inhaltsverzeichnis1"/>
    <w:next w:val="Normal"/>
    <w:autoRedefine/>
    <w:uiPriority w:val="39"/>
    <w:pPr>
      <w:tabs>
        <w:tab w:val="left" w:pos="284" w:leader="none"/>
        <w:tab w:val="left" w:pos="1134" w:leader="none"/>
        <w:tab w:val="right" w:pos="8505" w:leader="dot"/>
      </w:tabs>
    </w:pPr>
    <w:rPr/>
  </w:style>
  <w:style w:type="paragraph" w:styleId="Inhaltsverzeichnis5">
    <w:name w:val="TOC 5"/>
    <w:basedOn w:val="Normal"/>
    <w:next w:val="Normal"/>
    <w:autoRedefine/>
    <w:semiHidden/>
    <w:pPr>
      <w:ind w:left="960" w:hanging="0"/>
    </w:pPr>
    <w:rPr/>
  </w:style>
  <w:style w:type="paragraph" w:styleId="GrundtextStufe2Aufzhlung" w:customStyle="1">
    <w:name w:val="Grundtext (Stufe 2-Aufzählung)"/>
    <w:basedOn w:val="GrundtextAufzhlung"/>
    <w:qFormat/>
    <w:pPr>
      <w:ind w:left="568" w:hanging="0"/>
    </w:pPr>
    <w:rPr/>
  </w:style>
  <w:style w:type="paragraph" w:styleId="Inhaltsverzeichnis6">
    <w:name w:val="TOC 6"/>
    <w:basedOn w:val="Normal"/>
    <w:next w:val="Normal"/>
    <w:autoRedefine/>
    <w:semiHidden/>
    <w:pPr>
      <w:ind w:left="1200" w:hanging="0"/>
    </w:pPr>
    <w:rPr/>
  </w:style>
  <w:style w:type="paragraph" w:styleId="Inhaltsverzeichnis7">
    <w:name w:val="TOC 7"/>
    <w:basedOn w:val="Normal"/>
    <w:next w:val="Normal"/>
    <w:autoRedefine/>
    <w:semiHidden/>
    <w:pPr>
      <w:ind w:left="1440" w:hanging="0"/>
    </w:pPr>
    <w:rPr/>
  </w:style>
  <w:style w:type="paragraph" w:styleId="Inhaltsverzeichnis9">
    <w:name w:val="TOC 9"/>
    <w:basedOn w:val="Normal"/>
    <w:next w:val="Normal"/>
    <w:autoRedefine/>
    <w:semiHidden/>
    <w:pPr>
      <w:ind w:left="1920" w:hanging="0"/>
    </w:pPr>
    <w:rPr/>
  </w:style>
  <w:style w:type="paragraph" w:styleId="GrundtextNumerierung" w:customStyle="1">
    <w:name w:val="Grundtext (Numerierung)"/>
    <w:basedOn w:val="GrundtextAufzhlung"/>
    <w:qFormat/>
    <w:pPr>
      <w:numPr>
        <w:ilvl w:val="0"/>
        <w:numId w:val="3"/>
      </w:numPr>
    </w:pPr>
    <w:rPr/>
  </w:style>
  <w:style w:type="paragraph" w:styleId="BalloonText">
    <w:name w:val="Balloon Text"/>
    <w:basedOn w:val="Normal"/>
    <w:link w:val="SprechblasentextZchn"/>
    <w:qFormat/>
    <w:rsid w:val="0001736d"/>
    <w:pPr/>
    <w:rPr>
      <w:rFonts w:ascii="Tahoma" w:hAnsi="Tahoma" w:cs="Tahoma"/>
      <w:sz w:val="16"/>
      <w:szCs w:val="16"/>
    </w:rPr>
  </w:style>
  <w:style w:type="paragraph" w:styleId="Bibliography">
    <w:name w:val="Bibliography"/>
    <w:basedOn w:val="Normal"/>
    <w:next w:val="Normal"/>
    <w:uiPriority w:val="37"/>
    <w:unhideWhenUsed/>
    <w:qFormat/>
    <w:rsid w:val="00d00fc1"/>
    <w:pPr>
      <w:spacing w:lineRule="auto" w:line="480"/>
      <w:ind w:left="720" w:hanging="720"/>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image" Target="media/image2.png"/><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image" Target="media/image3.png"/><Relationship Id="rId13" Type="http://schemas.openxmlformats.org/officeDocument/2006/relationships/header" Target="header9.xml"/><Relationship Id="rId14" Type="http://schemas.openxmlformats.org/officeDocument/2006/relationships/header" Target="header10.xml"/><Relationship Id="rId15" Type="http://schemas.openxmlformats.org/officeDocument/2006/relationships/image" Target="media/image4.png"/><Relationship Id="rId16" Type="http://schemas.openxmlformats.org/officeDocument/2006/relationships/header" Target="header11.xml"/><Relationship Id="rId17" Type="http://schemas.openxmlformats.org/officeDocument/2006/relationships/header" Target="header12.xml"/><Relationship Id="rId18" Type="http://schemas.openxmlformats.org/officeDocument/2006/relationships/header" Target="header13.xml"/><Relationship Id="rId19" Type="http://schemas.openxmlformats.org/officeDocument/2006/relationships/image" Target="media/image5.png"/><Relationship Id="rId20" Type="http://schemas.openxmlformats.org/officeDocument/2006/relationships/header" Target="header14.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header" Target="header15.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eader" Target="header18.xml"/><Relationship Id="rId43" Type="http://schemas.openxmlformats.org/officeDocument/2006/relationships/image" Target="media/image24.png"/><Relationship Id="rId44" Type="http://schemas.openxmlformats.org/officeDocument/2006/relationships/header" Target="header19.xml"/><Relationship Id="rId45" Type="http://schemas.openxmlformats.org/officeDocument/2006/relationships/header" Target="header20.xml"/><Relationship Id="rId46" Type="http://schemas.openxmlformats.org/officeDocument/2006/relationships/footnotes" Target="footnotes.xml"/><Relationship Id="rId47" Type="http://schemas.openxmlformats.org/officeDocument/2006/relationships/comments" Target="comment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DD5C2-AA53-43DC-A39D-4EEABA50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102</TotalTime>
  <Application>LibreOffice/7.1.7.2$Windows_X86_64 LibreOffice_project/c6a4e3954236145e2acb0b65f68614365aeee33f</Application>
  <AppVersion>15.0000</AppVersion>
  <Pages>66</Pages>
  <Words>10022</Words>
  <Characters>68746</Characters>
  <CharactersWithSpaces>77494</CharactersWithSpaces>
  <Paragraphs>974</Paragraphs>
  <Company>Softzoll GmbH &amp; Co. KG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ontentStatus>finale Version</cp:contentStatus>
  <dcterms:created xsi:type="dcterms:W3CDTF">2023-07-17T17:41:00Z</dcterms:created>
  <dc:creator>michael.wischniewski@softzollteam.onmicrosoft.com</dc:creator>
  <dc:description/>
  <cp:keywords>Progress Progress Progress Monitor Test</cp:keywords>
  <dc:language>de-DE</dc:language>
  <cp:lastModifiedBy/>
  <cp:lastPrinted>2001-12-20T08:45:00Z</cp:lastPrinted>
  <dcterms:modified xsi:type="dcterms:W3CDTF">2023-08-08T15:20:44Z</dcterms:modified>
  <cp:revision>945</cp:revision>
  <dc:subject>Integration, Bereitstellung und Test der Software „Progress Monitor“ zum Monitoring und zur Analyse von Dateikonvertierungen für den elektronischen Datenaustausch (EDI)</dc:subject>
  <dc:title>Bereitstellung und Test der Software „Progress Monitor“ zum Monitoring und zur Analyse von Dateikonvertierungen für den elektronischen Datenaustausch (EDI)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id="Ypv9dVGg"/&gt;&lt;style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