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COSMOS ERP Bug Fix Status Report</w:t>
      </w:r>
    </w:p>
    <w:p>
      <w:pPr>
        <w:spacing w:after="280"/>
      </w:pPr>
      <w:r>
        <w:rPr>
          <w:rFonts w:ascii="Aptos" w:hAnsi="Aptos"/>
          <w:b w:val="0"/>
          <w:color w:val="475569"/>
          <w:sz w:val="23"/>
        </w:rPr>
        <w:t>Frontend implementation review and backend dependency handover</w:t>
      </w:r>
    </w:p>
    <w:p>
      <w:pPr>
        <w:spacing w:after="360"/>
      </w:pPr>
      <w:r>
        <w:rPr>
          <w:rFonts w:ascii="Aptos" w:hAnsi="Aptos"/>
          <w:b w:val="0"/>
          <w:color w:val="64748B"/>
          <w:sz w:val="18"/>
        </w:rPr>
        <w:t>Prepared 11 September 2026  |  Branch lucifer-dev  |  COSMOS by WEWEL</w:t>
      </w:r>
    </w:p>
    <w:p>
      <w:pPr>
        <w:spacing w:after="200"/>
      </w:pPr>
      <w:r>
        <w:rPr>
          <w:rFonts w:ascii="Aptos" w:hAnsi="Aptos"/>
          <w:b/>
          <w:color w:val="111827"/>
          <w:sz w:val="21"/>
        </w:rPr>
        <w:t xml:space="preserve">Conclusion. </w:t>
      </w:r>
      <w:r>
        <w:rPr>
          <w:rFonts w:ascii="Aptos" w:hAnsi="Aptos"/>
          <w:b w:val="0"/>
          <w:color w:val="1F2937"/>
          <w:sz w:val="21"/>
        </w:rPr>
        <w:t>The main frontend bugs in this batch are fixed and the application passes lint, all 318 automated tests, and the production build. Eleven items are frontend-fixed, six are complete only within the current API or need a broader backend rollout, and one is waiting for the Postman collection.</w:t>
      </w:r>
    </w:p>
    <w:p>
      <w:pPr>
        <w:pStyle w:val="Heading1"/>
      </w:pPr>
      <w:r>
        <w:t>Status Summary</w:t>
      </w:r>
    </w:p>
    <w:p>
      <w:pPr>
        <w:pStyle w:val="ListBullet"/>
        <w:spacing w:after="80"/>
      </w:pPr>
      <w:r>
        <w:rPr>
          <w:rFonts w:ascii="Aptos" w:hAnsi="Aptos"/>
          <w:b/>
          <w:color w:val="111827"/>
          <w:sz w:val="21"/>
        </w:rPr>
        <w:t xml:space="preserve">Frontend fixed: </w:t>
      </w:r>
      <w:r>
        <w:rPr>
          <w:rFonts w:ascii="Aptos" w:hAnsi="Aptos"/>
          <w:b w:val="0"/>
          <w:color w:val="1F2937"/>
          <w:sz w:val="21"/>
        </w:rPr>
        <w:t>11 items, including login branding, dashboard party filtering, RBAC role editing, SuperAdmin coverage, item media display, Party table and form UX, invoice customer validation, wallet code behavior, employee PDF export, and designation filtering.</w:t>
      </w:r>
    </w:p>
    <w:p>
      <w:pPr>
        <w:pStyle w:val="ListBullet"/>
        <w:spacing w:after="80"/>
      </w:pPr>
      <w:r>
        <w:rPr>
          <w:rFonts w:ascii="Aptos" w:hAnsi="Aptos"/>
          <w:b/>
          <w:color w:val="111827"/>
          <w:sz w:val="21"/>
        </w:rPr>
        <w:t xml:space="preserve">Partial or backend-dependent: </w:t>
      </w:r>
      <w:r>
        <w:rPr>
          <w:rFonts w:ascii="Aptos" w:hAnsi="Aptos"/>
          <w:b w:val="0"/>
          <w:color w:val="1F2937"/>
          <w:sz w:val="21"/>
        </w:rPr>
        <w:t>6 items covering universal full-page form rollout, Data Book schema expansion, Excel parity, API-required field audit, server-backed drafts, and complete website media DTO support.</w:t>
      </w:r>
    </w:p>
    <w:p>
      <w:pPr>
        <w:pStyle w:val="ListBullet"/>
        <w:spacing w:after="80"/>
      </w:pPr>
      <w:r>
        <w:rPr>
          <w:rFonts w:ascii="Aptos" w:hAnsi="Aptos"/>
          <w:b/>
          <w:color w:val="111827"/>
          <w:sz w:val="21"/>
        </w:rPr>
        <w:t xml:space="preserve">Waiting for input: </w:t>
      </w:r>
      <w:r>
        <w:rPr>
          <w:rFonts w:ascii="Aptos" w:hAnsi="Aptos"/>
          <w:b w:val="0"/>
          <w:color w:val="1F2937"/>
          <w:sz w:val="21"/>
        </w:rPr>
        <w:t>1 item - the Postman collection required for the final endpoint contract audit.</w:t>
      </w:r>
    </w:p>
    <w:p>
      <w:pPr>
        <w:pStyle w:val="Heading1"/>
      </w:pPr>
      <w:r>
        <w:t>Detailed Bug Status</w:t>
      </w:r>
    </w:p>
    <w:tbl>
      <w:tblPr>
        <w:tblStyle w:val="TableGrid"/>
        <w:tblW w:type="auto" w:w="0"/>
        <w:tblLayout w:type="fixed"/>
        <w:tblLook w:firstColumn="1" w:firstRow="1" w:lastColumn="0" w:lastRow="0" w:noHBand="0" w:noVBand="1" w:val="04A0"/>
      </w:tblPr>
      <w:tblGrid>
        <w:gridCol w:w="2556"/>
        <w:gridCol w:w="2556"/>
        <w:gridCol w:w="2556"/>
        <w:gridCol w:w="2556"/>
      </w:tblGrid>
      <w:tr>
        <w:trPr>
          <w:tblHeader w:val="true"/>
        </w:trPr>
        <w:tc>
          <w:tcPr>
            <w:tcW w:type="dxa" w:w="547"/>
            <w:vAlign w:val="center"/>
            <w:shd w:fill="312E81"/>
            <w:tcMar>
              <w:top w:w="115" w:type="dxa"/>
              <w:start w:w="125" w:type="dxa"/>
              <w:bottom w:w="115" w:type="dxa"/>
              <w:end w:w="125" w:type="dxa"/>
            </w:tcMar>
          </w:tcPr>
          <w:p>
            <w:pPr>
              <w:jc w:val="center"/>
            </w:pPr>
            <w:r>
              <w:rPr>
                <w:rFonts w:ascii="Aptos" w:hAnsi="Aptos"/>
                <w:b/>
                <w:color w:val="FFFFFF"/>
                <w:sz w:val="17"/>
              </w:rPr>
              <w:t>No</w:t>
            </w:r>
          </w:p>
        </w:tc>
        <w:tc>
          <w:tcPr>
            <w:tcW w:type="dxa" w:w="2477"/>
            <w:vAlign w:val="center"/>
            <w:shd w:fill="312E81"/>
            <w:tcMar>
              <w:top w:w="115" w:type="dxa"/>
              <w:start w:w="125" w:type="dxa"/>
              <w:bottom w:w="115" w:type="dxa"/>
              <w:end w:w="125" w:type="dxa"/>
            </w:tcMar>
          </w:tcPr>
          <w:p>
            <w:pPr>
              <w:jc w:val="left"/>
            </w:pPr>
            <w:r>
              <w:rPr>
                <w:rFonts w:ascii="Aptos" w:hAnsi="Aptos"/>
                <w:b/>
                <w:color w:val="FFFFFF"/>
                <w:sz w:val="17"/>
              </w:rPr>
              <w:t>Area</w:t>
            </w:r>
          </w:p>
        </w:tc>
        <w:tc>
          <w:tcPr>
            <w:tcW w:type="dxa" w:w="1699"/>
            <w:vAlign w:val="center"/>
            <w:shd w:fill="312E81"/>
            <w:tcMar>
              <w:top w:w="115" w:type="dxa"/>
              <w:start w:w="125" w:type="dxa"/>
              <w:bottom w:w="115" w:type="dxa"/>
              <w:end w:w="125" w:type="dxa"/>
            </w:tcMar>
          </w:tcPr>
          <w:p>
            <w:pPr>
              <w:jc w:val="center"/>
            </w:pPr>
            <w:r>
              <w:rPr>
                <w:rFonts w:ascii="Aptos" w:hAnsi="Aptos"/>
                <w:b/>
                <w:color w:val="FFFFFF"/>
                <w:sz w:val="17"/>
              </w:rPr>
              <w:t>Status</w:t>
            </w:r>
          </w:p>
        </w:tc>
        <w:tc>
          <w:tcPr>
            <w:tcW w:type="dxa" w:w="5357"/>
            <w:vAlign w:val="center"/>
            <w:shd w:fill="312E81"/>
            <w:tcMar>
              <w:top w:w="115" w:type="dxa"/>
              <w:start w:w="125" w:type="dxa"/>
              <w:bottom w:w="115" w:type="dxa"/>
              <w:end w:w="125" w:type="dxa"/>
            </w:tcMar>
          </w:tcPr>
          <w:p>
            <w:pPr>
              <w:jc w:val="left"/>
            </w:pPr>
            <w:r>
              <w:rPr>
                <w:rFonts w:ascii="Aptos" w:hAnsi="Aptos"/>
                <w:b/>
                <w:color w:val="FFFFFF"/>
                <w:sz w:val="17"/>
              </w:rPr>
              <w:t>Result and next requirement</w:t>
            </w:r>
          </w:p>
        </w:tc>
      </w:tr>
      <w:tr>
        <w:tc>
          <w:tcPr>
            <w:tcW w:type="dxa" w:w="547"/>
            <w:vAlign w:val="center"/>
            <w:tcMar>
              <w:top w:w="110" w:type="dxa"/>
              <w:start w:w="130" w:type="dxa"/>
              <w:bottom w:w="110" w:type="dxa"/>
              <w:end w:w="130" w:type="dxa"/>
            </w:tcMar>
          </w:tcPr>
          <w:p>
            <w:pPr>
              <w:spacing w:after="0"/>
              <w:jc w:val="center"/>
            </w:pPr>
            <w:r>
              <w:rPr>
                <w:rFonts w:ascii="Aptos" w:hAnsi="Aptos"/>
                <w:b/>
                <w:color w:val="111827"/>
                <w:sz w:val="17"/>
              </w:rPr>
              <w:t>1</w:t>
            </w:r>
          </w:p>
        </w:tc>
        <w:tc>
          <w:tcPr>
            <w:tcW w:type="dxa" w:w="2477"/>
            <w:vAlign w:val="center"/>
            <w:tcMar>
              <w:top w:w="110" w:type="dxa"/>
              <w:start w:w="130" w:type="dxa"/>
              <w:bottom w:w="110" w:type="dxa"/>
              <w:end w:w="130" w:type="dxa"/>
            </w:tcMar>
          </w:tcPr>
          <w:p>
            <w:pPr>
              <w:spacing w:after="0"/>
              <w:jc w:val="left"/>
            </w:pPr>
            <w:r>
              <w:rPr>
                <w:rFonts w:ascii="Aptos" w:hAnsi="Aptos"/>
                <w:b/>
                <w:color w:val="111827"/>
                <w:sz w:val="17"/>
              </w:rPr>
              <w:t>Login branding</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tcPr>
          <w:p>
            <w:pPr>
              <w:spacing w:after="0"/>
              <w:jc w:val="left"/>
            </w:pPr>
            <w:r>
              <w:rPr>
                <w:rFonts w:ascii="Aptos" w:hAnsi="Aptos"/>
                <w:b w:val="0"/>
                <w:color w:val="111827"/>
                <w:sz w:val="17"/>
              </w:rPr>
              <w:t>The shared COSMOS orbit wordmark and A WEWEL PRODUCT signature are now used on both the sidebar and login layout.</w:t>
            </w:r>
          </w:p>
        </w:tc>
      </w:tr>
      <w:tr>
        <w:tc>
          <w:tcPr>
            <w:tcW w:type="dxa" w:w="547"/>
            <w:vAlign w:val="center"/>
            <w:tcMar>
              <w:top w:w="110" w:type="dxa"/>
              <w:start w:w="130" w:type="dxa"/>
              <w:bottom w:w="110" w:type="dxa"/>
              <w:end w:w="130" w:type="dxa"/>
            </w:tcMar>
            <w:shd w:fill="F8FAFC"/>
          </w:tcPr>
          <w:p>
            <w:pPr>
              <w:spacing w:after="0"/>
              <w:jc w:val="center"/>
            </w:pPr>
            <w:r>
              <w:rPr>
                <w:rFonts w:ascii="Aptos" w:hAnsi="Aptos"/>
                <w:b/>
                <w:color w:val="111827"/>
                <w:sz w:val="17"/>
              </w:rPr>
              <w:t>2</w:t>
            </w:r>
          </w:p>
        </w:tc>
        <w:tc>
          <w:tcPr>
            <w:tcW w:type="dxa" w:w="2477"/>
            <w:vAlign w:val="center"/>
            <w:tcMar>
              <w:top w:w="110" w:type="dxa"/>
              <w:start w:w="130" w:type="dxa"/>
              <w:bottom w:w="110" w:type="dxa"/>
              <w:end w:w="130" w:type="dxa"/>
            </w:tcMar>
            <w:shd w:fill="F8FAFC"/>
          </w:tcPr>
          <w:p>
            <w:pPr>
              <w:spacing w:after="0"/>
              <w:jc w:val="left"/>
            </w:pPr>
            <w:r>
              <w:rPr>
                <w:rFonts w:ascii="Aptos" w:hAnsi="Aptos"/>
                <w:b/>
                <w:color w:val="111827"/>
                <w:sz w:val="17"/>
              </w:rPr>
              <w:t>Dashboard party widget</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shd w:fill="F8FAFC"/>
          </w:tcPr>
          <w:p>
            <w:pPr>
              <w:spacing w:after="0"/>
              <w:jc w:val="left"/>
            </w:pPr>
            <w:r>
              <w:rPr>
                <w:rFonts w:ascii="Aptos" w:hAnsi="Aptos"/>
                <w:b w:val="0"/>
                <w:color w:val="111827"/>
                <w:sz w:val="17"/>
              </w:rPr>
              <w:t>Removed the invalid Both value. Requests now send only Customer or Supplier, including migration of stale URL filters.</w:t>
            </w:r>
          </w:p>
        </w:tc>
      </w:tr>
      <w:tr>
        <w:tc>
          <w:tcPr>
            <w:tcW w:type="dxa" w:w="547"/>
            <w:vAlign w:val="center"/>
            <w:tcMar>
              <w:top w:w="110" w:type="dxa"/>
              <w:start w:w="130" w:type="dxa"/>
              <w:bottom w:w="110" w:type="dxa"/>
              <w:end w:w="130" w:type="dxa"/>
            </w:tcMar>
          </w:tcPr>
          <w:p>
            <w:pPr>
              <w:spacing w:after="0"/>
              <w:jc w:val="center"/>
            </w:pPr>
            <w:r>
              <w:rPr>
                <w:rFonts w:ascii="Aptos" w:hAnsi="Aptos"/>
                <w:b/>
                <w:color w:val="111827"/>
                <w:sz w:val="17"/>
              </w:rPr>
              <w:t>3</w:t>
            </w:r>
          </w:p>
        </w:tc>
        <w:tc>
          <w:tcPr>
            <w:tcW w:type="dxa" w:w="2477"/>
            <w:vAlign w:val="center"/>
            <w:tcMar>
              <w:top w:w="110" w:type="dxa"/>
              <w:start w:w="130" w:type="dxa"/>
              <w:bottom w:w="110" w:type="dxa"/>
              <w:end w:w="130" w:type="dxa"/>
            </w:tcMar>
          </w:tcPr>
          <w:p>
            <w:pPr>
              <w:spacing w:after="0"/>
              <w:jc w:val="left"/>
            </w:pPr>
            <w:r>
              <w:rPr>
                <w:rFonts w:ascii="Aptos" w:hAnsi="Aptos"/>
                <w:b/>
                <w:color w:val="111827"/>
                <w:sz w:val="17"/>
              </w:rPr>
              <w:t>RBAC user role on edit</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tcPr>
          <w:p>
            <w:pPr>
              <w:spacing w:after="0"/>
              <w:jc w:val="left"/>
            </w:pPr>
            <w:r>
              <w:rPr>
                <w:rFonts w:ascii="Aptos" w:hAnsi="Aptos"/>
                <w:b w:val="0"/>
                <w:color w:val="111827"/>
                <w:sz w:val="17"/>
              </w:rPr>
              <w:t>The role selector is available in create and edit, restores the assigned role, handles loading and retry states, and submits roleId.</w:t>
            </w:r>
          </w:p>
        </w:tc>
      </w:tr>
      <w:tr>
        <w:tc>
          <w:tcPr>
            <w:tcW w:type="dxa" w:w="547"/>
            <w:vAlign w:val="center"/>
            <w:tcMar>
              <w:top w:w="110" w:type="dxa"/>
              <w:start w:w="130" w:type="dxa"/>
              <w:bottom w:w="110" w:type="dxa"/>
              <w:end w:w="130" w:type="dxa"/>
            </w:tcMar>
            <w:shd w:fill="F8FAFC"/>
          </w:tcPr>
          <w:p>
            <w:pPr>
              <w:spacing w:after="0"/>
              <w:jc w:val="center"/>
            </w:pPr>
            <w:r>
              <w:rPr>
                <w:rFonts w:ascii="Aptos" w:hAnsi="Aptos"/>
                <w:b/>
                <w:color w:val="111827"/>
                <w:sz w:val="17"/>
              </w:rPr>
              <w:t>4</w:t>
            </w:r>
          </w:p>
        </w:tc>
        <w:tc>
          <w:tcPr>
            <w:tcW w:type="dxa" w:w="2477"/>
            <w:vAlign w:val="center"/>
            <w:tcMar>
              <w:top w:w="110" w:type="dxa"/>
              <w:start w:w="130" w:type="dxa"/>
              <w:bottom w:w="110" w:type="dxa"/>
              <w:end w:w="130" w:type="dxa"/>
            </w:tcMar>
            <w:shd w:fill="F8FAFC"/>
          </w:tcPr>
          <w:p>
            <w:pPr>
              <w:spacing w:after="0"/>
              <w:jc w:val="left"/>
            </w:pPr>
            <w:r>
              <w:rPr>
                <w:rFonts w:ascii="Aptos" w:hAnsi="Aptos"/>
                <w:b/>
                <w:color w:val="111827"/>
                <w:sz w:val="17"/>
              </w:rPr>
              <w:t>SuperAdmin access coverage</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shd w:fill="F8FAFC"/>
          </w:tcPr>
          <w:p>
            <w:pPr>
              <w:spacing w:after="0"/>
              <w:jc w:val="left"/>
            </w:pPr>
            <w:r>
              <w:rPr>
                <w:rFonts w:ascii="Aptos" w:hAnsi="Aptos"/>
                <w:b w:val="0"/>
                <w:color w:val="111827"/>
                <w:sz w:val="17"/>
              </w:rPr>
              <w:t>Coverage now reflects effective authorization. SuperAdmin is treated as full access instead of showing incomplete persisted row flags such as 577 of 606.</w:t>
            </w:r>
          </w:p>
        </w:tc>
      </w:tr>
      <w:tr>
        <w:tc>
          <w:tcPr>
            <w:tcW w:type="dxa" w:w="547"/>
            <w:vAlign w:val="center"/>
            <w:tcMar>
              <w:top w:w="110" w:type="dxa"/>
              <w:start w:w="130" w:type="dxa"/>
              <w:bottom w:w="110" w:type="dxa"/>
              <w:end w:w="130" w:type="dxa"/>
            </w:tcMar>
          </w:tcPr>
          <w:p>
            <w:pPr>
              <w:spacing w:after="0"/>
              <w:jc w:val="center"/>
            </w:pPr>
            <w:r>
              <w:rPr>
                <w:rFonts w:ascii="Aptos" w:hAnsi="Aptos"/>
                <w:b/>
                <w:color w:val="111827"/>
                <w:sz w:val="17"/>
              </w:rPr>
              <w:t>5</w:t>
            </w:r>
          </w:p>
        </w:tc>
        <w:tc>
          <w:tcPr>
            <w:tcW w:type="dxa" w:w="2477"/>
            <w:vAlign w:val="center"/>
            <w:tcMar>
              <w:top w:w="110" w:type="dxa"/>
              <w:start w:w="130" w:type="dxa"/>
              <w:bottom w:w="110" w:type="dxa"/>
              <w:end w:w="130" w:type="dxa"/>
            </w:tcMar>
          </w:tcPr>
          <w:p>
            <w:pPr>
              <w:spacing w:after="0"/>
              <w:jc w:val="left"/>
            </w:pPr>
            <w:r>
              <w:rPr>
                <w:rFonts w:ascii="Aptos" w:hAnsi="Aptos"/>
                <w:b/>
                <w:color w:val="111827"/>
                <w:sz w:val="17"/>
              </w:rPr>
              <w:t>Large add forms</w:t>
            </w:r>
          </w:p>
        </w:tc>
        <w:tc>
          <w:tcPr>
            <w:tcW w:type="dxa" w:w="1699"/>
            <w:vAlign w:val="center"/>
            <w:tcMar>
              <w:top w:w="110" w:type="dxa"/>
              <w:start w:w="130" w:type="dxa"/>
              <w:bottom w:w="110" w:type="dxa"/>
              <w:end w:w="130" w:type="dxa"/>
            </w:tcMar>
            <w:shd w:fill="FFF7E6"/>
          </w:tcPr>
          <w:p>
            <w:pPr>
              <w:spacing w:after="0"/>
              <w:jc w:val="center"/>
            </w:pPr>
            <w:r>
              <w:rPr>
                <w:rFonts w:ascii="Aptos" w:hAnsi="Aptos"/>
                <w:b w:val="0"/>
                <w:color w:val="334155"/>
                <w:sz w:val="17"/>
              </w:rPr>
              <w:t>Partial rollout</w:t>
            </w:r>
          </w:p>
        </w:tc>
        <w:tc>
          <w:tcPr>
            <w:tcW w:type="dxa" w:w="5357"/>
            <w:vAlign w:val="center"/>
            <w:tcMar>
              <w:top w:w="110" w:type="dxa"/>
              <w:start w:w="130" w:type="dxa"/>
              <w:bottom w:w="110" w:type="dxa"/>
              <w:end w:w="130" w:type="dxa"/>
            </w:tcMar>
          </w:tcPr>
          <w:p>
            <w:pPr>
              <w:spacing w:after="0"/>
              <w:jc w:val="left"/>
            </w:pPr>
            <w:r>
              <w:rPr>
                <w:rFonts w:ascii="Aptos" w:hAnsi="Aptos"/>
                <w:b w:val="0"/>
                <w:color w:val="111827"/>
                <w:sz w:val="17"/>
              </w:rPr>
              <w:t>Item, Employee, Invoice, and Party workspaces now use the wider 1480 px form treatment. Converting every legacy modal into a routed full-page editor should be completed module by module.</w:t>
            </w:r>
          </w:p>
        </w:tc>
      </w:tr>
      <w:tr>
        <w:tc>
          <w:tcPr>
            <w:tcW w:type="dxa" w:w="547"/>
            <w:vAlign w:val="center"/>
            <w:tcMar>
              <w:top w:w="110" w:type="dxa"/>
              <w:start w:w="130" w:type="dxa"/>
              <w:bottom w:w="110" w:type="dxa"/>
              <w:end w:w="130" w:type="dxa"/>
            </w:tcMar>
            <w:shd w:fill="F8FAFC"/>
          </w:tcPr>
          <w:p>
            <w:pPr>
              <w:spacing w:after="0"/>
              <w:jc w:val="center"/>
            </w:pPr>
            <w:r>
              <w:rPr>
                <w:rFonts w:ascii="Aptos" w:hAnsi="Aptos"/>
                <w:b/>
                <w:color w:val="111827"/>
                <w:sz w:val="17"/>
              </w:rPr>
              <w:t>6</w:t>
            </w:r>
          </w:p>
        </w:tc>
        <w:tc>
          <w:tcPr>
            <w:tcW w:type="dxa" w:w="2477"/>
            <w:vAlign w:val="center"/>
            <w:tcMar>
              <w:top w:w="110" w:type="dxa"/>
              <w:start w:w="130" w:type="dxa"/>
              <w:bottom w:w="110" w:type="dxa"/>
              <w:end w:w="130" w:type="dxa"/>
            </w:tcMar>
            <w:shd w:fill="F8FAFC"/>
          </w:tcPr>
          <w:p>
            <w:pPr>
              <w:spacing w:after="0"/>
              <w:jc w:val="left"/>
            </w:pPr>
            <w:r>
              <w:rPr>
                <w:rFonts w:ascii="Aptos" w:hAnsi="Aptos"/>
                <w:b/>
                <w:color w:val="111827"/>
                <w:sz w:val="17"/>
              </w:rPr>
              <w:t>Inventory item images</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shd w:fill="F8FAFC"/>
          </w:tcPr>
          <w:p>
            <w:pPr>
              <w:spacing w:after="0"/>
              <w:jc w:val="left"/>
            </w:pPr>
            <w:r>
              <w:rPr>
                <w:rFonts w:ascii="Aptos" w:hAnsi="Aptos"/>
                <w:b w:val="0"/>
                <w:color w:val="111827"/>
                <w:sz w:val="17"/>
              </w:rPr>
              <w:t>Item list, detail, create, and edit state now recognize alternate image response fields and resolve relative HTTP media paths for table and edit previews.</w:t>
            </w:r>
          </w:p>
        </w:tc>
      </w:tr>
      <w:tr>
        <w:tc>
          <w:tcPr>
            <w:tcW w:type="dxa" w:w="547"/>
            <w:vAlign w:val="center"/>
            <w:tcMar>
              <w:top w:w="110" w:type="dxa"/>
              <w:start w:w="130" w:type="dxa"/>
              <w:bottom w:w="110" w:type="dxa"/>
              <w:end w:w="130" w:type="dxa"/>
            </w:tcMar>
          </w:tcPr>
          <w:p>
            <w:pPr>
              <w:spacing w:after="0"/>
              <w:jc w:val="center"/>
            </w:pPr>
            <w:r>
              <w:rPr>
                <w:rFonts w:ascii="Aptos" w:hAnsi="Aptos"/>
                <w:b/>
                <w:color w:val="111827"/>
                <w:sz w:val="17"/>
              </w:rPr>
              <w:t>7</w:t>
            </w:r>
          </w:p>
        </w:tc>
        <w:tc>
          <w:tcPr>
            <w:tcW w:type="dxa" w:w="2477"/>
            <w:vAlign w:val="center"/>
            <w:tcMar>
              <w:top w:w="110" w:type="dxa"/>
              <w:start w:w="130" w:type="dxa"/>
              <w:bottom w:w="110" w:type="dxa"/>
              <w:end w:w="130" w:type="dxa"/>
            </w:tcMar>
          </w:tcPr>
          <w:p>
            <w:pPr>
              <w:spacing w:after="0"/>
              <w:jc w:val="left"/>
            </w:pPr>
            <w:r>
              <w:rPr>
                <w:rFonts w:ascii="Aptos" w:hAnsi="Aptos"/>
                <w:b/>
                <w:color w:val="111827"/>
                <w:sz w:val="17"/>
              </w:rPr>
              <w:t>Data Book table flow</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ready</w:t>
            </w:r>
          </w:p>
        </w:tc>
        <w:tc>
          <w:tcPr>
            <w:tcW w:type="dxa" w:w="5357"/>
            <w:vAlign w:val="center"/>
            <w:tcMar>
              <w:top w:w="110" w:type="dxa"/>
              <w:start w:w="130" w:type="dxa"/>
              <w:bottom w:w="110" w:type="dxa"/>
              <w:end w:w="130" w:type="dxa"/>
            </w:tcMar>
          </w:tcPr>
          <w:p>
            <w:pPr>
              <w:spacing w:after="0"/>
              <w:jc w:val="left"/>
            </w:pPr>
            <w:r>
              <w:rPr>
                <w:rFonts w:ascii="Aptos" w:hAnsi="Aptos"/>
                <w:b w:val="0"/>
                <w:color w:val="111827"/>
                <w:sz w:val="17"/>
              </w:rPr>
              <w:t>The current frontend supports sheets, new sheet creation, list and grid views, row editing, paste, bulk save, history, conflict handling, filters, pagination, and export within the existing entry API.</w:t>
            </w:r>
          </w:p>
        </w:tc>
      </w:tr>
      <w:tr>
        <w:tc>
          <w:tcPr>
            <w:tcW w:type="dxa" w:w="547"/>
            <w:vAlign w:val="center"/>
            <w:tcMar>
              <w:top w:w="110" w:type="dxa"/>
              <w:start w:w="130" w:type="dxa"/>
              <w:bottom w:w="110" w:type="dxa"/>
              <w:end w:w="130" w:type="dxa"/>
            </w:tcMar>
            <w:shd w:fill="F8FAFC"/>
          </w:tcPr>
          <w:p>
            <w:pPr>
              <w:spacing w:after="0"/>
              <w:jc w:val="center"/>
            </w:pPr>
            <w:r>
              <w:rPr>
                <w:rFonts w:ascii="Aptos" w:hAnsi="Aptos"/>
                <w:b/>
                <w:color w:val="111827"/>
                <w:sz w:val="17"/>
              </w:rPr>
              <w:t>8</w:t>
            </w:r>
          </w:p>
        </w:tc>
        <w:tc>
          <w:tcPr>
            <w:tcW w:type="dxa" w:w="2477"/>
            <w:vAlign w:val="center"/>
            <w:tcMar>
              <w:top w:w="110" w:type="dxa"/>
              <w:start w:w="130" w:type="dxa"/>
              <w:bottom w:w="110" w:type="dxa"/>
              <w:end w:w="130" w:type="dxa"/>
            </w:tcMar>
            <w:shd w:fill="F8FAFC"/>
          </w:tcPr>
          <w:p>
            <w:pPr>
              <w:spacing w:after="0"/>
              <w:jc w:val="left"/>
            </w:pPr>
            <w:r>
              <w:rPr>
                <w:rFonts w:ascii="Aptos" w:hAnsi="Aptos"/>
                <w:b/>
                <w:color w:val="111827"/>
                <w:sz w:val="17"/>
              </w:rPr>
              <w:t>Microsoft Excel parity</w:t>
            </w:r>
          </w:p>
        </w:tc>
        <w:tc>
          <w:tcPr>
            <w:tcW w:type="dxa" w:w="1699"/>
            <w:vAlign w:val="center"/>
            <w:tcMar>
              <w:top w:w="110" w:type="dxa"/>
              <w:start w:w="130" w:type="dxa"/>
              <w:bottom w:w="110" w:type="dxa"/>
              <w:end w:w="130" w:type="dxa"/>
            </w:tcMar>
            <w:shd w:fill="FFF7E6"/>
          </w:tcPr>
          <w:p>
            <w:pPr>
              <w:spacing w:after="0"/>
              <w:jc w:val="center"/>
            </w:pPr>
            <w:r>
              <w:rPr>
                <w:rFonts w:ascii="Aptos" w:hAnsi="Aptos"/>
                <w:b w:val="0"/>
                <w:color w:val="334155"/>
                <w:sz w:val="17"/>
              </w:rPr>
              <w:t>Backend expansion</w:t>
            </w:r>
          </w:p>
        </w:tc>
        <w:tc>
          <w:tcPr>
            <w:tcW w:type="dxa" w:w="5357"/>
            <w:vAlign w:val="center"/>
            <w:tcMar>
              <w:top w:w="110" w:type="dxa"/>
              <w:start w:w="130" w:type="dxa"/>
              <w:bottom w:w="110" w:type="dxa"/>
              <w:end w:w="130" w:type="dxa"/>
            </w:tcMar>
            <w:shd w:fill="F8FAFC"/>
          </w:tcPr>
          <w:p>
            <w:pPr>
              <w:spacing w:after="0"/>
              <w:jc w:val="left"/>
            </w:pPr>
            <w:r>
              <w:rPr>
                <w:rFonts w:ascii="Aptos" w:hAnsi="Aptos"/>
                <w:b w:val="0"/>
                <w:color w:val="111827"/>
                <w:sz w:val="17"/>
              </w:rPr>
              <w:t>The grid already provides an Excel-like editing flow. True workbook parity needs an arbitrary column schema, formulas, formatting, workbook import and export, and server-side persistence beyond Name, Value, and Description.</w:t>
            </w:r>
          </w:p>
        </w:tc>
      </w:tr>
      <w:tr>
        <w:tc>
          <w:tcPr>
            <w:tcW w:type="dxa" w:w="547"/>
            <w:vAlign w:val="center"/>
            <w:tcMar>
              <w:top w:w="110" w:type="dxa"/>
              <w:start w:w="130" w:type="dxa"/>
              <w:bottom w:w="110" w:type="dxa"/>
              <w:end w:w="130" w:type="dxa"/>
            </w:tcMar>
          </w:tcPr>
          <w:p>
            <w:pPr>
              <w:spacing w:after="0"/>
              <w:jc w:val="center"/>
            </w:pPr>
            <w:r>
              <w:rPr>
                <w:rFonts w:ascii="Aptos" w:hAnsi="Aptos"/>
                <w:b/>
                <w:color w:val="111827"/>
                <w:sz w:val="17"/>
              </w:rPr>
              <w:t>9</w:t>
            </w:r>
          </w:p>
        </w:tc>
        <w:tc>
          <w:tcPr>
            <w:tcW w:type="dxa" w:w="2477"/>
            <w:vAlign w:val="center"/>
            <w:tcMar>
              <w:top w:w="110" w:type="dxa"/>
              <w:start w:w="130" w:type="dxa"/>
              <w:bottom w:w="110" w:type="dxa"/>
              <w:end w:w="130" w:type="dxa"/>
            </w:tcMar>
          </w:tcPr>
          <w:p>
            <w:pPr>
              <w:spacing w:after="0"/>
              <w:jc w:val="left"/>
            </w:pPr>
            <w:r>
              <w:rPr>
                <w:rFonts w:ascii="Aptos" w:hAnsi="Aptos"/>
                <w:b/>
                <w:color w:val="111827"/>
                <w:sz w:val="17"/>
              </w:rPr>
              <w:t>Party table design</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tcPr>
          <w:p>
            <w:pPr>
              <w:spacing w:after="0"/>
              <w:jc w:val="left"/>
            </w:pPr>
            <w:r>
              <w:rPr>
                <w:rFonts w:ascii="Aptos" w:hAnsi="Aptos"/>
                <w:b w:val="0"/>
                <w:color w:val="111827"/>
                <w:sz w:val="17"/>
              </w:rPr>
              <w:t>Desktop table density, header typography, borders, shadows, row spacing, and actions were aligned with the shared table visual system. Mobile cards remain responsive.</w:t>
            </w:r>
          </w:p>
        </w:tc>
      </w:tr>
      <w:tr>
        <w:tc>
          <w:tcPr>
            <w:tcW w:type="dxa" w:w="547"/>
            <w:vAlign w:val="center"/>
            <w:tcMar>
              <w:top w:w="110" w:type="dxa"/>
              <w:start w:w="130" w:type="dxa"/>
              <w:bottom w:w="110" w:type="dxa"/>
              <w:end w:w="130" w:type="dxa"/>
            </w:tcMar>
            <w:shd w:fill="F8FAFC"/>
          </w:tcPr>
          <w:p>
            <w:pPr>
              <w:spacing w:after="0"/>
              <w:jc w:val="center"/>
            </w:pPr>
            <w:r>
              <w:rPr>
                <w:rFonts w:ascii="Aptos" w:hAnsi="Aptos"/>
                <w:b/>
                <w:color w:val="111827"/>
                <w:sz w:val="17"/>
              </w:rPr>
              <w:t>10</w:t>
            </w:r>
          </w:p>
        </w:tc>
        <w:tc>
          <w:tcPr>
            <w:tcW w:type="dxa" w:w="2477"/>
            <w:vAlign w:val="center"/>
            <w:tcMar>
              <w:top w:w="110" w:type="dxa"/>
              <w:start w:w="130" w:type="dxa"/>
              <w:bottom w:w="110" w:type="dxa"/>
              <w:end w:w="130" w:type="dxa"/>
            </w:tcMar>
            <w:shd w:fill="F8FAFC"/>
          </w:tcPr>
          <w:p>
            <w:pPr>
              <w:spacing w:after="0"/>
              <w:jc w:val="left"/>
            </w:pPr>
            <w:r>
              <w:rPr>
                <w:rFonts w:ascii="Aptos" w:hAnsi="Aptos"/>
                <w:b/>
                <w:color w:val="111827"/>
                <w:sz w:val="17"/>
              </w:rPr>
              <w:t>Party add experience</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shd w:fill="F8FAFC"/>
          </w:tcPr>
          <w:p>
            <w:pPr>
              <w:spacing w:after="0"/>
              <w:jc w:val="left"/>
            </w:pPr>
            <w:r>
              <w:rPr>
                <w:rFonts w:ascii="Aptos" w:hAnsi="Aptos"/>
                <w:b w:val="0"/>
                <w:color w:val="111827"/>
                <w:sz w:val="17"/>
              </w:rPr>
              <w:t>Party create and edit use the large workspace form with structured sections, GST verification, billing and shipping addresses, sticky actions, and local draft support.</w:t>
            </w:r>
          </w:p>
        </w:tc>
      </w:tr>
      <w:tr>
        <w:tc>
          <w:tcPr>
            <w:tcW w:type="dxa" w:w="547"/>
            <w:vAlign w:val="center"/>
            <w:tcMar>
              <w:top w:w="110" w:type="dxa"/>
              <w:start w:w="130" w:type="dxa"/>
              <w:bottom w:w="110" w:type="dxa"/>
              <w:end w:w="130" w:type="dxa"/>
            </w:tcMar>
          </w:tcPr>
          <w:p>
            <w:pPr>
              <w:spacing w:after="0"/>
              <w:jc w:val="center"/>
            </w:pPr>
            <w:r>
              <w:rPr>
                <w:rFonts w:ascii="Aptos" w:hAnsi="Aptos"/>
                <w:b/>
                <w:color w:val="111827"/>
                <w:sz w:val="17"/>
              </w:rPr>
              <w:t>11</w:t>
            </w:r>
          </w:p>
        </w:tc>
        <w:tc>
          <w:tcPr>
            <w:tcW w:type="dxa" w:w="2477"/>
            <w:vAlign w:val="center"/>
            <w:tcMar>
              <w:top w:w="110" w:type="dxa"/>
              <w:start w:w="130" w:type="dxa"/>
              <w:bottom w:w="110" w:type="dxa"/>
              <w:end w:w="130" w:type="dxa"/>
            </w:tcMar>
          </w:tcPr>
          <w:p>
            <w:pPr>
              <w:spacing w:after="0"/>
              <w:jc w:val="left"/>
            </w:pPr>
            <w:r>
              <w:rPr>
                <w:rFonts w:ascii="Aptos" w:hAnsi="Aptos"/>
                <w:b/>
                <w:color w:val="111827"/>
                <w:sz w:val="17"/>
              </w:rPr>
              <w:t>Sale invoice popup</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tcPr>
          <w:p>
            <w:pPr>
              <w:spacing w:after="0"/>
              <w:jc w:val="left"/>
            </w:pPr>
            <w:r>
              <w:rPr>
                <w:rFonts w:ascii="Aptos" w:hAnsi="Aptos"/>
                <w:b w:val="0"/>
                <w:color w:val="111827"/>
                <w:sz w:val="17"/>
              </w:rPr>
              <w:t>Customer selection no longer fails because of a frontend-only UUID restriction. Backend-owned numeric or string party identifiers are accepted and validated as non-empty.</w:t>
            </w:r>
          </w:p>
        </w:tc>
      </w:tr>
      <w:tr>
        <w:tc>
          <w:tcPr>
            <w:tcW w:type="dxa" w:w="547"/>
            <w:vAlign w:val="center"/>
            <w:tcMar>
              <w:top w:w="110" w:type="dxa"/>
              <w:start w:w="130" w:type="dxa"/>
              <w:bottom w:w="110" w:type="dxa"/>
              <w:end w:w="130" w:type="dxa"/>
            </w:tcMar>
            <w:shd w:fill="F8FAFC"/>
          </w:tcPr>
          <w:p>
            <w:pPr>
              <w:spacing w:after="0"/>
              <w:jc w:val="center"/>
            </w:pPr>
            <w:r>
              <w:rPr>
                <w:rFonts w:ascii="Aptos" w:hAnsi="Aptos"/>
                <w:b/>
                <w:color w:val="111827"/>
                <w:sz w:val="17"/>
              </w:rPr>
              <w:t>12</w:t>
            </w:r>
          </w:p>
        </w:tc>
        <w:tc>
          <w:tcPr>
            <w:tcW w:type="dxa" w:w="2477"/>
            <w:vAlign w:val="center"/>
            <w:tcMar>
              <w:top w:w="110" w:type="dxa"/>
              <w:start w:w="130" w:type="dxa"/>
              <w:bottom w:w="110" w:type="dxa"/>
              <w:end w:w="130" w:type="dxa"/>
            </w:tcMar>
            <w:shd w:fill="F8FAFC"/>
          </w:tcPr>
          <w:p>
            <w:pPr>
              <w:spacing w:after="0"/>
              <w:jc w:val="left"/>
            </w:pPr>
            <w:r>
              <w:rPr>
                <w:rFonts w:ascii="Aptos" w:hAnsi="Aptos"/>
                <w:b/>
                <w:color w:val="111827"/>
                <w:sz w:val="17"/>
              </w:rPr>
              <w:t>Wallet code</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shd w:fill="F8FAFC"/>
          </w:tcPr>
          <w:p>
            <w:pPr>
              <w:spacing w:after="0"/>
              <w:jc w:val="left"/>
            </w:pPr>
            <w:r>
              <w:rPr>
                <w:rFonts w:ascii="Aptos" w:hAnsi="Aptos"/>
                <w:b w:val="0"/>
                <w:color w:val="111827"/>
                <w:sz w:val="17"/>
              </w:rPr>
              <w:t>Wallet Code displays a required indicator and clearly states that a blank value is auto-generated. Blank input remains allowed so browser validation does not block server generation.</w:t>
            </w:r>
          </w:p>
        </w:tc>
      </w:tr>
      <w:tr>
        <w:tc>
          <w:tcPr>
            <w:tcW w:type="dxa" w:w="547"/>
            <w:vAlign w:val="center"/>
            <w:tcMar>
              <w:top w:w="110" w:type="dxa"/>
              <w:start w:w="130" w:type="dxa"/>
              <w:bottom w:w="110" w:type="dxa"/>
              <w:end w:w="130" w:type="dxa"/>
            </w:tcMar>
          </w:tcPr>
          <w:p>
            <w:pPr>
              <w:spacing w:after="0"/>
              <w:jc w:val="center"/>
            </w:pPr>
            <w:r>
              <w:rPr>
                <w:rFonts w:ascii="Aptos" w:hAnsi="Aptos"/>
                <w:b/>
                <w:color w:val="111827"/>
                <w:sz w:val="17"/>
              </w:rPr>
              <w:t>13</w:t>
            </w:r>
          </w:p>
        </w:tc>
        <w:tc>
          <w:tcPr>
            <w:tcW w:type="dxa" w:w="2477"/>
            <w:vAlign w:val="center"/>
            <w:tcMar>
              <w:top w:w="110" w:type="dxa"/>
              <w:start w:w="130" w:type="dxa"/>
              <w:bottom w:w="110" w:type="dxa"/>
              <w:end w:w="130" w:type="dxa"/>
            </w:tcMar>
          </w:tcPr>
          <w:p>
            <w:pPr>
              <w:spacing w:after="0"/>
              <w:jc w:val="left"/>
            </w:pPr>
            <w:r>
              <w:rPr>
                <w:rFonts w:ascii="Aptos" w:hAnsi="Aptos"/>
                <w:b/>
                <w:color w:val="111827"/>
                <w:sz w:val="17"/>
              </w:rPr>
              <w:t>Postman contract audit</w:t>
            </w:r>
          </w:p>
        </w:tc>
        <w:tc>
          <w:tcPr>
            <w:tcW w:type="dxa" w:w="1699"/>
            <w:vAlign w:val="center"/>
            <w:tcMar>
              <w:top w:w="110" w:type="dxa"/>
              <w:start w:w="130" w:type="dxa"/>
              <w:bottom w:w="110" w:type="dxa"/>
              <w:end w:w="130" w:type="dxa"/>
            </w:tcMar>
            <w:shd w:fill="FDECEC"/>
          </w:tcPr>
          <w:p>
            <w:pPr>
              <w:spacing w:after="0"/>
              <w:jc w:val="center"/>
            </w:pPr>
            <w:r>
              <w:rPr>
                <w:rFonts w:ascii="Aptos" w:hAnsi="Aptos"/>
                <w:b w:val="0"/>
                <w:color w:val="334155"/>
                <w:sz w:val="17"/>
              </w:rPr>
              <w:t>Waiting for input</w:t>
            </w:r>
          </w:p>
        </w:tc>
        <w:tc>
          <w:tcPr>
            <w:tcW w:type="dxa" w:w="5357"/>
            <w:vAlign w:val="center"/>
            <w:tcMar>
              <w:top w:w="110" w:type="dxa"/>
              <w:start w:w="130" w:type="dxa"/>
              <w:bottom w:w="110" w:type="dxa"/>
              <w:end w:w="130" w:type="dxa"/>
            </w:tcMar>
          </w:tcPr>
          <w:p>
            <w:pPr>
              <w:spacing w:after="0"/>
              <w:jc w:val="left"/>
            </w:pPr>
            <w:r>
              <w:rPr>
                <w:rFonts w:ascii="Aptos" w:hAnsi="Aptos"/>
                <w:b w:val="0"/>
                <w:color w:val="111827"/>
                <w:sz w:val="17"/>
              </w:rPr>
              <w:t>The full endpoint-by-endpoint required-field audit will start when the Postman collection is provided.</w:t>
            </w:r>
          </w:p>
        </w:tc>
      </w:tr>
      <w:tr>
        <w:tc>
          <w:tcPr>
            <w:tcW w:type="dxa" w:w="547"/>
            <w:vAlign w:val="center"/>
            <w:tcMar>
              <w:top w:w="110" w:type="dxa"/>
              <w:start w:w="130" w:type="dxa"/>
              <w:bottom w:w="110" w:type="dxa"/>
              <w:end w:w="130" w:type="dxa"/>
            </w:tcMar>
            <w:shd w:fill="F8FAFC"/>
          </w:tcPr>
          <w:p>
            <w:pPr>
              <w:spacing w:after="0"/>
              <w:jc w:val="center"/>
            </w:pPr>
            <w:r>
              <w:rPr>
                <w:rFonts w:ascii="Aptos" w:hAnsi="Aptos"/>
                <w:b/>
                <w:color w:val="111827"/>
                <w:sz w:val="17"/>
              </w:rPr>
              <w:t>14</w:t>
            </w:r>
          </w:p>
        </w:tc>
        <w:tc>
          <w:tcPr>
            <w:tcW w:type="dxa" w:w="2477"/>
            <w:vAlign w:val="center"/>
            <w:tcMar>
              <w:top w:w="110" w:type="dxa"/>
              <w:start w:w="130" w:type="dxa"/>
              <w:bottom w:w="110" w:type="dxa"/>
              <w:end w:w="130" w:type="dxa"/>
            </w:tcMar>
            <w:shd w:fill="F8FAFC"/>
          </w:tcPr>
          <w:p>
            <w:pPr>
              <w:spacing w:after="0"/>
              <w:jc w:val="left"/>
            </w:pPr>
            <w:r>
              <w:rPr>
                <w:rFonts w:ascii="Aptos" w:hAnsi="Aptos"/>
                <w:b/>
                <w:color w:val="111827"/>
                <w:sz w:val="17"/>
              </w:rPr>
              <w:t>Employee profile PDF</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shd w:fill="F8FAFC"/>
          </w:tcPr>
          <w:p>
            <w:pPr>
              <w:spacing w:after="0"/>
              <w:jc w:val="left"/>
            </w:pPr>
            <w:r>
              <w:rPr>
                <w:rFonts w:ascii="Aptos" w:hAnsi="Aptos"/>
                <w:b w:val="0"/>
                <w:color w:val="111827"/>
                <w:sz w:val="17"/>
              </w:rPr>
              <w:t>A resume-style employee PDF is generated after successful creation and can also be downloaded from the employee profile. It includes personal, employment, address, and available bank details.</w:t>
            </w:r>
          </w:p>
        </w:tc>
      </w:tr>
      <w:tr>
        <w:tc>
          <w:tcPr>
            <w:tcW w:type="dxa" w:w="547"/>
            <w:vAlign w:val="center"/>
            <w:tcMar>
              <w:top w:w="110" w:type="dxa"/>
              <w:start w:w="130" w:type="dxa"/>
              <w:bottom w:w="110" w:type="dxa"/>
              <w:end w:w="130" w:type="dxa"/>
            </w:tcMar>
          </w:tcPr>
          <w:p>
            <w:pPr>
              <w:spacing w:after="0"/>
              <w:jc w:val="center"/>
            </w:pPr>
            <w:r>
              <w:rPr>
                <w:rFonts w:ascii="Aptos" w:hAnsi="Aptos"/>
                <w:b/>
                <w:color w:val="111827"/>
                <w:sz w:val="17"/>
              </w:rPr>
              <w:t>15</w:t>
            </w:r>
          </w:p>
        </w:tc>
        <w:tc>
          <w:tcPr>
            <w:tcW w:type="dxa" w:w="2477"/>
            <w:vAlign w:val="center"/>
            <w:tcMar>
              <w:top w:w="110" w:type="dxa"/>
              <w:start w:w="130" w:type="dxa"/>
              <w:bottom w:w="110" w:type="dxa"/>
              <w:end w:w="130" w:type="dxa"/>
            </w:tcMar>
          </w:tcPr>
          <w:p>
            <w:pPr>
              <w:spacing w:after="0"/>
              <w:jc w:val="left"/>
            </w:pPr>
            <w:r>
              <w:rPr>
                <w:rFonts w:ascii="Aptos" w:hAnsi="Aptos"/>
                <w:b/>
                <w:color w:val="111827"/>
                <w:sz w:val="17"/>
              </w:rPr>
              <w:t>Required fields and stars</w:t>
            </w:r>
          </w:p>
        </w:tc>
        <w:tc>
          <w:tcPr>
            <w:tcW w:type="dxa" w:w="1699"/>
            <w:vAlign w:val="center"/>
            <w:tcMar>
              <w:top w:w="110" w:type="dxa"/>
              <w:start w:w="130" w:type="dxa"/>
              <w:bottom w:w="110" w:type="dxa"/>
              <w:end w:w="130" w:type="dxa"/>
            </w:tcMar>
            <w:shd w:fill="FFF7E6"/>
          </w:tcPr>
          <w:p>
            <w:pPr>
              <w:spacing w:after="0"/>
              <w:jc w:val="center"/>
            </w:pPr>
            <w:r>
              <w:rPr>
                <w:rFonts w:ascii="Aptos" w:hAnsi="Aptos"/>
                <w:b w:val="0"/>
                <w:color w:val="334155"/>
                <w:sz w:val="17"/>
              </w:rPr>
              <w:t>Partial rollout</w:t>
            </w:r>
          </w:p>
        </w:tc>
        <w:tc>
          <w:tcPr>
            <w:tcW w:type="dxa" w:w="5357"/>
            <w:vAlign w:val="center"/>
            <w:tcMar>
              <w:top w:w="110" w:type="dxa"/>
              <w:start w:w="130" w:type="dxa"/>
              <w:bottom w:w="110" w:type="dxa"/>
              <w:end w:w="130" w:type="dxa"/>
            </w:tcMar>
          </w:tcPr>
          <w:p>
            <w:pPr>
              <w:spacing w:after="0"/>
              <w:jc w:val="left"/>
            </w:pPr>
            <w:r>
              <w:rPr>
                <w:rFonts w:ascii="Aptos" w:hAnsi="Aptos"/>
                <w:b w:val="0"/>
                <w:color w:val="111827"/>
                <w:sz w:val="17"/>
              </w:rPr>
              <w:t>Current Zod form contracts and visible required indicators are aligned in the updated flows. Final API-wide confirmation depends on the Postman and OpenAPI contract audit.</w:t>
            </w:r>
          </w:p>
        </w:tc>
      </w:tr>
      <w:tr>
        <w:tc>
          <w:tcPr>
            <w:tcW w:type="dxa" w:w="547"/>
            <w:vAlign w:val="center"/>
            <w:tcMar>
              <w:top w:w="110" w:type="dxa"/>
              <w:start w:w="130" w:type="dxa"/>
              <w:bottom w:w="110" w:type="dxa"/>
              <w:end w:w="130" w:type="dxa"/>
            </w:tcMar>
            <w:shd w:fill="F8FAFC"/>
          </w:tcPr>
          <w:p>
            <w:pPr>
              <w:spacing w:after="0"/>
              <w:jc w:val="center"/>
            </w:pPr>
            <w:r>
              <w:rPr>
                <w:rFonts w:ascii="Aptos" w:hAnsi="Aptos"/>
                <w:b/>
                <w:color w:val="111827"/>
                <w:sz w:val="17"/>
              </w:rPr>
              <w:t>16</w:t>
            </w:r>
          </w:p>
        </w:tc>
        <w:tc>
          <w:tcPr>
            <w:tcW w:type="dxa" w:w="2477"/>
            <w:vAlign w:val="center"/>
            <w:tcMar>
              <w:top w:w="110" w:type="dxa"/>
              <w:start w:w="130" w:type="dxa"/>
              <w:bottom w:w="110" w:type="dxa"/>
              <w:end w:w="130" w:type="dxa"/>
            </w:tcMar>
            <w:shd w:fill="F8FAFC"/>
          </w:tcPr>
          <w:p>
            <w:pPr>
              <w:spacing w:after="0"/>
              <w:jc w:val="left"/>
            </w:pPr>
            <w:r>
              <w:rPr>
                <w:rFonts w:ascii="Aptos" w:hAnsi="Aptos"/>
                <w:b/>
                <w:color w:val="111827"/>
                <w:sz w:val="17"/>
              </w:rPr>
              <w:t>Department designations</w:t>
            </w:r>
          </w:p>
        </w:tc>
        <w:tc>
          <w:tcPr>
            <w:tcW w:type="dxa" w:w="1699"/>
            <w:vAlign w:val="center"/>
            <w:tcMar>
              <w:top w:w="110" w:type="dxa"/>
              <w:start w:w="130" w:type="dxa"/>
              <w:bottom w:w="110" w:type="dxa"/>
              <w:end w:w="130" w:type="dxa"/>
            </w:tcMar>
            <w:shd w:fill="E8F7EF"/>
          </w:tcPr>
          <w:p>
            <w:pPr>
              <w:spacing w:after="0"/>
              <w:jc w:val="center"/>
            </w:pPr>
            <w:r>
              <w:rPr>
                <w:rFonts w:ascii="Aptos" w:hAnsi="Aptos"/>
                <w:b w:val="0"/>
                <w:color w:val="334155"/>
                <w:sz w:val="17"/>
              </w:rPr>
              <w:t>Frontend fixed</w:t>
            </w:r>
          </w:p>
        </w:tc>
        <w:tc>
          <w:tcPr>
            <w:tcW w:type="dxa" w:w="5357"/>
            <w:vAlign w:val="center"/>
            <w:tcMar>
              <w:top w:w="110" w:type="dxa"/>
              <w:start w:w="130" w:type="dxa"/>
              <w:bottom w:w="110" w:type="dxa"/>
              <w:end w:w="130" w:type="dxa"/>
            </w:tcMar>
            <w:shd w:fill="F8FAFC"/>
          </w:tcPr>
          <w:p>
            <w:pPr>
              <w:spacing w:after="0"/>
              <w:jc w:val="left"/>
            </w:pPr>
            <w:r>
              <w:rPr>
                <w:rFonts w:ascii="Aptos" w:hAnsi="Aptos"/>
                <w:b w:val="0"/>
                <w:color w:val="111827"/>
                <w:sz w:val="17"/>
              </w:rPr>
              <w:t>The designation dropdown now depends on the selected department, clears incompatible selections, and stays disabled until a department is chosen.</w:t>
            </w:r>
          </w:p>
        </w:tc>
      </w:tr>
      <w:tr>
        <w:tc>
          <w:tcPr>
            <w:tcW w:type="dxa" w:w="547"/>
            <w:vAlign w:val="center"/>
            <w:tcMar>
              <w:top w:w="110" w:type="dxa"/>
              <w:start w:w="130" w:type="dxa"/>
              <w:bottom w:w="110" w:type="dxa"/>
              <w:end w:w="130" w:type="dxa"/>
            </w:tcMar>
          </w:tcPr>
          <w:p>
            <w:pPr>
              <w:spacing w:after="0"/>
              <w:jc w:val="center"/>
            </w:pPr>
            <w:r>
              <w:rPr>
                <w:rFonts w:ascii="Aptos" w:hAnsi="Aptos"/>
                <w:b/>
                <w:color w:val="111827"/>
                <w:sz w:val="17"/>
              </w:rPr>
              <w:t>17</w:t>
            </w:r>
          </w:p>
        </w:tc>
        <w:tc>
          <w:tcPr>
            <w:tcW w:type="dxa" w:w="2477"/>
            <w:vAlign w:val="center"/>
            <w:tcMar>
              <w:top w:w="110" w:type="dxa"/>
              <w:start w:w="130" w:type="dxa"/>
              <w:bottom w:w="110" w:type="dxa"/>
              <w:end w:w="130" w:type="dxa"/>
            </w:tcMar>
          </w:tcPr>
          <w:p>
            <w:pPr>
              <w:spacing w:after="0"/>
              <w:jc w:val="left"/>
            </w:pPr>
            <w:r>
              <w:rPr>
                <w:rFonts w:ascii="Aptos" w:hAnsi="Aptos"/>
                <w:b/>
                <w:color w:val="111827"/>
                <w:sz w:val="17"/>
              </w:rPr>
              <w:t>Save as draft</w:t>
            </w:r>
          </w:p>
        </w:tc>
        <w:tc>
          <w:tcPr>
            <w:tcW w:type="dxa" w:w="1699"/>
            <w:vAlign w:val="center"/>
            <w:tcMar>
              <w:top w:w="110" w:type="dxa"/>
              <w:start w:w="130" w:type="dxa"/>
              <w:bottom w:w="110" w:type="dxa"/>
              <w:end w:w="130" w:type="dxa"/>
            </w:tcMar>
            <w:shd w:fill="FFF7E6"/>
          </w:tcPr>
          <w:p>
            <w:pPr>
              <w:spacing w:after="0"/>
              <w:jc w:val="center"/>
            </w:pPr>
            <w:r>
              <w:rPr>
                <w:rFonts w:ascii="Aptos" w:hAnsi="Aptos"/>
                <w:b w:val="0"/>
                <w:color w:val="334155"/>
                <w:sz w:val="17"/>
              </w:rPr>
              <w:t>Partial rollout</w:t>
            </w:r>
          </w:p>
        </w:tc>
        <w:tc>
          <w:tcPr>
            <w:tcW w:type="dxa" w:w="5357"/>
            <w:vAlign w:val="center"/>
            <w:tcMar>
              <w:top w:w="110" w:type="dxa"/>
              <w:start w:w="130" w:type="dxa"/>
              <w:bottom w:w="110" w:type="dxa"/>
              <w:end w:w="130" w:type="dxa"/>
            </w:tcMar>
          </w:tcPr>
          <w:p>
            <w:pPr>
              <w:spacing w:after="0"/>
              <w:jc w:val="left"/>
            </w:pPr>
            <w:r>
              <w:rPr>
                <w:rFonts w:ascii="Aptos" w:hAnsi="Aptos"/>
                <w:b w:val="0"/>
                <w:color w:val="111827"/>
                <w:sz w:val="17"/>
              </w:rPr>
              <w:t>Employee and Party create forms now save and restore local drafts. Website Product already supports Draft and Sale Invoice already has a draft flow. Remaining modules need explicit API-level draft support for cross-device recovery.</w:t>
            </w:r>
          </w:p>
        </w:tc>
      </w:tr>
      <w:tr>
        <w:tc>
          <w:tcPr>
            <w:tcW w:type="dxa" w:w="547"/>
            <w:vAlign w:val="center"/>
            <w:tcMar>
              <w:top w:w="110" w:type="dxa"/>
              <w:start w:w="130" w:type="dxa"/>
              <w:bottom w:w="110" w:type="dxa"/>
              <w:end w:w="130" w:type="dxa"/>
            </w:tcMar>
            <w:shd w:fill="F8FAFC"/>
          </w:tcPr>
          <w:p>
            <w:pPr>
              <w:spacing w:after="0"/>
              <w:jc w:val="center"/>
            </w:pPr>
            <w:r>
              <w:rPr>
                <w:rFonts w:ascii="Aptos" w:hAnsi="Aptos"/>
                <w:b/>
                <w:color w:val="111827"/>
                <w:sz w:val="17"/>
              </w:rPr>
              <w:t>18</w:t>
            </w:r>
          </w:p>
        </w:tc>
        <w:tc>
          <w:tcPr>
            <w:tcW w:type="dxa" w:w="2477"/>
            <w:vAlign w:val="center"/>
            <w:tcMar>
              <w:top w:w="110" w:type="dxa"/>
              <w:start w:w="130" w:type="dxa"/>
              <w:bottom w:w="110" w:type="dxa"/>
              <w:end w:w="130" w:type="dxa"/>
            </w:tcMar>
            <w:shd w:fill="F8FAFC"/>
          </w:tcPr>
          <w:p>
            <w:pPr>
              <w:spacing w:after="0"/>
              <w:jc w:val="left"/>
            </w:pPr>
            <w:r>
              <w:rPr>
                <w:rFonts w:ascii="Aptos" w:hAnsi="Aptos"/>
                <w:b/>
                <w:color w:val="111827"/>
                <w:sz w:val="17"/>
              </w:rPr>
              <w:t>Website product and blog images</w:t>
            </w:r>
          </w:p>
        </w:tc>
        <w:tc>
          <w:tcPr>
            <w:tcW w:type="dxa" w:w="1699"/>
            <w:vAlign w:val="center"/>
            <w:tcMar>
              <w:top w:w="110" w:type="dxa"/>
              <w:start w:w="130" w:type="dxa"/>
              <w:bottom w:w="110" w:type="dxa"/>
              <w:end w:w="130" w:type="dxa"/>
            </w:tcMar>
            <w:shd w:fill="FFF7E6"/>
          </w:tcPr>
          <w:p>
            <w:pPr>
              <w:spacing w:after="0"/>
              <w:jc w:val="center"/>
            </w:pPr>
            <w:r>
              <w:rPr>
                <w:rFonts w:ascii="Aptos" w:hAnsi="Aptos"/>
                <w:b w:val="0"/>
                <w:color w:val="334155"/>
                <w:sz w:val="17"/>
              </w:rPr>
              <w:t>Frontend plus backend</w:t>
            </w:r>
          </w:p>
        </w:tc>
        <w:tc>
          <w:tcPr>
            <w:tcW w:type="dxa" w:w="5357"/>
            <w:vAlign w:val="center"/>
            <w:tcMar>
              <w:top w:w="110" w:type="dxa"/>
              <w:start w:w="130" w:type="dxa"/>
              <w:bottom w:w="110" w:type="dxa"/>
              <w:end w:w="130" w:type="dxa"/>
            </w:tcMar>
            <w:shd w:fill="F8FAFC"/>
          </w:tcPr>
          <w:p>
            <w:pPr>
              <w:spacing w:after="0"/>
              <w:jc w:val="left"/>
            </w:pPr>
            <w:r>
              <w:rPr>
                <w:rFonts w:ascii="Aptos" w:hAnsi="Aptos"/>
                <w:b w:val="0"/>
                <w:color w:val="111827"/>
                <w:sz w:val="17"/>
              </w:rPr>
              <w:t>Frontend upload responses, list rows, and edit forms now normalize relative HTTP URLs and alternate media fields. Complete lossless display still requires the backend media contract described below.</w:t>
            </w:r>
          </w:p>
        </w:tc>
      </w:tr>
    </w:tbl>
    <w:p>
      <w:r>
        <w:br w:type="page"/>
      </w:r>
    </w:p>
    <w:p>
      <w:pPr>
        <w:pStyle w:val="Heading1"/>
      </w:pPr>
      <w:r>
        <w:t>Backend Changes Needed for Full Completion</w:t>
      </w:r>
    </w:p>
    <w:p>
      <w:pPr>
        <w:pStyle w:val="Heading2"/>
      </w:pPr>
      <w:r>
        <w:t>HTTP image upload policy</w:t>
      </w:r>
    </w:p>
    <w:p>
      <w:pPr>
        <w:spacing w:after="160"/>
      </w:pPr>
      <w:r>
        <w:rPr>
          <w:rFonts w:ascii="Aptos" w:hAnsi="Aptos"/>
          <w:b/>
          <w:color w:val="111827"/>
          <w:sz w:val="21"/>
        </w:rPr>
        <w:t xml:space="preserve">Current backend response: </w:t>
      </w:r>
      <w:r>
        <w:rPr>
          <w:rFonts w:ascii="Aptos" w:hAnsi="Aptos"/>
          <w:b w:val="0"/>
          <w:color w:val="1F2937"/>
          <w:sz w:val="21"/>
        </w:rPr>
        <w:t xml:space="preserve">Image uploads require HTTPS outside development. </w:t>
      </w:r>
      <w:r>
        <w:rPr>
          <w:rFonts w:ascii="Aptos" w:hAnsi="Aptos"/>
          <w:b w:val="0"/>
          <w:color w:val="1F2937"/>
          <w:sz w:val="21"/>
        </w:rPr>
        <w:t>The frontend intentionally keeps the configured HTTP endpoint and does not rewrite it to HTTPS. To support the requested HTTP deployment, the backend upload policy must explicitly allow HTTP for the approved environment or trusted origin. This should be a scoped configuration change, not a global security bypass.</w:t>
      </w:r>
    </w:p>
    <w:p>
      <w:pPr>
        <w:pStyle w:val="Heading2"/>
      </w:pPr>
      <w:r>
        <w:t>Website and inventory media contracts</w:t>
      </w:r>
    </w:p>
    <w:p>
      <w:pPr>
        <w:pStyle w:val="ListBullet"/>
        <w:spacing w:after="80"/>
      </w:pPr>
      <w:r>
        <w:rPr>
          <w:rFonts w:ascii="Aptos" w:hAnsi="Aptos"/>
          <w:b/>
          <w:color w:val="111827"/>
          <w:sz w:val="21"/>
        </w:rPr>
        <w:t xml:space="preserve">Website Product DTO: </w:t>
      </w:r>
      <w:r>
        <w:rPr>
          <w:rFonts w:ascii="Aptos" w:hAnsi="Aptos"/>
          <w:b w:val="0"/>
          <w:color w:val="1F2937"/>
          <w:sz w:val="21"/>
        </w:rPr>
        <w:t>Return media with id, publicUrl, altText, isPrimary, and sortOrder, plus primaryImageUrl on list and detail responses.</w:t>
      </w:r>
    </w:p>
    <w:p>
      <w:pPr>
        <w:pStyle w:val="ListBullet"/>
        <w:spacing w:after="80"/>
      </w:pPr>
      <w:r>
        <w:rPr>
          <w:rFonts w:ascii="Aptos" w:hAnsi="Aptos"/>
          <w:b/>
          <w:color w:val="111827"/>
          <w:sz w:val="21"/>
        </w:rPr>
        <w:t xml:space="preserve">Website Blog DTO: </w:t>
      </w:r>
      <w:r>
        <w:rPr>
          <w:rFonts w:ascii="Aptos" w:hAnsi="Aptos"/>
          <w:b w:val="0"/>
          <w:color w:val="1F2937"/>
          <w:sz w:val="21"/>
        </w:rPr>
        <w:t>Return coverImageUrl and openGraphImageUrl consistently on list and detail responses.</w:t>
      </w:r>
    </w:p>
    <w:p>
      <w:pPr>
        <w:pStyle w:val="ListBullet"/>
        <w:spacing w:after="80"/>
      </w:pPr>
      <w:r>
        <w:rPr>
          <w:rFonts w:ascii="Aptos" w:hAnsi="Aptos"/>
          <w:b/>
          <w:color w:val="111827"/>
          <w:sz w:val="21"/>
        </w:rPr>
        <w:t xml:space="preserve">Inventory Item DTO: </w:t>
      </w:r>
      <w:r>
        <w:rPr>
          <w:rFonts w:ascii="Aptos" w:hAnsi="Aptos"/>
          <w:b w:val="0"/>
          <w:color w:val="1F2937"/>
          <w:sz w:val="21"/>
        </w:rPr>
        <w:t>Return one stable imageUrl field on list and detail responses. If image replacement is supported during edit, the update endpoint should accept multipart image data or a documented uploaded URL.</w:t>
      </w:r>
    </w:p>
    <w:p>
      <w:pPr>
        <w:pStyle w:val="Heading2"/>
      </w:pPr>
      <w:r>
        <w:t>Data Book and Excel parity</w:t>
      </w:r>
    </w:p>
    <w:p>
      <w:pPr>
        <w:pStyle w:val="ListBullet"/>
        <w:spacing w:after="80"/>
      </w:pPr>
      <w:r>
        <w:rPr>
          <w:rFonts w:ascii="Aptos" w:hAnsi="Aptos"/>
          <w:b/>
          <w:color w:val="111827"/>
          <w:sz w:val="21"/>
        </w:rPr>
        <w:t xml:space="preserve">Schema: </w:t>
      </w:r>
      <w:r>
        <w:rPr>
          <w:rFonts w:ascii="Aptos" w:hAnsi="Aptos"/>
          <w:b w:val="0"/>
          <w:color w:val="1F2937"/>
          <w:sz w:val="21"/>
        </w:rPr>
        <w:t>Add persisted table and column definitions, data types, ordering, validation rules, and sheet metadata instead of limiting rows to Name, Value, and Description.</w:t>
      </w:r>
    </w:p>
    <w:p>
      <w:pPr>
        <w:pStyle w:val="ListBullet"/>
        <w:spacing w:after="80"/>
      </w:pPr>
      <w:r>
        <w:rPr>
          <w:rFonts w:ascii="Aptos" w:hAnsi="Aptos"/>
          <w:b/>
          <w:color w:val="111827"/>
          <w:sz w:val="21"/>
        </w:rPr>
        <w:t xml:space="preserve">Workbook features: </w:t>
      </w:r>
      <w:r>
        <w:rPr>
          <w:rFonts w:ascii="Aptos" w:hAnsi="Aptos"/>
          <w:b w:val="0"/>
          <w:color w:val="1F2937"/>
          <w:sz w:val="21"/>
        </w:rPr>
        <w:t>Add formula calculation, formatting, multi-sheet import and export, and server-side persistence for Excel-compatible operations.</w:t>
      </w:r>
    </w:p>
    <w:p>
      <w:pPr>
        <w:pStyle w:val="ListBullet"/>
        <w:spacing w:after="80"/>
      </w:pPr>
      <w:r>
        <w:rPr>
          <w:rFonts w:ascii="Aptos" w:hAnsi="Aptos"/>
          <w:b/>
          <w:color w:val="111827"/>
          <w:sz w:val="21"/>
        </w:rPr>
        <w:t xml:space="preserve">Concurrency: </w:t>
      </w:r>
      <w:r>
        <w:rPr>
          <w:rFonts w:ascii="Aptos" w:hAnsi="Aptos"/>
          <w:b w:val="0"/>
          <w:color w:val="1F2937"/>
          <w:sz w:val="21"/>
        </w:rPr>
        <w:t>Keep row-version conflict behavior for bulk grid edits and extend it to schema changes and workbook imports.</w:t>
      </w:r>
    </w:p>
    <w:p>
      <w:pPr>
        <w:pStyle w:val="Heading2"/>
      </w:pPr>
      <w:r>
        <w:t>Draft and required-field contracts</w:t>
      </w:r>
    </w:p>
    <w:p>
      <w:pPr>
        <w:pStyle w:val="ListBullet"/>
        <w:spacing w:after="80"/>
      </w:pPr>
      <w:r>
        <w:rPr>
          <w:rFonts w:ascii="Aptos" w:hAnsi="Aptos"/>
          <w:b/>
          <w:color w:val="111827"/>
          <w:sz w:val="21"/>
        </w:rPr>
        <w:t xml:space="preserve">Drafts: </w:t>
      </w:r>
      <w:r>
        <w:rPr>
          <w:rFonts w:ascii="Aptos" w:hAnsi="Aptos"/>
          <w:b w:val="0"/>
          <w:color w:val="1F2937"/>
          <w:sz w:val="21"/>
        </w:rPr>
        <w:t>Add draft status, draft save, resume, ownership, and expiry endpoints for long forms that need cross-device recovery. Current Employee and Party drafts are local to the browser.</w:t>
      </w:r>
    </w:p>
    <w:p>
      <w:pPr>
        <w:pStyle w:val="ListBullet"/>
        <w:spacing w:after="80"/>
      </w:pPr>
      <w:r>
        <w:rPr>
          <w:rFonts w:ascii="Aptos" w:hAnsi="Aptos"/>
          <w:b/>
          <w:color w:val="111827"/>
          <w:sz w:val="21"/>
        </w:rPr>
        <w:t xml:space="preserve">Required fields: </w:t>
      </w:r>
      <w:r>
        <w:rPr>
          <w:rFonts w:ascii="Aptos" w:hAnsi="Aptos"/>
          <w:b w:val="0"/>
          <w:color w:val="1F2937"/>
          <w:sz w:val="21"/>
        </w:rPr>
        <w:t>Use the Postman collection and OpenAPI request schemas as the source of truth. Every required request property must have matching frontend validation and a visible required indicator.</w:t>
      </w:r>
    </w:p>
    <w:p>
      <w:pPr>
        <w:pStyle w:val="Heading1"/>
      </w:pPr>
      <w:r>
        <w:t>Verification</w:t>
      </w:r>
    </w:p>
    <w:p>
      <w:pPr>
        <w:spacing w:after="120"/>
      </w:pPr>
      <w:r>
        <w:rPr>
          <w:rFonts w:ascii="Aptos" w:hAnsi="Aptos"/>
          <w:b/>
          <w:color w:val="111827"/>
          <w:sz w:val="21"/>
        </w:rPr>
        <w:t xml:space="preserve">Completed checks: </w:t>
      </w:r>
      <w:r>
        <w:rPr>
          <w:rFonts w:ascii="Aptos" w:hAnsi="Aptos"/>
          <w:b w:val="0"/>
          <w:color w:val="1F2937"/>
          <w:sz w:val="21"/>
        </w:rPr>
        <w:t>ESLint passed, 51 test files passed, 318 of 318 tests passed, and the Vite production build passed.</w:t>
      </w:r>
    </w:p>
    <w:p>
      <w:pPr>
        <w:spacing w:after="120"/>
      </w:pPr>
      <w:r>
        <w:rPr>
          <w:rFonts w:ascii="Aptos" w:hAnsi="Aptos"/>
          <w:b/>
          <w:color w:val="111827"/>
          <w:sz w:val="21"/>
        </w:rPr>
        <w:t xml:space="preserve">Final API verification sequence: </w:t>
      </w:r>
      <w:r>
        <w:rPr>
          <w:rFonts w:ascii="Aptos" w:hAnsi="Aptos"/>
          <w:b w:val="0"/>
          <w:color w:val="1F2937"/>
          <w:sz w:val="21"/>
        </w:rPr>
        <w:t>Provide the Postman collection, confirm the backend HTTP media policy, update the media DTOs, then run authenticated browser checks for create, edit, list, PDF, draft restore, and upload flows.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COSMOS ERP Bug Fix Status Report  |  A WEWEL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