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CF58" w14:textId="77777777" w:rsidR="005D7268" w:rsidRDefault="00000000">
      <w:pPr>
        <w:pStyle w:val="aa"/>
        <w:jc w:val="center"/>
      </w:pPr>
      <w:r>
        <w:t>From Chip Power to 800 VDC</w:t>
      </w:r>
    </w:p>
    <w:p w14:paraId="0FAB3E3C" w14:textId="77777777" w:rsidR="005D7268" w:rsidRDefault="00000000" w:rsidP="00803525">
      <w:pPr>
        <w:rPr>
          <w:rFonts w:eastAsia="宋体"/>
          <w:b/>
          <w:sz w:val="28"/>
          <w:lang w:eastAsia="zh-CN"/>
        </w:rPr>
      </w:pPr>
      <w:r>
        <w:rPr>
          <w:b/>
          <w:sz w:val="28"/>
        </w:rPr>
        <w:t>Why AI data centers need a new power-delivery architecture</w:t>
      </w:r>
    </w:p>
    <w:p w14:paraId="3A01FF4E" w14:textId="7BAD03A0" w:rsidR="00803525" w:rsidRPr="00803525" w:rsidRDefault="00803525" w:rsidP="00803525">
      <w:pPr>
        <w:rPr>
          <w:rFonts w:eastAsia="宋体" w:hint="eastAsia"/>
          <w:szCs w:val="20"/>
          <w:lang w:eastAsia="zh-CN"/>
        </w:rPr>
      </w:pPr>
      <w:r w:rsidRPr="00803525">
        <w:rPr>
          <w:rFonts w:eastAsia="宋体" w:hint="eastAsia"/>
          <w:b/>
          <w:szCs w:val="20"/>
          <w:lang w:eastAsia="zh-CN"/>
        </w:rPr>
        <w:t>Consolidated logic, with source from multiple reports</w:t>
      </w:r>
    </w:p>
    <w:p w14:paraId="27D6FA53" w14:textId="54AD9C5B" w:rsidR="005D7268" w:rsidRPr="002D5488" w:rsidRDefault="002D5488">
      <w:pPr>
        <w:pStyle w:val="1"/>
        <w:rPr>
          <w:rFonts w:cstheme="majorHAnsi"/>
        </w:rPr>
      </w:pPr>
      <w:r w:rsidRPr="002D5488">
        <w:rPr>
          <w:rFonts w:eastAsia="宋体" w:cstheme="majorHAnsi"/>
          <w:lang w:eastAsia="zh-CN"/>
        </w:rPr>
        <w:t>Key</w:t>
      </w:r>
      <w:r w:rsidRPr="002D5488">
        <w:rPr>
          <w:rFonts w:cstheme="majorHAnsi"/>
        </w:rPr>
        <w:t xml:space="preserve"> takeaway</w:t>
      </w:r>
    </w:p>
    <w:p w14:paraId="1F2B5F66" w14:textId="2AB70724" w:rsidR="00554FEA" w:rsidRDefault="00000000">
      <w:pPr>
        <w:pStyle w:val="Executive"/>
        <w:rPr>
          <w:rFonts w:eastAsia="宋体"/>
          <w:lang w:eastAsia="zh-CN"/>
        </w:rPr>
      </w:pPr>
      <w:r>
        <w:rPr>
          <w:b/>
        </w:rPr>
        <w:t xml:space="preserve">The core logic is </w:t>
      </w:r>
      <w:r w:rsidR="002D5488">
        <w:rPr>
          <w:rFonts w:ascii="宋体" w:eastAsia="宋体" w:hAnsi="宋体" w:hint="eastAsia"/>
          <w:b/>
          <w:lang w:eastAsia="zh-CN"/>
        </w:rPr>
        <w:t>about</w:t>
      </w:r>
      <w:r w:rsidR="002D5488">
        <w:rPr>
          <w:rFonts w:eastAsia="宋体" w:hint="eastAsia"/>
          <w:b/>
          <w:lang w:eastAsia="zh-CN"/>
        </w:rPr>
        <w:t xml:space="preserve"> </w:t>
      </w:r>
      <w:r w:rsidR="002D5488">
        <w:rPr>
          <w:b/>
        </w:rPr>
        <w:t>power density</w:t>
      </w:r>
      <w:r w:rsidR="004E3C8A">
        <w:rPr>
          <w:rFonts w:eastAsia="宋体" w:hint="eastAsia"/>
          <w:b/>
          <w:lang w:eastAsia="zh-CN"/>
        </w:rPr>
        <w:t>.</w:t>
      </w:r>
      <w:r>
        <w:rPr>
          <w:b/>
        </w:rPr>
        <w:t xml:space="preserve"> </w:t>
      </w:r>
      <w:r>
        <w:t xml:space="preserve">AI accelerators deliver more </w:t>
      </w:r>
      <w:proofErr w:type="gramStart"/>
      <w:r>
        <w:t>compute</w:t>
      </w:r>
      <w:proofErr w:type="gramEnd"/>
      <w:r>
        <w:t xml:space="preserve"> each generation, but they also </w:t>
      </w:r>
      <w:r w:rsidRPr="004E3C8A">
        <w:t>draw more power</w:t>
      </w:r>
      <w:r>
        <w:t>. At the same time, the industry is moving from standalone multi-GPU servers toward tightly coupled rack-scale systems. The result is a rapid rise in rack power from tens of kilowatts to well above 100 kW</w:t>
      </w:r>
      <w:r w:rsidR="002D5488">
        <w:rPr>
          <w:rFonts w:eastAsia="宋体" w:hint="eastAsia"/>
          <w:lang w:eastAsia="zh-CN"/>
        </w:rPr>
        <w:t>+</w:t>
      </w:r>
      <w:r>
        <w:t xml:space="preserve"> today, with megawatt-class racks becoming a design target. At that density, traditional low-voltage rack power distribution becomes physically and economically inefficient because current, copper, conversion equipment and heat all scale unfavourably. </w:t>
      </w:r>
      <w:r w:rsidRPr="004E3C8A">
        <w:rPr>
          <w:b/>
          <w:bCs/>
        </w:rPr>
        <w:t>Raising the distribution voltage to 800 VDC is therefore an architectural response to the power-density bottleneck</w:t>
      </w:r>
      <w:r>
        <w:t xml:space="preserve">: it lowers current, reduces copper and cable bulk, frees rack space for </w:t>
      </w:r>
      <w:r w:rsidR="00554FEA">
        <w:t>computing</w:t>
      </w:r>
      <w:r>
        <w:t>, cuts conversion stages and improves end-to-end efficiency.</w:t>
      </w:r>
      <w:r w:rsidR="00554FEA" w:rsidRPr="00554FEA">
        <w:t xml:space="preserve"> </w:t>
      </w:r>
    </w:p>
    <w:p w14:paraId="4D01C2E2" w14:textId="2AB6D8FF" w:rsidR="00554FEA" w:rsidRPr="00554FEA" w:rsidRDefault="00554FEA">
      <w:pPr>
        <w:pStyle w:val="Executive"/>
        <w:rPr>
          <w:rFonts w:eastAsia="宋体"/>
          <w:lang w:eastAsia="zh-CN"/>
        </w:rPr>
      </w:pPr>
      <w:r w:rsidRPr="00554FEA">
        <w:rPr>
          <w:rFonts w:eastAsia="宋体"/>
          <w:b/>
          <w:bCs/>
          <w:lang w:eastAsia="zh-CN"/>
        </w:rPr>
        <w:t xml:space="preserve">Efficiency is another important driver behind the shift toward DC architecture. </w:t>
      </w:r>
      <w:r w:rsidRPr="00554FEA">
        <w:rPr>
          <w:rFonts w:eastAsia="宋体"/>
          <w:lang w:eastAsia="zh-CN"/>
        </w:rPr>
        <w:t xml:space="preserve">IT equipment ultimately operates on DC power, while a conventional data-center power chain may repeatedly convert between AC and DC — for example through the UPS, rack-level PSU and downstream DC/DC stages — with losses incurred at each conversion. Moving more of the power train to DC allows operators to consolidate or remove some of these stages and improve end-to-end efficiency. This idea predates 800VDC: earlier DC architectures, </w:t>
      </w:r>
      <w:r w:rsidRPr="00554FEA">
        <w:rPr>
          <w:rFonts w:eastAsia="宋体"/>
          <w:b/>
          <w:bCs/>
          <w:lang w:eastAsia="zh-CN"/>
        </w:rPr>
        <w:t xml:space="preserve">including DC systems such as the </w:t>
      </w:r>
      <w:r>
        <w:rPr>
          <w:rFonts w:eastAsia="宋体" w:hint="eastAsia"/>
          <w:b/>
          <w:bCs/>
          <w:lang w:eastAsia="zh-CN"/>
        </w:rPr>
        <w:t xml:space="preserve">240V HVDC and </w:t>
      </w:r>
      <w:r w:rsidRPr="00554FEA">
        <w:rPr>
          <w:rFonts w:eastAsia="宋体"/>
          <w:b/>
          <w:bCs/>
          <w:lang w:eastAsia="zh-CN"/>
        </w:rPr>
        <w:t>Panama Power</w:t>
      </w:r>
      <w:r w:rsidRPr="00554FEA">
        <w:rPr>
          <w:rFonts w:eastAsia="宋体"/>
          <w:lang w:eastAsia="zh-CN"/>
        </w:rPr>
        <w:t>, were already designed partly to reduce unnecessary AC/DC conversions and lower power losses. 800VDC extends the same principle to much higher rack densities: the higher voltage addresses the current, copper and space constraints of AI racks, while the more DC-native architecture can simultaneously reduce conversion losses</w:t>
      </w:r>
      <w:r w:rsidR="005C3AA2">
        <w:rPr>
          <w:rFonts w:eastAsia="宋体" w:hint="eastAsia"/>
          <w:lang w:eastAsia="zh-CN"/>
        </w:rPr>
        <w:t>.</w:t>
      </w:r>
    </w:p>
    <w:p w14:paraId="37E838B5" w14:textId="77777777" w:rsidR="005D7268" w:rsidRDefault="00000000">
      <w:pPr>
        <w:pStyle w:val="1"/>
      </w:pPr>
      <w:r>
        <w:t xml:space="preserve">The story </w:t>
      </w:r>
      <w:proofErr w:type="gramStart"/>
      <w:r>
        <w:t>in</w:t>
      </w:r>
      <w:proofErr w:type="gramEnd"/>
      <w:r>
        <w:t xml:space="preserve"> one page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5D7268" w14:paraId="068CE09A" w14:textId="77777777"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62D43C03" w14:textId="77777777" w:rsidR="005D7268" w:rsidRDefault="00000000">
            <w:r>
              <w:rPr>
                <w:b/>
                <w:sz w:val="18"/>
              </w:rPr>
              <w:t>Step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030F2B24" w14:textId="77777777" w:rsidR="005D7268" w:rsidRDefault="00000000">
            <w:r>
              <w:rPr>
                <w:b/>
                <w:sz w:val="18"/>
              </w:rPr>
              <w:t>What changes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7F6B4B4" w14:textId="77777777" w:rsidR="005D7268" w:rsidRDefault="00000000">
            <w:r>
              <w:rPr>
                <w:b/>
                <w:sz w:val="18"/>
              </w:rPr>
              <w:t>Why it matters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4E7F592D" w14:textId="77777777" w:rsidR="005D7268" w:rsidRDefault="00000000">
            <w:r>
              <w:rPr>
                <w:b/>
                <w:sz w:val="18"/>
              </w:rPr>
              <w:t>Implication</w:t>
            </w:r>
          </w:p>
        </w:tc>
      </w:tr>
      <w:tr w:rsidR="005D7268" w14:paraId="4F86E229" w14:textId="77777777">
        <w:trPr>
          <w:jc w:val="center"/>
        </w:trPr>
        <w:tc>
          <w:tcPr>
            <w:tcW w:w="2541" w:type="dxa"/>
            <w:vAlign w:val="center"/>
          </w:tcPr>
          <w:p w14:paraId="659131D6" w14:textId="77777777" w:rsidR="005D7268" w:rsidRDefault="00000000">
            <w:r>
              <w:rPr>
                <w:sz w:val="17"/>
              </w:rPr>
              <w:t>1. Chip</w:t>
            </w:r>
          </w:p>
        </w:tc>
        <w:tc>
          <w:tcPr>
            <w:tcW w:w="2541" w:type="dxa"/>
            <w:vAlign w:val="center"/>
          </w:tcPr>
          <w:p w14:paraId="0E31B9EF" w14:textId="77777777" w:rsidR="005D7268" w:rsidRDefault="00000000">
            <w:r>
              <w:rPr>
                <w:sz w:val="17"/>
              </w:rPr>
              <w:t>GPU compute rises rapidly; chip TDP also trends upward.</w:t>
            </w:r>
          </w:p>
        </w:tc>
        <w:tc>
          <w:tcPr>
            <w:tcW w:w="2541" w:type="dxa"/>
            <w:vAlign w:val="center"/>
          </w:tcPr>
          <w:p w14:paraId="24B6BB7A" w14:textId="77777777" w:rsidR="005D7268" w:rsidRDefault="00000000">
            <w:r>
              <w:rPr>
                <w:sz w:val="17"/>
              </w:rPr>
              <w:t>More power is required per accelerator and per server.</w:t>
            </w:r>
          </w:p>
        </w:tc>
        <w:tc>
          <w:tcPr>
            <w:tcW w:w="2541" w:type="dxa"/>
            <w:vAlign w:val="center"/>
          </w:tcPr>
          <w:p w14:paraId="1142ECE6" w14:textId="77777777" w:rsidR="005D7268" w:rsidRDefault="00000000">
            <w:r>
              <w:rPr>
                <w:sz w:val="17"/>
              </w:rPr>
              <w:t>Electrical infrastructure becomes part of the compute-scaling constraint.</w:t>
            </w:r>
          </w:p>
        </w:tc>
      </w:tr>
      <w:tr w:rsidR="005D7268" w14:paraId="3C62BA7E" w14:textId="77777777">
        <w:trPr>
          <w:jc w:val="center"/>
        </w:trPr>
        <w:tc>
          <w:tcPr>
            <w:tcW w:w="2541" w:type="dxa"/>
            <w:vAlign w:val="center"/>
          </w:tcPr>
          <w:p w14:paraId="049F17FD" w14:textId="77777777" w:rsidR="005D7268" w:rsidRDefault="00000000">
            <w:r>
              <w:rPr>
                <w:sz w:val="17"/>
              </w:rPr>
              <w:t>2. System</w:t>
            </w:r>
          </w:p>
        </w:tc>
        <w:tc>
          <w:tcPr>
            <w:tcW w:w="2541" w:type="dxa"/>
            <w:vAlign w:val="center"/>
          </w:tcPr>
          <w:p w14:paraId="6667F743" w14:textId="77777777" w:rsidR="005D7268" w:rsidRDefault="00000000">
            <w:r>
              <w:rPr>
                <w:sz w:val="17"/>
              </w:rPr>
              <w:t>Architecture shifts from 8-GPU servers to rack-scale systems connected by high-bandwidth scale-up fabrics.</w:t>
            </w:r>
          </w:p>
        </w:tc>
        <w:tc>
          <w:tcPr>
            <w:tcW w:w="2541" w:type="dxa"/>
            <w:vAlign w:val="center"/>
          </w:tcPr>
          <w:p w14:paraId="3D85A194" w14:textId="77777777" w:rsidR="005D7268" w:rsidRDefault="00000000">
            <w:r>
              <w:rPr>
                <w:sz w:val="17"/>
              </w:rPr>
              <w:t>Many accelerators are concentrated in a single rack-scale system.</w:t>
            </w:r>
          </w:p>
        </w:tc>
        <w:tc>
          <w:tcPr>
            <w:tcW w:w="2541" w:type="dxa"/>
            <w:vAlign w:val="center"/>
          </w:tcPr>
          <w:p w14:paraId="4A94753E" w14:textId="5CC7884E" w:rsidR="005D7268" w:rsidRPr="002D5488" w:rsidRDefault="002D548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sz w:val="17"/>
                <w:lang w:eastAsia="zh-CN"/>
              </w:rPr>
              <w:t>Draw more power</w:t>
            </w:r>
          </w:p>
        </w:tc>
      </w:tr>
      <w:tr w:rsidR="005D7268" w14:paraId="78FB0BB7" w14:textId="77777777">
        <w:trPr>
          <w:jc w:val="center"/>
        </w:trPr>
        <w:tc>
          <w:tcPr>
            <w:tcW w:w="2541" w:type="dxa"/>
            <w:vAlign w:val="center"/>
          </w:tcPr>
          <w:p w14:paraId="32994DFD" w14:textId="77777777" w:rsidR="005D7268" w:rsidRDefault="00000000">
            <w:r>
              <w:rPr>
                <w:sz w:val="17"/>
              </w:rPr>
              <w:t>3. Rack</w:t>
            </w:r>
          </w:p>
        </w:tc>
        <w:tc>
          <w:tcPr>
            <w:tcW w:w="2541" w:type="dxa"/>
            <w:vAlign w:val="center"/>
          </w:tcPr>
          <w:p w14:paraId="3E51B110" w14:textId="23C19174" w:rsidR="005D7268" w:rsidRDefault="002D5488">
            <w:r>
              <w:rPr>
                <w:rFonts w:ascii="宋体" w:eastAsia="宋体" w:hAnsi="宋体" w:hint="eastAsia"/>
                <w:sz w:val="17"/>
                <w:lang w:eastAsia="zh-CN"/>
              </w:rPr>
              <w:t>Sy</w:t>
            </w:r>
            <w:r>
              <w:rPr>
                <w:rFonts w:eastAsia="宋体" w:hint="eastAsia"/>
                <w:sz w:val="17"/>
                <w:lang w:eastAsia="zh-CN"/>
              </w:rPr>
              <w:t>stem packed into rack, meaning higher power requirement</w:t>
            </w:r>
            <w:r>
              <w:rPr>
                <w:sz w:val="17"/>
              </w:rPr>
              <w:t xml:space="preserve">; NVIDIA is </w:t>
            </w:r>
            <w:proofErr w:type="gramStart"/>
            <w:r>
              <w:rPr>
                <w:sz w:val="17"/>
              </w:rPr>
              <w:t>designing</w:t>
            </w:r>
            <w:proofErr w:type="gramEnd"/>
            <w:r>
              <w:rPr>
                <w:sz w:val="17"/>
              </w:rPr>
              <w:t xml:space="preserve"> for 1 MW-class racks and beyond.</w:t>
            </w:r>
          </w:p>
        </w:tc>
        <w:tc>
          <w:tcPr>
            <w:tcW w:w="2541" w:type="dxa"/>
            <w:vAlign w:val="center"/>
          </w:tcPr>
          <w:p w14:paraId="5F027798" w14:textId="77777777" w:rsidR="005D7268" w:rsidRDefault="00000000">
            <w:r>
              <w:rPr>
                <w:sz w:val="17"/>
              </w:rPr>
              <w:t>At low voltage, the required current becomes extremely large.</w:t>
            </w:r>
          </w:p>
        </w:tc>
        <w:tc>
          <w:tcPr>
            <w:tcW w:w="2541" w:type="dxa"/>
            <w:vAlign w:val="center"/>
          </w:tcPr>
          <w:p w14:paraId="7CB2F8AD" w14:textId="77777777" w:rsidR="005D7268" w:rsidRDefault="00000000">
            <w:r>
              <w:rPr>
                <w:sz w:val="17"/>
              </w:rPr>
              <w:t>Busbars, cables, power shelves and cooling consume excessive space and material.</w:t>
            </w:r>
          </w:p>
        </w:tc>
      </w:tr>
      <w:tr w:rsidR="005D7268" w14:paraId="2024D7EC" w14:textId="77777777">
        <w:trPr>
          <w:jc w:val="center"/>
        </w:trPr>
        <w:tc>
          <w:tcPr>
            <w:tcW w:w="2541" w:type="dxa"/>
            <w:vAlign w:val="center"/>
          </w:tcPr>
          <w:p w14:paraId="51FD69E2" w14:textId="77777777" w:rsidR="005D7268" w:rsidRDefault="00000000">
            <w:r>
              <w:rPr>
                <w:sz w:val="17"/>
              </w:rPr>
              <w:t>4. Physics</w:t>
            </w:r>
          </w:p>
        </w:tc>
        <w:tc>
          <w:tcPr>
            <w:tcW w:w="2541" w:type="dxa"/>
            <w:vAlign w:val="center"/>
          </w:tcPr>
          <w:p w14:paraId="01D3ED6E" w14:textId="77777777" w:rsidR="005D7268" w:rsidRDefault="00000000">
            <w:r>
              <w:rPr>
                <w:sz w:val="17"/>
              </w:rPr>
              <w:t>For a given power, P = V × I. Higher voltage means lower current. Conduction loss scales with I²</w:t>
            </w:r>
            <w:r w:rsidRPr="002D5488">
              <w:rPr>
                <w:b/>
                <w:bCs/>
                <w:sz w:val="17"/>
              </w:rPr>
              <w:t>R</w:t>
            </w:r>
            <w:r>
              <w:rPr>
                <w:sz w:val="17"/>
              </w:rPr>
              <w:t>.</w:t>
            </w:r>
          </w:p>
        </w:tc>
        <w:tc>
          <w:tcPr>
            <w:tcW w:w="2541" w:type="dxa"/>
            <w:vAlign w:val="center"/>
          </w:tcPr>
          <w:p w14:paraId="3A483EC6" w14:textId="77777777" w:rsidR="005D7268" w:rsidRDefault="00000000">
            <w:r>
              <w:rPr>
                <w:sz w:val="17"/>
              </w:rPr>
              <w:t>Lower current reduces conductor size, copper mass and resistive losses.</w:t>
            </w:r>
          </w:p>
        </w:tc>
        <w:tc>
          <w:tcPr>
            <w:tcW w:w="2541" w:type="dxa"/>
            <w:vAlign w:val="center"/>
          </w:tcPr>
          <w:p w14:paraId="009CF30D" w14:textId="77777777" w:rsidR="005D7268" w:rsidRDefault="00000000">
            <w:r>
              <w:rPr>
                <w:sz w:val="17"/>
              </w:rPr>
              <w:t>Move power distribution to a much higher DC voltage.</w:t>
            </w:r>
          </w:p>
        </w:tc>
      </w:tr>
      <w:tr w:rsidR="005D7268" w14:paraId="095A13DD" w14:textId="77777777">
        <w:trPr>
          <w:jc w:val="center"/>
        </w:trPr>
        <w:tc>
          <w:tcPr>
            <w:tcW w:w="2541" w:type="dxa"/>
            <w:vAlign w:val="center"/>
          </w:tcPr>
          <w:p w14:paraId="407C33EE" w14:textId="77777777" w:rsidR="005D7268" w:rsidRDefault="00000000">
            <w:r>
              <w:rPr>
                <w:sz w:val="17"/>
              </w:rPr>
              <w:t>5. Architecture</w:t>
            </w:r>
          </w:p>
        </w:tc>
        <w:tc>
          <w:tcPr>
            <w:tcW w:w="2541" w:type="dxa"/>
            <w:vAlign w:val="center"/>
          </w:tcPr>
          <w:p w14:paraId="77E10378" w14:textId="77777777" w:rsidR="005D7268" w:rsidRDefault="00000000">
            <w:r>
              <w:rPr>
                <w:sz w:val="17"/>
              </w:rPr>
              <w:t xml:space="preserve">800 VDC distributes high-voltage DC closer to compute </w:t>
            </w:r>
            <w:r>
              <w:rPr>
                <w:sz w:val="17"/>
              </w:rPr>
              <w:lastRenderedPageBreak/>
              <w:t>and reduces repeated power conversion.</w:t>
            </w:r>
          </w:p>
        </w:tc>
        <w:tc>
          <w:tcPr>
            <w:tcW w:w="2541" w:type="dxa"/>
            <w:vAlign w:val="center"/>
          </w:tcPr>
          <w:p w14:paraId="0E4EF833" w14:textId="77777777" w:rsidR="005D7268" w:rsidRDefault="00000000">
            <w:r>
              <w:rPr>
                <w:sz w:val="17"/>
              </w:rPr>
              <w:lastRenderedPageBreak/>
              <w:t xml:space="preserve">More of the rack can be used for compute; power path is </w:t>
            </w:r>
            <w:r>
              <w:rPr>
                <w:sz w:val="17"/>
              </w:rPr>
              <w:lastRenderedPageBreak/>
              <w:t>simpler and more efficient.</w:t>
            </w:r>
          </w:p>
        </w:tc>
        <w:tc>
          <w:tcPr>
            <w:tcW w:w="2541" w:type="dxa"/>
            <w:vAlign w:val="center"/>
          </w:tcPr>
          <w:p w14:paraId="06947BB2" w14:textId="77777777" w:rsidR="005D7268" w:rsidRDefault="00000000">
            <w:r>
              <w:rPr>
                <w:sz w:val="17"/>
              </w:rPr>
              <w:lastRenderedPageBreak/>
              <w:t xml:space="preserve">800 VDC becomes a key enabling architecture for future </w:t>
            </w:r>
            <w:r>
              <w:rPr>
                <w:sz w:val="17"/>
              </w:rPr>
              <w:lastRenderedPageBreak/>
              <w:t>AI factories.</w:t>
            </w:r>
          </w:p>
        </w:tc>
      </w:tr>
      <w:tr w:rsidR="005D7268" w14:paraId="687CE070" w14:textId="77777777">
        <w:trPr>
          <w:jc w:val="center"/>
        </w:trPr>
        <w:tc>
          <w:tcPr>
            <w:tcW w:w="2541" w:type="dxa"/>
            <w:vAlign w:val="center"/>
          </w:tcPr>
          <w:p w14:paraId="5FB8C19A" w14:textId="77777777" w:rsidR="005D7268" w:rsidRDefault="00000000">
            <w:r>
              <w:rPr>
                <w:sz w:val="17"/>
              </w:rPr>
              <w:lastRenderedPageBreak/>
              <w:t>6. Ecosystem</w:t>
            </w:r>
          </w:p>
        </w:tc>
        <w:tc>
          <w:tcPr>
            <w:tcW w:w="2541" w:type="dxa"/>
            <w:vAlign w:val="center"/>
          </w:tcPr>
          <w:p w14:paraId="4DE81340" w14:textId="77777777" w:rsidR="005D7268" w:rsidRDefault="00000000">
            <w:r>
              <w:rPr>
                <w:sz w:val="17"/>
              </w:rPr>
              <w:t>Higher-voltage DC changes UPS/BBU placement, transient-energy buffering, DC protection and conversion components.</w:t>
            </w:r>
          </w:p>
        </w:tc>
        <w:tc>
          <w:tcPr>
            <w:tcW w:w="2541" w:type="dxa"/>
            <w:vAlign w:val="center"/>
          </w:tcPr>
          <w:p w14:paraId="5B376414" w14:textId="77777777" w:rsidR="005D7268" w:rsidRDefault="00000000">
            <w:r>
              <w:rPr>
                <w:sz w:val="17"/>
              </w:rPr>
              <w:t>The transition affects the full electrical value chain, not just the rack PSU.</w:t>
            </w:r>
          </w:p>
        </w:tc>
        <w:tc>
          <w:tcPr>
            <w:tcW w:w="2541" w:type="dxa"/>
            <w:vAlign w:val="center"/>
          </w:tcPr>
          <w:p w14:paraId="77072755" w14:textId="77777777" w:rsidR="005D7268" w:rsidRDefault="00000000">
            <w:r>
              <w:rPr>
                <w:sz w:val="17"/>
              </w:rPr>
              <w:t>New opportunities emerge in rectifiers, DC/DC, solid-state protection, capacitors, busways and energy storage.</w:t>
            </w:r>
          </w:p>
        </w:tc>
      </w:tr>
    </w:tbl>
    <w:p w14:paraId="19BB0C92" w14:textId="77777777" w:rsidR="005D7268" w:rsidRDefault="00000000">
      <w:pPr>
        <w:pStyle w:val="1"/>
      </w:pPr>
      <w:r>
        <w:t>1. Start at the chip: more compute also means more power</w:t>
      </w:r>
    </w:p>
    <w:p w14:paraId="37DDF563" w14:textId="0FC4B11C" w:rsidR="005D7268" w:rsidRDefault="00000000">
      <w:r>
        <w:rPr>
          <w:b/>
        </w:rPr>
        <w:t xml:space="preserve">Core message. </w:t>
      </w:r>
      <w:r>
        <w:t>Accelerator performance has increased dramatically across NVIDIA generations, while absolute device power has also risen. The exact ratio varies by product and workload, but the directional conclusion is robust: the electrical power per high-end accelerator is materially higher than it was in the V100/H100 era.</w:t>
      </w:r>
    </w:p>
    <w:p w14:paraId="591BA138" w14:textId="725F1389" w:rsidR="005D7268" w:rsidRDefault="002D5488">
      <w:pPr>
        <w:pStyle w:val="a0"/>
        <w:spacing w:after="60"/>
      </w:pPr>
      <w:r>
        <w:rPr>
          <w:rFonts w:eastAsia="宋体" w:hint="eastAsia"/>
          <w:lang w:eastAsia="zh-CN"/>
        </w:rPr>
        <w:t>S</w:t>
      </w:r>
      <w:r>
        <w:t xml:space="preserve">tarts from chip evolution because the downstream power architecture is ultimately driven by </w:t>
      </w:r>
      <w:proofErr w:type="gramStart"/>
      <w:r>
        <w:t>compute</w:t>
      </w:r>
      <w:proofErr w:type="gramEnd"/>
      <w:r>
        <w:t xml:space="preserve"> density.</w:t>
      </w:r>
    </w:p>
    <w:p w14:paraId="1404BB69" w14:textId="77777777" w:rsidR="005D7268" w:rsidRDefault="00000000">
      <w:pPr>
        <w:pStyle w:val="a0"/>
        <w:spacing w:after="60"/>
      </w:pPr>
      <w:r>
        <w:t>Do not interpret higher TDP as “worse efficiency”. Newer GPUs can deliver much more compute per watt even while drawing more absolute power.</w:t>
      </w:r>
    </w:p>
    <w:p w14:paraId="14966B5C" w14:textId="77777777" w:rsidR="005D7268" w:rsidRDefault="00000000">
      <w:pPr>
        <w:pStyle w:val="a0"/>
        <w:spacing w:after="60"/>
      </w:pPr>
      <w:r>
        <w:t>The infrastructure challenge is therefore absolute power density: more compute is packed into less physical space.</w:t>
      </w:r>
    </w:p>
    <w:p w14:paraId="69A17572" w14:textId="77777777" w:rsidR="005D7268" w:rsidRDefault="00000000">
      <w:pPr>
        <w:pStyle w:val="1"/>
      </w:pPr>
      <w:r>
        <w:t>2. The bigger shift is from server-scale to rack-scale computing</w:t>
      </w:r>
    </w:p>
    <w:p w14:paraId="72238C20" w14:textId="77777777" w:rsidR="005D7268" w:rsidRDefault="00000000">
      <w:r>
        <w:rPr>
          <w:b/>
        </w:rPr>
        <w:t xml:space="preserve">Core message. </w:t>
      </w:r>
      <w:r>
        <w:t>The power step-up is amplified by system architecture. Historically, an 8-GPU server could sit in the ~10–20 kW class. Modern AI systems increasingly connect many accelerators into a tightly integrated rack-scale compute domain using NVLink and related high-bandwidth interconnects.</w:t>
      </w:r>
    </w:p>
    <w:p w14:paraId="58C38F2D" w14:textId="77777777" w:rsidR="005D7268" w:rsidRDefault="00000000">
      <w:pPr>
        <w:pStyle w:val="a0"/>
        <w:spacing w:after="60"/>
      </w:pPr>
      <w:r>
        <w:t>GB300 NVL72 integrates 72 Blackwell Ultra GPUs and 36 Grace CPUs in one liquid-cooled rack-scale system.</w:t>
      </w:r>
    </w:p>
    <w:p w14:paraId="61588C62" w14:textId="77777777" w:rsidR="005D7268" w:rsidRDefault="00000000">
      <w:pPr>
        <w:pStyle w:val="a0"/>
        <w:spacing w:after="60"/>
      </w:pPr>
      <w:r>
        <w:t>NVIDIA documents up to ~142 kW for a full GB300 NVL72 rack.</w:t>
      </w:r>
    </w:p>
    <w:p w14:paraId="1D0E800B" w14:textId="26973000" w:rsidR="005D7268" w:rsidRPr="004C51E8" w:rsidRDefault="00000000">
      <w:pPr>
        <w:pStyle w:val="a0"/>
        <w:spacing w:after="60"/>
      </w:pPr>
      <w:r>
        <w:t xml:space="preserve">The Kyber rack generation </w:t>
      </w:r>
      <w:r w:rsidR="004C51E8">
        <w:rPr>
          <w:rFonts w:eastAsia="宋体"/>
          <w:lang w:eastAsia="zh-CN"/>
        </w:rPr>
        <w:t>requires</w:t>
      </w:r>
      <w:r w:rsidR="004C51E8">
        <w:rPr>
          <w:rFonts w:eastAsia="宋体" w:hint="eastAsia"/>
          <w:lang w:eastAsia="zh-CN"/>
        </w:rPr>
        <w:t xml:space="preserve"> more power </w:t>
      </w:r>
      <w:r>
        <w:t>and NVIDIA’s mov</w:t>
      </w:r>
      <w:r w:rsidR="004C51E8">
        <w:rPr>
          <w:rFonts w:eastAsia="宋体" w:hint="eastAsia"/>
          <w:lang w:eastAsia="zh-CN"/>
        </w:rPr>
        <w:t>ing</w:t>
      </w:r>
      <w:r>
        <w:t xml:space="preserve"> toward 1 MW-class rack power in 2027 and beyond.</w:t>
      </w:r>
    </w:p>
    <w:p w14:paraId="0236485A" w14:textId="0BB1DEEF" w:rsidR="004C51E8" w:rsidRDefault="004C51E8" w:rsidP="004C51E8">
      <w:pPr>
        <w:pStyle w:val="a0"/>
        <w:numPr>
          <w:ilvl w:val="0"/>
          <w:numId w:val="0"/>
        </w:numPr>
        <w:spacing w:after="60"/>
        <w:jc w:val="center"/>
      </w:pPr>
      <w:r>
        <w:rPr>
          <w:noProof/>
        </w:rPr>
        <w:drawing>
          <wp:inline distT="0" distB="0" distL="0" distR="0" wp14:anchorId="41C23637" wp14:editId="7EA134E0">
            <wp:extent cx="3835535" cy="1551580"/>
            <wp:effectExtent l="0" t="0" r="0" b="0"/>
            <wp:docPr id="84417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7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290" cy="15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E3D0" w14:textId="77777777" w:rsidR="005D7268" w:rsidRDefault="00000000">
      <w:pPr>
        <w:pStyle w:val="Callout"/>
      </w:pPr>
      <w:r>
        <w:rPr>
          <w:b/>
        </w:rPr>
        <w:t xml:space="preserve">Key takeaway: </w:t>
      </w:r>
      <w:r>
        <w:t>the design unit is moving from “one server” to “one rack / one rack-scale system”. That concentrates both compute and electrical demand.</w:t>
      </w:r>
    </w:p>
    <w:p w14:paraId="16FA76C9" w14:textId="77777777" w:rsidR="005D7268" w:rsidRDefault="00000000">
      <w:pPr>
        <w:pStyle w:val="1"/>
      </w:pPr>
      <w:r>
        <w:t>3. Why low-voltage rack power becomes a bottleneck</w:t>
      </w:r>
    </w:p>
    <w:p w14:paraId="21ABB6CB" w14:textId="77777777" w:rsidR="005D7268" w:rsidRDefault="00000000">
      <w:bookmarkStart w:id="0" w:name="OLE_LINK1"/>
      <w:r>
        <w:rPr>
          <w:b/>
        </w:rPr>
        <w:t xml:space="preserve">The basic physics is simple: </w:t>
      </w:r>
      <w:r>
        <w:t>P = V × I. If rack power rises but distribution voltage stays low, current must rise sharply. Higher current then drives three problems at once.</w:t>
      </w:r>
    </w:p>
    <w:bookmarkEnd w:id="0"/>
    <w:p w14:paraId="53903EF2" w14:textId="2B1EDA61" w:rsidR="005D7268" w:rsidRDefault="00000000">
      <w:pPr>
        <w:pStyle w:val="a"/>
        <w:spacing w:after="60"/>
      </w:pPr>
      <w:r>
        <w:t>Copper and conductor size: higher current requires much larger busbars and cables. NVIDIA notes that a 1 MW rack using a 54 VDC architecture could require up to ~200 kg of copper busbar</w:t>
      </w:r>
      <w:r w:rsidR="004C51E8">
        <w:rPr>
          <w:rFonts w:eastAsia="宋体" w:hint="eastAsia"/>
          <w:lang w:eastAsia="zh-CN"/>
        </w:rPr>
        <w:t xml:space="preserve"> (can</w:t>
      </w:r>
      <w:r w:rsidR="004C51E8">
        <w:rPr>
          <w:rFonts w:eastAsia="宋体"/>
          <w:lang w:eastAsia="zh-CN"/>
        </w:rPr>
        <w:t>’</w:t>
      </w:r>
      <w:r w:rsidR="004C51E8">
        <w:rPr>
          <w:rFonts w:eastAsia="宋体" w:hint="eastAsia"/>
          <w:lang w:eastAsia="zh-CN"/>
        </w:rPr>
        <w:t>t fit into rack and economically not feasible)</w:t>
      </w:r>
      <w:r>
        <w:t>.</w:t>
      </w:r>
    </w:p>
    <w:p w14:paraId="5FCBA267" w14:textId="77777777" w:rsidR="005D7268" w:rsidRDefault="00000000">
      <w:pPr>
        <w:pStyle w:val="a"/>
        <w:spacing w:after="60"/>
      </w:pPr>
      <w:r>
        <w:lastRenderedPageBreak/>
        <w:t>Energy loss and heat: conductor losses scale approximately with I²R, so lowering current materially reduces resistive loss and the heat generated in the power path.</w:t>
      </w:r>
    </w:p>
    <w:p w14:paraId="2222371D" w14:textId="77777777" w:rsidR="005D7268" w:rsidRPr="004C51E8" w:rsidRDefault="00000000">
      <w:pPr>
        <w:pStyle w:val="a"/>
        <w:spacing w:after="60"/>
      </w:pPr>
      <w:r>
        <w:t>Rack-space pressure: low-voltage architectures require more power shelves and bulky power-delivery hardware. At megawatt scale, power equipment can crowd out the very compute equipment the rack is supposed to host.</w:t>
      </w:r>
    </w:p>
    <w:p w14:paraId="15A92A61" w14:textId="75133DA0" w:rsidR="005D7268" w:rsidRDefault="004C51E8">
      <w:pPr>
        <w:pStyle w:val="Callout"/>
      </w:pPr>
      <w:r>
        <w:rPr>
          <w:rFonts w:eastAsia="宋体" w:hint="eastAsia"/>
          <w:lang w:eastAsia="zh-CN"/>
        </w:rPr>
        <w:t>P</w:t>
      </w:r>
      <w:r>
        <w:t>roblem is no longer just “how much power is available to the building”; it is “how to physically deliver that power to a very dense rack”.</w:t>
      </w:r>
    </w:p>
    <w:p w14:paraId="15CB92B9" w14:textId="77777777" w:rsidR="005D7268" w:rsidRDefault="00000000">
      <w:pPr>
        <w:pStyle w:val="1"/>
      </w:pPr>
      <w:r>
        <w:t>4. Why 800 VDC solves the rack-density problem</w:t>
      </w:r>
    </w:p>
    <w:p w14:paraId="3DC8819F" w14:textId="77777777" w:rsidR="005D7268" w:rsidRDefault="00000000">
      <w:pPr>
        <w:pStyle w:val="a0"/>
        <w:spacing w:after="60"/>
      </w:pPr>
      <w:r>
        <w:t>Lower current for the same power, which reduces conductor cross-section, copper use and cable bulk.</w:t>
      </w:r>
    </w:p>
    <w:p w14:paraId="5021965D" w14:textId="77777777" w:rsidR="005D7268" w:rsidRDefault="00000000">
      <w:pPr>
        <w:pStyle w:val="a0"/>
        <w:spacing w:after="60"/>
      </w:pPr>
      <w:r>
        <w:t>Lower distribution loss because resistive loss falls as current falls.</w:t>
      </w:r>
    </w:p>
    <w:p w14:paraId="33925350" w14:textId="77777777" w:rsidR="005D7268" w:rsidRDefault="00000000">
      <w:pPr>
        <w:pStyle w:val="a0"/>
        <w:spacing w:after="60"/>
      </w:pPr>
      <w:r>
        <w:t>Fewer conversion stages: the future-state architecture can convert facility AC to 800 VDC once and distribute DC directly toward compute.</w:t>
      </w:r>
    </w:p>
    <w:p w14:paraId="0F9302A0" w14:textId="77777777" w:rsidR="005D7268" w:rsidRDefault="00000000">
      <w:pPr>
        <w:pStyle w:val="a0"/>
        <w:spacing w:after="60"/>
      </w:pPr>
      <w:r>
        <w:t>More usable rack space: rack-level AC/DC or bulky low-voltage power shelves can be reduced or moved out of the compute rack.</w:t>
      </w:r>
    </w:p>
    <w:p w14:paraId="15D87072" w14:textId="5FEB16CE" w:rsidR="005D7268" w:rsidRDefault="00000000">
      <w:pPr>
        <w:pStyle w:val="a0"/>
        <w:spacing w:after="60"/>
      </w:pPr>
      <w:r>
        <w:t>A more scalable power path for several-hundred-kW and eventually MW-class racks.</w:t>
      </w:r>
    </w:p>
    <w:p w14:paraId="2B5E815C" w14:textId="77777777" w:rsidR="005D7268" w:rsidRDefault="00000000">
      <w:r>
        <w:rPr>
          <w:b/>
        </w:rPr>
        <w:t xml:space="preserve">NVIDIA’s current framing is therefore “chip-to-grid”: </w:t>
      </w:r>
      <w:r>
        <w:t>power architecture, cooling, rack mechanics and compute are designed together rather than as independent layers.</w:t>
      </w:r>
    </w:p>
    <w:p w14:paraId="639565E2" w14:textId="77777777" w:rsidR="005D7268" w:rsidRDefault="00000000">
      <w:pPr>
        <w:pStyle w:val="1"/>
      </w:pPr>
      <w:r>
        <w:t>5. Where the 800 V conversion happens can evolve in stages</w:t>
      </w:r>
    </w:p>
    <w:p w14:paraId="75728988" w14:textId="3C7AD2A3" w:rsidR="005D7268" w:rsidRDefault="00C802EF">
      <w:r>
        <w:rPr>
          <w:rFonts w:ascii="宋体" w:eastAsia="宋体" w:hAnsi="宋体" w:hint="eastAsia"/>
          <w:b/>
          <w:lang w:eastAsia="zh-CN"/>
        </w:rPr>
        <w:t>T</w:t>
      </w:r>
      <w:r>
        <w:rPr>
          <w:b/>
        </w:rPr>
        <w:t xml:space="preserve">hree power-density </w:t>
      </w:r>
      <w:proofErr w:type="gramStart"/>
      <w:r>
        <w:rPr>
          <w:b/>
        </w:rPr>
        <w:t>bands to</w:t>
      </w:r>
      <w:proofErr w:type="gramEnd"/>
      <w:r>
        <w:rPr>
          <w:b/>
        </w:rPr>
        <w:t xml:space="preserve"> explain where conversion hardware may sit. </w:t>
      </w:r>
      <w:r>
        <w:t>These are useful conceptual heuristics, but they should not be presented as universal industry standards; actual thresholds depend on vendor design, redundancy, rack geometry and facility architecture.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5D7268" w14:paraId="2B3618A0" w14:textId="77777777">
        <w:trPr>
          <w:jc w:val="center"/>
        </w:trPr>
        <w:tc>
          <w:tcPr>
            <w:tcW w:w="2541" w:type="dxa"/>
            <w:shd w:val="clear" w:color="auto" w:fill="E8EEF5"/>
            <w:vAlign w:val="center"/>
          </w:tcPr>
          <w:p w14:paraId="46131EF7" w14:textId="77777777" w:rsidR="005D7268" w:rsidRDefault="00000000">
            <w:r>
              <w:rPr>
                <w:b/>
                <w:sz w:val="18"/>
              </w:rPr>
              <w:t>Conceptual band</w:t>
            </w:r>
          </w:p>
        </w:tc>
        <w:tc>
          <w:tcPr>
            <w:tcW w:w="2541" w:type="dxa"/>
            <w:shd w:val="clear" w:color="auto" w:fill="E8EEF5"/>
            <w:vAlign w:val="center"/>
          </w:tcPr>
          <w:p w14:paraId="6697CD9C" w14:textId="77777777" w:rsidR="005D7268" w:rsidRDefault="00000000">
            <w:r>
              <w:rPr>
                <w:b/>
                <w:sz w:val="18"/>
              </w:rPr>
              <w:t>Conversion location</w:t>
            </w:r>
          </w:p>
        </w:tc>
        <w:tc>
          <w:tcPr>
            <w:tcW w:w="2541" w:type="dxa"/>
            <w:shd w:val="clear" w:color="auto" w:fill="E8EEF5"/>
            <w:vAlign w:val="center"/>
          </w:tcPr>
          <w:p w14:paraId="68B7B861" w14:textId="77777777" w:rsidR="005D7268" w:rsidRDefault="00000000">
            <w:r>
              <w:rPr>
                <w:b/>
                <w:sz w:val="18"/>
              </w:rPr>
              <w:t>What it means</w:t>
            </w:r>
          </w:p>
        </w:tc>
        <w:tc>
          <w:tcPr>
            <w:tcW w:w="2541" w:type="dxa"/>
            <w:shd w:val="clear" w:color="auto" w:fill="E8EEF5"/>
            <w:vAlign w:val="center"/>
          </w:tcPr>
          <w:p w14:paraId="6B2951DA" w14:textId="77777777" w:rsidR="005D7268" w:rsidRDefault="00000000">
            <w:r>
              <w:rPr>
                <w:b/>
                <w:sz w:val="18"/>
              </w:rPr>
              <w:t>How to describe it safely</w:t>
            </w:r>
          </w:p>
        </w:tc>
      </w:tr>
      <w:tr w:rsidR="005D7268" w14:paraId="7A23EAE3" w14:textId="77777777">
        <w:trPr>
          <w:jc w:val="center"/>
        </w:trPr>
        <w:tc>
          <w:tcPr>
            <w:tcW w:w="2541" w:type="dxa"/>
            <w:vAlign w:val="center"/>
          </w:tcPr>
          <w:p w14:paraId="555B727D" w14:textId="77777777" w:rsidR="005D7268" w:rsidRDefault="00000000">
            <w:r>
              <w:rPr>
                <w:sz w:val="17"/>
              </w:rPr>
              <w:t>&lt; ~120 kW</w:t>
            </w:r>
          </w:p>
        </w:tc>
        <w:tc>
          <w:tcPr>
            <w:tcW w:w="2541" w:type="dxa"/>
            <w:vAlign w:val="center"/>
          </w:tcPr>
          <w:p w14:paraId="30440060" w14:textId="77777777" w:rsidR="005D7268" w:rsidRDefault="00000000">
            <w:r>
              <w:rPr>
                <w:sz w:val="17"/>
              </w:rPr>
              <w:t>Inside / attached to the rack power shelf</w:t>
            </w:r>
          </w:p>
        </w:tc>
        <w:tc>
          <w:tcPr>
            <w:tcW w:w="2541" w:type="dxa"/>
            <w:vAlign w:val="center"/>
          </w:tcPr>
          <w:p w14:paraId="3BCF29FC" w14:textId="77777777" w:rsidR="005D7268" w:rsidRDefault="00000000">
            <w:r>
              <w:rPr>
                <w:sz w:val="17"/>
              </w:rPr>
              <w:t>Conventional rack-level conversion can still be feasible.</w:t>
            </w:r>
          </w:p>
        </w:tc>
        <w:tc>
          <w:tcPr>
            <w:tcW w:w="2541" w:type="dxa"/>
            <w:vAlign w:val="center"/>
          </w:tcPr>
          <w:p w14:paraId="158A6A7D" w14:textId="77777777" w:rsidR="005D7268" w:rsidRDefault="00000000">
            <w:r>
              <w:rPr>
                <w:sz w:val="17"/>
              </w:rPr>
              <w:t>Illustrative architecture; not a hard industry cutoff.</w:t>
            </w:r>
          </w:p>
        </w:tc>
      </w:tr>
      <w:tr w:rsidR="005D7268" w14:paraId="197C22DE" w14:textId="77777777">
        <w:trPr>
          <w:jc w:val="center"/>
        </w:trPr>
        <w:tc>
          <w:tcPr>
            <w:tcW w:w="2541" w:type="dxa"/>
            <w:vAlign w:val="center"/>
          </w:tcPr>
          <w:p w14:paraId="4EF7107B" w14:textId="77777777" w:rsidR="005D7268" w:rsidRDefault="00000000">
            <w:r>
              <w:rPr>
                <w:sz w:val="17"/>
              </w:rPr>
              <w:t>~120–500 kW</w:t>
            </w:r>
          </w:p>
        </w:tc>
        <w:tc>
          <w:tcPr>
            <w:tcW w:w="2541" w:type="dxa"/>
            <w:vAlign w:val="center"/>
          </w:tcPr>
          <w:p w14:paraId="77402F00" w14:textId="77777777" w:rsidR="005D7268" w:rsidRDefault="00000000">
            <w:r>
              <w:rPr>
                <w:sz w:val="17"/>
              </w:rPr>
              <w:t>Sidecar / adjacent power rack</w:t>
            </w:r>
          </w:p>
        </w:tc>
        <w:tc>
          <w:tcPr>
            <w:tcW w:w="2541" w:type="dxa"/>
            <w:vAlign w:val="center"/>
          </w:tcPr>
          <w:p w14:paraId="7457F78D" w14:textId="77777777" w:rsidR="005D7268" w:rsidRDefault="00000000">
            <w:r>
              <w:rPr>
                <w:sz w:val="17"/>
              </w:rPr>
              <w:t>Move bulky conversion hardware out of the compute rack while still delivering high-voltage DC nearby.</w:t>
            </w:r>
          </w:p>
        </w:tc>
        <w:tc>
          <w:tcPr>
            <w:tcW w:w="2541" w:type="dxa"/>
            <w:vAlign w:val="center"/>
          </w:tcPr>
          <w:p w14:paraId="6DC0D36E" w14:textId="77777777" w:rsidR="005D7268" w:rsidRDefault="00000000">
            <w:r>
              <w:rPr>
                <w:sz w:val="17"/>
              </w:rPr>
              <w:t>Consistent with NVIDIA’s hybrid 800 VDC power-rack / sidecar concept for existing AC facilities.</w:t>
            </w:r>
          </w:p>
        </w:tc>
      </w:tr>
      <w:tr w:rsidR="005D7268" w14:paraId="14AF26A2" w14:textId="77777777">
        <w:trPr>
          <w:jc w:val="center"/>
        </w:trPr>
        <w:tc>
          <w:tcPr>
            <w:tcW w:w="2541" w:type="dxa"/>
            <w:vAlign w:val="center"/>
          </w:tcPr>
          <w:p w14:paraId="4A525486" w14:textId="77777777" w:rsidR="005D7268" w:rsidRDefault="00000000">
            <w:r>
              <w:rPr>
                <w:sz w:val="17"/>
              </w:rPr>
              <w:t>&gt; ~500 kW</w:t>
            </w:r>
          </w:p>
        </w:tc>
        <w:tc>
          <w:tcPr>
            <w:tcW w:w="2541" w:type="dxa"/>
            <w:vAlign w:val="center"/>
          </w:tcPr>
          <w:p w14:paraId="53816328" w14:textId="77777777" w:rsidR="005D7268" w:rsidRDefault="00000000">
            <w:r>
              <w:rPr>
                <w:sz w:val="17"/>
              </w:rPr>
              <w:t>800 VDC increasingly pushed closer to the IT board / high-voltage DC/DC stage</w:t>
            </w:r>
          </w:p>
        </w:tc>
        <w:tc>
          <w:tcPr>
            <w:tcW w:w="2541" w:type="dxa"/>
            <w:vAlign w:val="center"/>
          </w:tcPr>
          <w:p w14:paraId="25C5E481" w14:textId="77777777" w:rsidR="005D7268" w:rsidRDefault="00000000">
            <w:r>
              <w:rPr>
                <w:sz w:val="17"/>
              </w:rPr>
              <w:t>At very high density, minimising low-voltage distribution distance becomes critical.</w:t>
            </w:r>
          </w:p>
        </w:tc>
        <w:tc>
          <w:tcPr>
            <w:tcW w:w="2541" w:type="dxa"/>
            <w:vAlign w:val="center"/>
          </w:tcPr>
          <w:p w14:paraId="33DBDCB7" w14:textId="77777777" w:rsidR="005D7268" w:rsidRDefault="00000000">
            <w:r>
              <w:rPr>
                <w:sz w:val="17"/>
              </w:rPr>
              <w:t>Directionally valid; exact topology and threshold are platform-specific.</w:t>
            </w:r>
          </w:p>
        </w:tc>
      </w:tr>
    </w:tbl>
    <w:p w14:paraId="1E69D9A3" w14:textId="77777777" w:rsidR="005D7268" w:rsidRDefault="00000000">
      <w:pPr>
        <w:pStyle w:val="1"/>
      </w:pPr>
      <w:r>
        <w:t>6. The facility migration path: from today’s AC systems to native 800 VDC</w:t>
      </w:r>
    </w:p>
    <w:p w14:paraId="5DCF1250" w14:textId="7B61A44E" w:rsidR="005D7268" w:rsidRDefault="00000000">
      <w:pPr>
        <w:pStyle w:val="a"/>
        <w:spacing w:after="60"/>
      </w:pPr>
      <w:r>
        <w:t>Hybrid / retrofit stage — existing AC facility + sidecar</w:t>
      </w:r>
      <w:r w:rsidR="00C802EF">
        <w:rPr>
          <w:rFonts w:ascii="宋体" w:eastAsia="宋体" w:hAnsi="宋体" w:hint="eastAsia"/>
          <w:lang w:eastAsia="zh-CN"/>
        </w:rPr>
        <w:t>（HVDC）</w:t>
      </w:r>
      <w:r>
        <w:t xml:space="preserve">. AC infrastructure remains, while an adjacent power system supplies 800 VDC to next-generation compute racks. </w:t>
      </w:r>
      <w:r w:rsidRPr="00C802EF">
        <w:rPr>
          <w:b/>
          <w:bCs/>
        </w:rPr>
        <w:t>This allows brownfield data centers to adopt higher-density AI systems without redesigning the entire building.</w:t>
      </w:r>
    </w:p>
    <w:p w14:paraId="6BFE6791" w14:textId="77777777" w:rsidR="005D7268" w:rsidRDefault="00000000">
      <w:pPr>
        <w:pStyle w:val="a"/>
        <w:spacing w:after="60"/>
      </w:pPr>
      <w:r>
        <w:t>800 VDC distribution stage — facility power is rectified to a common 800 VDC bus and distributed closer to the IT load, reducing repeated AC/DC conversions and simplifying the downstream path.</w:t>
      </w:r>
    </w:p>
    <w:p w14:paraId="19D82415" w14:textId="77777777" w:rsidR="005D7268" w:rsidRDefault="00000000">
      <w:pPr>
        <w:pStyle w:val="a"/>
        <w:spacing w:after="60"/>
      </w:pPr>
      <w:r>
        <w:t>More integrated future stage — technologies such as solid-state transformers (SSTs) may combine voltage transformation and rectification, potentially shortening the chain from medium-voltage AC to low-voltage DC distribution. This is an emerging architecture rather than a fully standardised end state today.</w:t>
      </w:r>
    </w:p>
    <w:p w14:paraId="13ECFD98" w14:textId="55A679AB" w:rsidR="005D7268" w:rsidRDefault="00000000">
      <w:pPr>
        <w:pStyle w:val="1"/>
      </w:pPr>
      <w:r>
        <w:lastRenderedPageBreak/>
        <w:t xml:space="preserve">7. </w:t>
      </w:r>
      <w:r w:rsidR="00C33296" w:rsidRPr="00C33296">
        <w:rPr>
          <w:rFonts w:eastAsia="宋体" w:cstheme="majorHAnsi"/>
          <w:lang w:eastAsia="zh-CN"/>
        </w:rPr>
        <w:t xml:space="preserve">Other changes </w:t>
      </w:r>
      <w:r w:rsidRPr="00C33296">
        <w:rPr>
          <w:rFonts w:cstheme="majorHAnsi"/>
        </w:rPr>
        <w:t xml:space="preserve">800 VDC </w:t>
      </w:r>
      <w:r w:rsidR="00C33296" w:rsidRPr="00C33296">
        <w:rPr>
          <w:rFonts w:cstheme="majorHAnsi"/>
        </w:rPr>
        <w:t>create</w:t>
      </w:r>
      <w:r w:rsidRPr="00C33296">
        <w:rPr>
          <w:rFonts w:cstheme="majorHAnsi"/>
        </w:rPr>
        <w:t xml:space="preserve"> across the power system</w:t>
      </w:r>
    </w:p>
    <w:p w14:paraId="05C95A08" w14:textId="77777777" w:rsidR="005D7268" w:rsidRDefault="00000000">
      <w:pPr>
        <w:pStyle w:val="21"/>
      </w:pPr>
      <w:r>
        <w:t>Transient power and energy buffering</w:t>
      </w:r>
    </w:p>
    <w:p w14:paraId="188FA606" w14:textId="77777777" w:rsidR="005D7268" w:rsidRDefault="00000000">
      <w:r>
        <w:t>AI/GPU workloads can change power rapidly. The grid and upstream electrical system prefer stable, predictable load. Local energy buffering — e.g., BBUs, batteries or capacitor-based buffer units — can absorb or supply short-duration power so the upstream system sees a smoother profile.</w:t>
      </w:r>
    </w:p>
    <w:p w14:paraId="59E0E1BC" w14:textId="77777777" w:rsidR="005D7268" w:rsidRDefault="00000000">
      <w:pPr>
        <w:pStyle w:val="21"/>
      </w:pPr>
      <w:r>
        <w:t>UPS / BBU architecture</w:t>
      </w:r>
    </w:p>
    <w:p w14:paraId="2340D3EC" w14:textId="77777777" w:rsidR="005D7268" w:rsidRDefault="00000000">
      <w:r>
        <w:t>Data centers have been moving from large centralised UPS-only architectures toward more distributed energy storage in some designs. Rack-level or server-level BBUs place backup energy closer to the load and can reduce central conversion stages, although redundancy strategy and required backup duration remain site-specific.</w:t>
      </w:r>
    </w:p>
    <w:p w14:paraId="090ECA6C" w14:textId="77777777" w:rsidR="005D7268" w:rsidRDefault="00000000">
      <w:pPr>
        <w:pStyle w:val="21"/>
      </w:pPr>
      <w:r>
        <w:t>DC protection</w:t>
      </w:r>
    </w:p>
    <w:p w14:paraId="177841DE" w14:textId="77777777" w:rsidR="005D7268" w:rsidRDefault="00000000">
      <w:r>
        <w:t>DC faults are harder to interrupt than AC faults because DC current has no natural zero crossing. Wider adoption of 800 VDC therefore increases the importance of DC-rated fuses, mechanical DC breakers and solid-state / hybrid circuit breakers, together with coordinated fault-current limiting.</w:t>
      </w:r>
    </w:p>
    <w:p w14:paraId="7B8390B3" w14:textId="77777777" w:rsidR="005D7268" w:rsidRDefault="00000000">
      <w:pPr>
        <w:pStyle w:val="21"/>
      </w:pPr>
      <w:r>
        <w:t>Power electronics</w:t>
      </w:r>
    </w:p>
    <w:p w14:paraId="015325EE" w14:textId="77777777" w:rsidR="005D7268" w:rsidRDefault="00000000">
      <w:r>
        <w:t>Higher-voltage DC increases demand for efficient rectifiers, high-voltage DC/DC modules, wide-bandgap semiconductors, magnetic components, capacitors and high-voltage connectors/busways.</w:t>
      </w:r>
    </w:p>
    <w:p w14:paraId="6DE2DB86" w14:textId="77777777" w:rsidR="005D7268" w:rsidRDefault="00000000">
      <w:pPr>
        <w:pStyle w:val="21"/>
      </w:pPr>
      <w:r>
        <w:t>Cooling and layout</w:t>
      </w:r>
    </w:p>
    <w:p w14:paraId="330C8923" w14:textId="77777777" w:rsidR="005D7268" w:rsidRDefault="00000000">
      <w:r>
        <w:t>Higher rack power and electrical density reinforce the move toward liquid cooling and more integrated rack design. Power, cooling and compute layouts have to be engineered together.</w:t>
      </w:r>
    </w:p>
    <w:p w14:paraId="02F5C07C" w14:textId="6E967C72" w:rsidR="005D7268" w:rsidRDefault="00000000">
      <w:pPr>
        <w:pStyle w:val="1"/>
      </w:pPr>
      <w:r>
        <w:t>8. What should remember</w:t>
      </w:r>
    </w:p>
    <w:p w14:paraId="28E61470" w14:textId="77777777" w:rsidR="005D7268" w:rsidRDefault="00000000">
      <w:pPr>
        <w:pStyle w:val="a0"/>
        <w:spacing w:after="60"/>
      </w:pPr>
      <w:r>
        <w:t>800 VDC is not being adopted because “DC is inherently better than AC” in every situation; it is a response to very high AI rack power density.</w:t>
      </w:r>
    </w:p>
    <w:p w14:paraId="1DAAD9CB" w14:textId="77777777" w:rsidR="005D7268" w:rsidRDefault="00000000">
      <w:pPr>
        <w:pStyle w:val="a0"/>
        <w:spacing w:after="60"/>
      </w:pPr>
      <w:r>
        <w:t>The causal chain is: more compute → higher chip and system power → rack-scale concentration → much higher current at low voltage → copper / loss / space bottlenecks → higher-voltage DC distribution.</w:t>
      </w:r>
    </w:p>
    <w:p w14:paraId="3E7207B4" w14:textId="77777777" w:rsidR="005D7268" w:rsidRDefault="00000000">
      <w:pPr>
        <w:pStyle w:val="a0"/>
        <w:spacing w:after="60"/>
      </w:pPr>
      <w:r>
        <w:t>The most important economic benefit is not only electrical efficiency. It is also enabling more compute per rack and per square metre while reducing power-delivery hardware and material.</w:t>
      </w:r>
    </w:p>
    <w:p w14:paraId="379E5EC1" w14:textId="77777777" w:rsidR="005D7268" w:rsidRDefault="00000000">
      <w:pPr>
        <w:pStyle w:val="a0"/>
        <w:spacing w:after="60"/>
      </w:pPr>
      <w:r>
        <w:t>The transition will be gradual. Brownfield sites can use hybrid sidecar / power-rack designs before new facilities move toward native 800 VDC distribution.</w:t>
      </w:r>
    </w:p>
    <w:p w14:paraId="51A5EE33" w14:textId="77777777" w:rsidR="005D7268" w:rsidRDefault="00000000">
      <w:pPr>
        <w:pStyle w:val="a0"/>
        <w:spacing w:after="60"/>
      </w:pPr>
      <w:r>
        <w:t>800 VDC changes the component opportunity set across rectification, DC/DC conversion, protection, energy storage, busways, connectors, capacitors and thermal management.</w:t>
      </w:r>
    </w:p>
    <w:p w14:paraId="65AFFD6E" w14:textId="77777777" w:rsidR="005D7268" w:rsidRDefault="00000000">
      <w:pPr>
        <w:pStyle w:val="1"/>
      </w:pPr>
      <w:r>
        <w:t>Terminology guide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5D7268" w14:paraId="2A1259F9" w14:textId="77777777">
        <w:trPr>
          <w:jc w:val="center"/>
        </w:trPr>
        <w:tc>
          <w:tcPr>
            <w:tcW w:w="5083" w:type="dxa"/>
            <w:shd w:val="clear" w:color="auto" w:fill="E8EEF5"/>
            <w:vAlign w:val="center"/>
          </w:tcPr>
          <w:p w14:paraId="2B9A5C2C" w14:textId="77777777" w:rsidR="005D7268" w:rsidRDefault="00000000">
            <w:r>
              <w:rPr>
                <w:b/>
                <w:sz w:val="18"/>
              </w:rPr>
              <w:t>Term</w:t>
            </w:r>
          </w:p>
        </w:tc>
        <w:tc>
          <w:tcPr>
            <w:tcW w:w="5083" w:type="dxa"/>
            <w:shd w:val="clear" w:color="auto" w:fill="E8EEF5"/>
            <w:vAlign w:val="center"/>
          </w:tcPr>
          <w:p w14:paraId="5BCEDD73" w14:textId="77777777" w:rsidR="005D7268" w:rsidRDefault="00000000">
            <w:r>
              <w:rPr>
                <w:b/>
                <w:sz w:val="18"/>
              </w:rPr>
              <w:t>Practical meaning</w:t>
            </w:r>
          </w:p>
        </w:tc>
      </w:tr>
      <w:tr w:rsidR="005D7268" w14:paraId="1A33181E" w14:textId="77777777">
        <w:trPr>
          <w:jc w:val="center"/>
        </w:trPr>
        <w:tc>
          <w:tcPr>
            <w:tcW w:w="5083" w:type="dxa"/>
            <w:vAlign w:val="center"/>
          </w:tcPr>
          <w:p w14:paraId="1D126D17" w14:textId="77777777" w:rsidR="005D7268" w:rsidRDefault="00000000">
            <w:r>
              <w:rPr>
                <w:b/>
                <w:sz w:val="17"/>
              </w:rPr>
              <w:t>TDP</w:t>
            </w:r>
          </w:p>
        </w:tc>
        <w:tc>
          <w:tcPr>
            <w:tcW w:w="5083" w:type="dxa"/>
            <w:vAlign w:val="center"/>
          </w:tcPr>
          <w:p w14:paraId="66EFD7B5" w14:textId="77777777" w:rsidR="005D7268" w:rsidRDefault="00000000">
            <w:r>
              <w:rPr>
                <w:sz w:val="17"/>
              </w:rPr>
              <w:t>Thermal Design Power; commonly used as a practical indicator of a processor/accelerator power envelope.</w:t>
            </w:r>
          </w:p>
        </w:tc>
      </w:tr>
      <w:tr w:rsidR="005D7268" w14:paraId="758E1C19" w14:textId="77777777">
        <w:trPr>
          <w:jc w:val="center"/>
        </w:trPr>
        <w:tc>
          <w:tcPr>
            <w:tcW w:w="5083" w:type="dxa"/>
            <w:vAlign w:val="center"/>
          </w:tcPr>
          <w:p w14:paraId="3530F6D0" w14:textId="77777777" w:rsidR="005D7268" w:rsidRDefault="00000000">
            <w:r>
              <w:rPr>
                <w:b/>
                <w:sz w:val="17"/>
              </w:rPr>
              <w:t>Rack-scale system</w:t>
            </w:r>
          </w:p>
        </w:tc>
        <w:tc>
          <w:tcPr>
            <w:tcW w:w="5083" w:type="dxa"/>
            <w:vAlign w:val="center"/>
          </w:tcPr>
          <w:p w14:paraId="32796114" w14:textId="77777777" w:rsidR="005D7268" w:rsidRDefault="00000000">
            <w:r>
              <w:rPr>
                <w:sz w:val="17"/>
              </w:rPr>
              <w:t>A compute system designed so an entire rack operates as one tightly coupled compute domain, rather than as independent servers.</w:t>
            </w:r>
          </w:p>
        </w:tc>
      </w:tr>
      <w:tr w:rsidR="005D7268" w14:paraId="27589218" w14:textId="77777777">
        <w:trPr>
          <w:jc w:val="center"/>
        </w:trPr>
        <w:tc>
          <w:tcPr>
            <w:tcW w:w="5083" w:type="dxa"/>
            <w:vAlign w:val="center"/>
          </w:tcPr>
          <w:p w14:paraId="67D8D122" w14:textId="77777777" w:rsidR="005D7268" w:rsidRDefault="00000000">
            <w:r>
              <w:rPr>
                <w:b/>
                <w:sz w:val="17"/>
              </w:rPr>
              <w:t>Power shelf</w:t>
            </w:r>
          </w:p>
        </w:tc>
        <w:tc>
          <w:tcPr>
            <w:tcW w:w="5083" w:type="dxa"/>
            <w:vAlign w:val="center"/>
          </w:tcPr>
          <w:p w14:paraId="03DBEE7B" w14:textId="77777777" w:rsidR="005D7268" w:rsidRDefault="00000000">
            <w:r>
              <w:rPr>
                <w:sz w:val="17"/>
              </w:rPr>
              <w:t>Rack-mounted power-conversion assembly containing multiple PSUs / rectifiers.</w:t>
            </w:r>
          </w:p>
        </w:tc>
      </w:tr>
      <w:tr w:rsidR="005D7268" w14:paraId="1C6DDBFB" w14:textId="77777777">
        <w:trPr>
          <w:jc w:val="center"/>
        </w:trPr>
        <w:tc>
          <w:tcPr>
            <w:tcW w:w="5083" w:type="dxa"/>
            <w:vAlign w:val="center"/>
          </w:tcPr>
          <w:p w14:paraId="0BE9590C" w14:textId="77777777" w:rsidR="005D7268" w:rsidRDefault="00000000">
            <w:r>
              <w:rPr>
                <w:b/>
                <w:sz w:val="17"/>
              </w:rPr>
              <w:t>Sidecar / power rack</w:t>
            </w:r>
          </w:p>
        </w:tc>
        <w:tc>
          <w:tcPr>
            <w:tcW w:w="5083" w:type="dxa"/>
            <w:vAlign w:val="center"/>
          </w:tcPr>
          <w:p w14:paraId="1209C8ED" w14:textId="77777777" w:rsidR="005D7268" w:rsidRDefault="00000000">
            <w:r>
              <w:rPr>
                <w:sz w:val="17"/>
              </w:rPr>
              <w:t>A separate adjacent enclosure or rack that houses power-conversion and/or energy-storage equipment, freeing space in the compute rack.</w:t>
            </w:r>
          </w:p>
        </w:tc>
      </w:tr>
      <w:tr w:rsidR="005D7268" w14:paraId="46D767BD" w14:textId="77777777">
        <w:trPr>
          <w:jc w:val="center"/>
        </w:trPr>
        <w:tc>
          <w:tcPr>
            <w:tcW w:w="5083" w:type="dxa"/>
            <w:vAlign w:val="center"/>
          </w:tcPr>
          <w:p w14:paraId="3D9CE248" w14:textId="77777777" w:rsidR="005D7268" w:rsidRDefault="00000000">
            <w:r>
              <w:rPr>
                <w:b/>
                <w:sz w:val="17"/>
              </w:rPr>
              <w:lastRenderedPageBreak/>
              <w:t>BBU</w:t>
            </w:r>
          </w:p>
        </w:tc>
        <w:tc>
          <w:tcPr>
            <w:tcW w:w="5083" w:type="dxa"/>
            <w:vAlign w:val="center"/>
          </w:tcPr>
          <w:p w14:paraId="46A1C38A" w14:textId="77777777" w:rsidR="005D7268" w:rsidRDefault="00000000">
            <w:r>
              <w:rPr>
                <w:sz w:val="17"/>
              </w:rPr>
              <w:t>Battery Backup Unit.</w:t>
            </w:r>
          </w:p>
        </w:tc>
      </w:tr>
      <w:tr w:rsidR="005D7268" w14:paraId="6FB0462F" w14:textId="77777777">
        <w:trPr>
          <w:jc w:val="center"/>
        </w:trPr>
        <w:tc>
          <w:tcPr>
            <w:tcW w:w="5083" w:type="dxa"/>
            <w:vAlign w:val="center"/>
          </w:tcPr>
          <w:p w14:paraId="50B398FF" w14:textId="77777777" w:rsidR="005D7268" w:rsidRDefault="00000000">
            <w:r>
              <w:rPr>
                <w:b/>
                <w:sz w:val="17"/>
              </w:rPr>
              <w:t>CBU</w:t>
            </w:r>
          </w:p>
        </w:tc>
        <w:tc>
          <w:tcPr>
            <w:tcW w:w="5083" w:type="dxa"/>
            <w:vAlign w:val="center"/>
          </w:tcPr>
          <w:p w14:paraId="15015897" w14:textId="77777777" w:rsidR="005D7268" w:rsidRDefault="00000000">
            <w:r>
              <w:rPr>
                <w:sz w:val="17"/>
              </w:rPr>
              <w:t>Capacitor Buffer Unit; typically used to buffer fast transient power rather than provide long-duration backup.</w:t>
            </w:r>
          </w:p>
        </w:tc>
      </w:tr>
      <w:tr w:rsidR="005D7268" w14:paraId="17DE70A3" w14:textId="77777777">
        <w:trPr>
          <w:jc w:val="center"/>
        </w:trPr>
        <w:tc>
          <w:tcPr>
            <w:tcW w:w="5083" w:type="dxa"/>
            <w:vAlign w:val="center"/>
          </w:tcPr>
          <w:p w14:paraId="58817527" w14:textId="77777777" w:rsidR="005D7268" w:rsidRDefault="00000000">
            <w:r>
              <w:rPr>
                <w:b/>
                <w:sz w:val="17"/>
              </w:rPr>
              <w:t>HVDC / LVDC</w:t>
            </w:r>
          </w:p>
        </w:tc>
        <w:tc>
          <w:tcPr>
            <w:tcW w:w="5083" w:type="dxa"/>
            <w:vAlign w:val="center"/>
          </w:tcPr>
          <w:p w14:paraId="79785193" w14:textId="77777777" w:rsidR="005D7268" w:rsidRDefault="00000000">
            <w:r>
              <w:rPr>
                <w:sz w:val="17"/>
              </w:rPr>
              <w:t>High-voltage / low-voltage direct-current distribution. Naming conventions vary by region and vendor.</w:t>
            </w:r>
          </w:p>
        </w:tc>
      </w:tr>
      <w:tr w:rsidR="005D7268" w14:paraId="261FD3AA" w14:textId="77777777">
        <w:trPr>
          <w:jc w:val="center"/>
        </w:trPr>
        <w:tc>
          <w:tcPr>
            <w:tcW w:w="5083" w:type="dxa"/>
            <w:vAlign w:val="center"/>
          </w:tcPr>
          <w:p w14:paraId="4B93D6FC" w14:textId="77777777" w:rsidR="005D7268" w:rsidRDefault="00000000">
            <w:r>
              <w:rPr>
                <w:b/>
                <w:sz w:val="17"/>
              </w:rPr>
              <w:t>SST</w:t>
            </w:r>
          </w:p>
        </w:tc>
        <w:tc>
          <w:tcPr>
            <w:tcW w:w="5083" w:type="dxa"/>
            <w:vAlign w:val="center"/>
          </w:tcPr>
          <w:p w14:paraId="01AB5D1D" w14:textId="77777777" w:rsidR="005D7268" w:rsidRDefault="00000000">
            <w:r>
              <w:rPr>
                <w:sz w:val="17"/>
              </w:rPr>
              <w:t>Solid-State Transformer; a power-electronics-based transformer concept that can combine transformation, isolation and conversion functions.</w:t>
            </w:r>
          </w:p>
        </w:tc>
      </w:tr>
      <w:tr w:rsidR="005D7268" w14:paraId="70C4914E" w14:textId="77777777">
        <w:trPr>
          <w:jc w:val="center"/>
        </w:trPr>
        <w:tc>
          <w:tcPr>
            <w:tcW w:w="5083" w:type="dxa"/>
            <w:vAlign w:val="center"/>
          </w:tcPr>
          <w:p w14:paraId="2E07E818" w14:textId="77777777" w:rsidR="005D7268" w:rsidRDefault="00000000">
            <w:r>
              <w:rPr>
                <w:b/>
                <w:sz w:val="17"/>
              </w:rPr>
              <w:t>Busway / busbar</w:t>
            </w:r>
          </w:p>
        </w:tc>
        <w:tc>
          <w:tcPr>
            <w:tcW w:w="5083" w:type="dxa"/>
            <w:vAlign w:val="center"/>
          </w:tcPr>
          <w:p w14:paraId="005FA834" w14:textId="77777777" w:rsidR="005D7268" w:rsidRDefault="00000000">
            <w:r>
              <w:rPr>
                <w:sz w:val="17"/>
              </w:rPr>
              <w:t>High-current conductor system used to distribute power within the facility or rack.</w:t>
            </w:r>
          </w:p>
        </w:tc>
      </w:tr>
      <w:tr w:rsidR="005D7268" w14:paraId="1E24F036" w14:textId="77777777">
        <w:trPr>
          <w:jc w:val="center"/>
        </w:trPr>
        <w:tc>
          <w:tcPr>
            <w:tcW w:w="5083" w:type="dxa"/>
            <w:vAlign w:val="center"/>
          </w:tcPr>
          <w:p w14:paraId="400742F1" w14:textId="77777777" w:rsidR="005D7268" w:rsidRDefault="00000000">
            <w:r>
              <w:rPr>
                <w:b/>
                <w:sz w:val="17"/>
              </w:rPr>
              <w:t>VRM</w:t>
            </w:r>
          </w:p>
        </w:tc>
        <w:tc>
          <w:tcPr>
            <w:tcW w:w="5083" w:type="dxa"/>
            <w:vAlign w:val="center"/>
          </w:tcPr>
          <w:p w14:paraId="719FE519" w14:textId="77777777" w:rsidR="005D7268" w:rsidRDefault="00000000">
            <w:r>
              <w:rPr>
                <w:sz w:val="17"/>
              </w:rPr>
              <w:t>Voltage Regulator Module; final-stage regulation close to the processor/GPU.</w:t>
            </w:r>
          </w:p>
        </w:tc>
      </w:tr>
    </w:tbl>
    <w:p w14:paraId="0A201279" w14:textId="5D473134" w:rsidR="005D7268" w:rsidRPr="00C33296" w:rsidRDefault="00000000">
      <w:pPr>
        <w:pStyle w:val="1"/>
        <w:rPr>
          <w:rFonts w:eastAsia="宋体"/>
          <w:lang w:eastAsia="zh-CN"/>
        </w:rPr>
      </w:pPr>
      <w:r>
        <w:t xml:space="preserve">source </w:t>
      </w:r>
    </w:p>
    <w:p w14:paraId="1A0A789B" w14:textId="77777777" w:rsidR="005D7268" w:rsidRDefault="00000000">
      <w:pPr>
        <w:spacing w:after="80"/>
      </w:pPr>
      <w:r>
        <w:rPr>
          <w:b/>
          <w:sz w:val="18"/>
        </w:rPr>
        <w:t>NVIDIA, “800 VDC Architecture for AI Data Centers”</w:t>
      </w:r>
      <w:r>
        <w:rPr>
          <w:sz w:val="17"/>
        </w:rPr>
        <w:br/>
        <w:t>https://www.nvidia.com/en-us/data-center/technologies/800-vdc-architecture/</w:t>
      </w:r>
      <w:r>
        <w:rPr>
          <w:sz w:val="17"/>
        </w:rPr>
        <w:br/>
        <w:t>Official overview of why 800 VDC is being adopted; lower current, lower copper/cable bulk, fewer conversion stages, future AI-server support.</w:t>
      </w:r>
    </w:p>
    <w:p w14:paraId="1EC1A256" w14:textId="77777777" w:rsidR="005D7268" w:rsidRDefault="00000000">
      <w:pPr>
        <w:spacing w:after="80"/>
      </w:pPr>
      <w:r>
        <w:rPr>
          <w:b/>
          <w:sz w:val="18"/>
        </w:rPr>
        <w:t>NVIDIA Technical Blog, “NVIDIA 800 VDC Architecture Will Power the Next Generation of AI Factories” (20 May 2025)</w:t>
      </w:r>
      <w:r>
        <w:rPr>
          <w:sz w:val="17"/>
        </w:rPr>
        <w:br/>
        <w:t>https://developer.nvidia.com/blog/?p=100571</w:t>
      </w:r>
      <w:r>
        <w:rPr>
          <w:sz w:val="17"/>
        </w:rPr>
        <w:br/>
        <w:t>Official discussion of 1 MW+ racks, 54 VDC limitations, copper/busbar burden and architecture transition.</w:t>
      </w:r>
    </w:p>
    <w:p w14:paraId="057D706C" w14:textId="77777777" w:rsidR="005D7268" w:rsidRDefault="00000000">
      <w:pPr>
        <w:spacing w:after="80"/>
      </w:pPr>
      <w:r>
        <w:rPr>
          <w:b/>
          <w:sz w:val="18"/>
        </w:rPr>
        <w:t>NVIDIA NVL72 AI Factory Reference Architecture — System Hardware &amp; Components</w:t>
      </w:r>
      <w:r>
        <w:rPr>
          <w:sz w:val="17"/>
        </w:rPr>
        <w:br/>
        <w:t>https://docs.nvidia.com/enterprise-reference-architectures/nvl72-ai-factory/latest/components.html</w:t>
      </w:r>
      <w:r>
        <w:rPr>
          <w:sz w:val="17"/>
        </w:rPr>
        <w:br/>
        <w:t>GB300 NVL72 hardware details; full rack up to ~142 kW.</w:t>
      </w:r>
    </w:p>
    <w:p w14:paraId="384E9509" w14:textId="77777777" w:rsidR="005D7268" w:rsidRDefault="00000000">
      <w:pPr>
        <w:spacing w:after="80"/>
      </w:pPr>
      <w:r>
        <w:rPr>
          <w:b/>
          <w:sz w:val="18"/>
        </w:rPr>
        <w:t>NVIDIA Blog, “Why Scaling AI Compute Performance Requires a New Power Architecture” (11 Aug 2026)</w:t>
      </w:r>
      <w:r>
        <w:rPr>
          <w:sz w:val="17"/>
        </w:rPr>
        <w:br/>
        <w:t>https://blogs.nvidia.com/blog/800-vdc-power-architecture-ai-factory/</w:t>
      </w:r>
      <w:r>
        <w:rPr>
          <w:sz w:val="17"/>
        </w:rPr>
        <w:br/>
        <w:t>Current description of hybrid power-rack approach and transition from AC to native 800 VDC.</w:t>
      </w:r>
    </w:p>
    <w:p w14:paraId="39B83DC8" w14:textId="77777777" w:rsidR="005D7268" w:rsidRDefault="00000000">
      <w:pPr>
        <w:spacing w:after="80"/>
      </w:pPr>
      <w:r>
        <w:rPr>
          <w:b/>
          <w:sz w:val="18"/>
        </w:rPr>
        <w:t>Open Compute Project, “Power Architecture Evolution in Data Centers” (2025)</w:t>
      </w:r>
      <w:r>
        <w:rPr>
          <w:sz w:val="17"/>
        </w:rPr>
        <w:br/>
        <w:t>https://www.opencompute.org/documents/power-architecture-evolution-in-data-centers-pdf</w:t>
      </w:r>
      <w:r>
        <w:rPr>
          <w:sz w:val="17"/>
        </w:rPr>
        <w:br/>
        <w:t>Industry discussion of next-generation 800 V HVDC power delivery and in-rack DC/DC conversion.</w:t>
      </w:r>
    </w:p>
    <w:sectPr w:rsidR="005D7268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CD747" w14:textId="77777777" w:rsidR="00F73E5E" w:rsidRDefault="00F73E5E">
      <w:pPr>
        <w:spacing w:after="0" w:line="240" w:lineRule="auto"/>
      </w:pPr>
      <w:r>
        <w:separator/>
      </w:r>
    </w:p>
  </w:endnote>
  <w:endnote w:type="continuationSeparator" w:id="0">
    <w:p w14:paraId="286373C2" w14:textId="77777777" w:rsidR="00F73E5E" w:rsidRDefault="00F73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6F6B" w14:textId="77777777" w:rsidR="005D7268" w:rsidRDefault="00000000">
    <w:pPr>
      <w:pStyle w:val="a7"/>
      <w:jc w:val="center"/>
    </w:pPr>
    <w:r>
      <w:rPr>
        <w:color w:val="6B7280"/>
        <w:sz w:val="16"/>
      </w:rPr>
      <w:t>Internal learning note | AI data center power architecture | 800 VDC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601B3" w14:textId="77777777" w:rsidR="00F73E5E" w:rsidRDefault="00F73E5E">
      <w:pPr>
        <w:spacing w:after="0" w:line="240" w:lineRule="auto"/>
      </w:pPr>
      <w:r>
        <w:separator/>
      </w:r>
    </w:p>
  </w:footnote>
  <w:footnote w:type="continuationSeparator" w:id="0">
    <w:p w14:paraId="74D5F4B9" w14:textId="77777777" w:rsidR="00F73E5E" w:rsidRDefault="00F73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346875">
    <w:abstractNumId w:val="8"/>
  </w:num>
  <w:num w:numId="2" w16cid:durableId="905603604">
    <w:abstractNumId w:val="6"/>
  </w:num>
  <w:num w:numId="3" w16cid:durableId="1395350886">
    <w:abstractNumId w:val="5"/>
  </w:num>
  <w:num w:numId="4" w16cid:durableId="1888491270">
    <w:abstractNumId w:val="4"/>
  </w:num>
  <w:num w:numId="5" w16cid:durableId="1671058479">
    <w:abstractNumId w:val="7"/>
  </w:num>
  <w:num w:numId="6" w16cid:durableId="1387296327">
    <w:abstractNumId w:val="3"/>
  </w:num>
  <w:num w:numId="7" w16cid:durableId="219486777">
    <w:abstractNumId w:val="2"/>
  </w:num>
  <w:num w:numId="8" w16cid:durableId="2091581486">
    <w:abstractNumId w:val="1"/>
  </w:num>
  <w:num w:numId="9" w16cid:durableId="67568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CCE"/>
    <w:rsid w:val="0015074B"/>
    <w:rsid w:val="0029639D"/>
    <w:rsid w:val="002D5488"/>
    <w:rsid w:val="00326F90"/>
    <w:rsid w:val="003A45A6"/>
    <w:rsid w:val="004C51E8"/>
    <w:rsid w:val="004E3C8A"/>
    <w:rsid w:val="00526F43"/>
    <w:rsid w:val="00554FEA"/>
    <w:rsid w:val="005C3AA2"/>
    <w:rsid w:val="005D7268"/>
    <w:rsid w:val="007A4E5C"/>
    <w:rsid w:val="00803525"/>
    <w:rsid w:val="00AA1D8D"/>
    <w:rsid w:val="00B47730"/>
    <w:rsid w:val="00C33296"/>
    <w:rsid w:val="00C34569"/>
    <w:rsid w:val="00C802EF"/>
    <w:rsid w:val="00CB0664"/>
    <w:rsid w:val="00F73E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D1DC4"/>
  <w14:defaultImageDpi w14:val="300"/>
  <w15:docId w15:val="{3AA2616D-0E5E-4371-87E2-CD4E1537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">
    <w:name w:val="Executive"/>
    <w:rPr>
      <w:rFonts w:ascii="Aptos" w:hAnsi="Aptos"/>
      <w:color w:val="1F2937"/>
    </w:rPr>
  </w:style>
  <w:style w:type="paragraph" w:customStyle="1" w:styleId="Callout">
    <w:name w:val="Callout"/>
    <w:rPr>
      <w:rFonts w:ascii="Aptos" w:hAnsi="Aptos"/>
      <w:color w:val="374151"/>
      <w:sz w:val="21"/>
    </w:rPr>
  </w:style>
  <w:style w:type="paragraph" w:customStyle="1" w:styleId="Small">
    <w:name w:val="Small"/>
    <w:rPr>
      <w:rFonts w:ascii="Aptos" w:hAnsi="Aptos"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1994</Words>
  <Characters>11369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Yang</cp:lastModifiedBy>
  <cp:revision>5</cp:revision>
  <dcterms:created xsi:type="dcterms:W3CDTF">2013-12-23T23:15:00Z</dcterms:created>
  <dcterms:modified xsi:type="dcterms:W3CDTF">2026-09-14T02:11:00Z</dcterms:modified>
  <cp:category/>
</cp:coreProperties>
</file>