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1A79" w14:textId="2DD5CF6C" w:rsidR="003D1C4C" w:rsidRPr="00702FD8" w:rsidRDefault="00000000">
      <w:pPr>
        <w:spacing w:after="40"/>
        <w:rPr>
          <w:rFonts w:eastAsia="宋体"/>
          <w:lang w:eastAsia="zh-CN"/>
        </w:rPr>
      </w:pPr>
      <w:r>
        <w:rPr>
          <w:b/>
          <w:color w:val="192D4B"/>
          <w:sz w:val="48"/>
        </w:rPr>
        <w:t>NVIDIA 800 VDC Architecture</w:t>
      </w:r>
      <w:r w:rsidR="00702FD8">
        <w:rPr>
          <w:rFonts w:eastAsia="宋体" w:hint="eastAsia"/>
          <w:b/>
          <w:color w:val="192D4B"/>
          <w:sz w:val="48"/>
          <w:lang w:eastAsia="zh-CN"/>
        </w:rPr>
        <w:t xml:space="preserve"> - Version 1</w:t>
      </w:r>
    </w:p>
    <w:p w14:paraId="68644C87" w14:textId="77777777" w:rsidR="003D1C4C" w:rsidRDefault="00000000">
      <w:pPr>
        <w:spacing w:after="160"/>
      </w:pPr>
      <w:r>
        <w:rPr>
          <w:i/>
          <w:color w:val="5A5A5A"/>
          <w:sz w:val="24"/>
        </w:rPr>
        <w:t>Whitepaper Reading Notes - Key Takeaways</w:t>
      </w:r>
    </w:p>
    <w:p w14:paraId="030C5E49" w14:textId="6049BF83" w:rsidR="003D1C4C" w:rsidRPr="00235338" w:rsidRDefault="00235338">
      <w:pPr>
        <w:pStyle w:val="1"/>
        <w:rPr>
          <w:rFonts w:eastAsia="宋体" w:cstheme="majorHAnsi"/>
          <w:lang w:eastAsia="zh-CN"/>
        </w:rPr>
      </w:pPr>
      <w:r w:rsidRPr="00235338">
        <w:rPr>
          <w:rFonts w:eastAsia="宋体" w:cstheme="majorHAnsi"/>
          <w:lang w:eastAsia="zh-CN"/>
        </w:rPr>
        <w:t>Key</w:t>
      </w:r>
      <w:r w:rsidRPr="00235338">
        <w:rPr>
          <w:rFonts w:cstheme="majorHAnsi"/>
        </w:rPr>
        <w:t xml:space="preserve"> </w:t>
      </w:r>
      <w:proofErr w:type="spellStart"/>
      <w:r>
        <w:rPr>
          <w:rFonts w:eastAsia="宋体" w:cstheme="majorHAnsi" w:hint="eastAsia"/>
          <w:lang w:eastAsia="zh-CN"/>
        </w:rPr>
        <w:t>Conepts</w:t>
      </w:r>
      <w:proofErr w:type="spellEnd"/>
    </w:p>
    <w:p w14:paraId="0C89CA4C" w14:textId="33BB72CA" w:rsidR="003D1C4C" w:rsidRDefault="00000000">
      <w:pPr>
        <w:pStyle w:val="a0"/>
        <w:spacing w:after="60"/>
      </w:pPr>
      <w:r>
        <w:rPr>
          <w:b/>
        </w:rPr>
        <w:t xml:space="preserve">Rack power, not chip TDP alone, is the driver. </w:t>
      </w:r>
      <w:r>
        <w:t>GPU TDP typically rises incrementally, but larger NVLink domains can push rack power up by multiples. Hopper to GB300 is NVIDIA's example: +75% TDP, ~50x performance and ~3.4x rack power density.</w:t>
      </w:r>
    </w:p>
    <w:p w14:paraId="1D228CCC" w14:textId="77777777" w:rsidR="003D1C4C" w:rsidRDefault="00000000">
      <w:pPr>
        <w:pStyle w:val="a0"/>
        <w:spacing w:after="60"/>
      </w:pPr>
      <w:r>
        <w:rPr>
          <w:b/>
        </w:rPr>
        <w:t xml:space="preserve">800 VDC solves both scale and space constraints. </w:t>
      </w:r>
      <w:r>
        <w:t>Higher voltage reduces current for the same power, cutting conductor size, cable bulk and rack/facility power-distribution footprint. NVIDIA cites +157% power transfer through the same copper cross-section versus 415 VAC.</w:t>
      </w:r>
    </w:p>
    <w:p w14:paraId="518027A5" w14:textId="77777777" w:rsidR="003D1C4C" w:rsidRDefault="00000000">
      <w:pPr>
        <w:pStyle w:val="a0"/>
        <w:spacing w:after="60"/>
      </w:pPr>
      <w:r>
        <w:rPr>
          <w:b/>
        </w:rPr>
        <w:t xml:space="preserve">Energy storage becomes part of the power architecture, not an optional add-on. </w:t>
      </w:r>
      <w:r>
        <w:t>Synchronized GPU workloads can swing between ~30% and 100% rack power. Storage is used to smooth these swings before they propagate to the data center and grid.</w:t>
      </w:r>
    </w:p>
    <w:p w14:paraId="3C7DC2B7" w14:textId="77777777" w:rsidR="003D1C4C" w:rsidRDefault="00000000">
      <w:pPr>
        <w:pStyle w:val="a0"/>
        <w:spacing w:after="60"/>
      </w:pPr>
      <w:r>
        <w:rPr>
          <w:b/>
        </w:rPr>
        <w:t xml:space="preserve">Storage must be layered by timescale. </w:t>
      </w:r>
      <w:r>
        <w:t>Electrolytic capacitors are best suited to sub-100 ms events; mixed technologies cover ~100 ms to 10 s; batteries become more volume-efficient at longer durations.</w:t>
      </w:r>
    </w:p>
    <w:p w14:paraId="3FA3B980" w14:textId="77777777" w:rsidR="003D1C4C" w:rsidRDefault="00000000">
      <w:pPr>
        <w:pStyle w:val="a0"/>
        <w:spacing w:after="60"/>
      </w:pPr>
      <w:r>
        <w:rPr>
          <w:b/>
        </w:rPr>
        <w:t xml:space="preserve">The migration path is staged. </w:t>
      </w:r>
      <w:r>
        <w:t>Near term: side power racks for brownfield retrofits. Next: facility-level LV AC-to-800 VDC rectification. Longer term: MV rectifiers or solid-state transformers (SSTs) converting MV AC directly to 800 VDC.</w:t>
      </w:r>
    </w:p>
    <w:p w14:paraId="0710473C" w14:textId="77777777" w:rsidR="003D1C4C" w:rsidRDefault="00000000">
      <w:pPr>
        <w:pStyle w:val="a0"/>
        <w:spacing w:after="60"/>
      </w:pPr>
      <w:r>
        <w:rPr>
          <w:b/>
        </w:rPr>
        <w:t xml:space="preserve">800 VDC is the practical near-term choice; 1500 VDC is a longer-term option. </w:t>
      </w:r>
      <w:r>
        <w:t>1500 VDC improves conductor utilization further, but indoor IT safety standards, certified components, creepage/clearance and arc-flash constraints are less mature.</w:t>
      </w:r>
    </w:p>
    <w:p w14:paraId="16897336" w14:textId="207CA082" w:rsidR="003D1C4C" w:rsidRDefault="00235338">
      <w:pPr>
        <w:spacing w:before="120" w:after="0"/>
      </w:pPr>
      <w:r>
        <w:rPr>
          <w:rFonts w:ascii="宋体" w:eastAsia="宋体" w:hAnsi="宋体" w:hint="eastAsia"/>
          <w:b/>
          <w:lang w:eastAsia="zh-CN"/>
        </w:rPr>
        <w:t>S</w:t>
      </w:r>
      <w:r>
        <w:rPr>
          <w:b/>
        </w:rPr>
        <w:t xml:space="preserve">ource: </w:t>
      </w:r>
      <w:hyperlink r:id="rId8">
        <w:r>
          <w:rPr>
            <w:color w:val="0563C1"/>
            <w:u w:val="single"/>
          </w:rPr>
          <w:t>NVIDIA 800 VDC Architecture - official page / whitepaper access</w:t>
        </w:r>
      </w:hyperlink>
    </w:p>
    <w:p w14:paraId="32158AC0" w14:textId="77777777" w:rsidR="003D1C4C" w:rsidRDefault="00000000">
      <w:r>
        <w:br w:type="page"/>
      </w:r>
    </w:p>
    <w:p w14:paraId="7F78C110" w14:textId="4E73B544" w:rsidR="003D1C4C" w:rsidRDefault="00000000">
      <w:pPr>
        <w:spacing w:before="160" w:after="80"/>
      </w:pPr>
      <w:r>
        <w:rPr>
          <w:b/>
          <w:color w:val="1E375A"/>
          <w:sz w:val="28"/>
        </w:rPr>
        <w:lastRenderedPageBreak/>
        <w:t xml:space="preserve">1. Why the power architecture </w:t>
      </w:r>
      <w:proofErr w:type="gramStart"/>
      <w:r>
        <w:rPr>
          <w:b/>
          <w:color w:val="1E375A"/>
          <w:sz w:val="28"/>
        </w:rPr>
        <w:t>has to</w:t>
      </w:r>
      <w:proofErr w:type="gramEnd"/>
      <w:r>
        <w:rPr>
          <w:b/>
          <w:color w:val="1E375A"/>
          <w:sz w:val="28"/>
        </w:rPr>
        <w:t xml:space="preserve"> change</w:t>
      </w:r>
    </w:p>
    <w:p w14:paraId="5693706E" w14:textId="77777777" w:rsidR="003D1C4C" w:rsidRDefault="00000000">
      <w:pPr>
        <w:pStyle w:val="a0"/>
        <w:spacing w:after="50" w:line="247" w:lineRule="auto"/>
      </w:pPr>
      <w:r>
        <w:t>GPU generations increase chip power, but the bigger step-change comes from putting more GPUs into one tightly coupled NVLink domain. NVIDIA notes that rack power can rise 2x / 4x / 8x as the networking domain expands.</w:t>
      </w:r>
    </w:p>
    <w:p w14:paraId="714D2245" w14:textId="77777777" w:rsidR="003D1C4C" w:rsidRDefault="00000000">
      <w:pPr>
        <w:pStyle w:val="a0"/>
        <w:spacing w:after="50" w:line="247" w:lineRule="auto"/>
      </w:pPr>
      <w:r w:rsidRPr="00235338">
        <w:rPr>
          <w:b/>
          <w:bCs/>
        </w:rPr>
        <w:t>Copper is preferred for short-reach GPU interconnect because of performance and cost</w:t>
      </w:r>
      <w:r>
        <w:t>, so maximum compute performance increasingly depends on packing more GPUs into a limited physical radius - directly linking performance to power density.</w:t>
      </w:r>
    </w:p>
    <w:p w14:paraId="3728AA00" w14:textId="77777777" w:rsidR="003D1C4C" w:rsidRDefault="00000000">
      <w:pPr>
        <w:pStyle w:val="a0"/>
        <w:spacing w:after="50" w:line="247" w:lineRule="auto"/>
      </w:pPr>
      <w:r>
        <w:t xml:space="preserve">Power infrastructure is therefore moving from a supporting function to </w:t>
      </w:r>
      <w:r w:rsidRPr="00235338">
        <w:rPr>
          <w:b/>
          <w:bCs/>
        </w:rPr>
        <w:t>a primary constraint</w:t>
      </w:r>
      <w:r>
        <w:t xml:space="preserve"> on AI Factory design. A second design objective is to move power components out of the highest-value NVLink compute space.</w:t>
      </w:r>
    </w:p>
    <w:p w14:paraId="2E0EA26F" w14:textId="77777777" w:rsidR="003D1C4C" w:rsidRDefault="00000000">
      <w:pPr>
        <w:spacing w:before="160" w:after="80"/>
      </w:pPr>
      <w:r>
        <w:rPr>
          <w:b/>
          <w:color w:val="1E375A"/>
          <w:sz w:val="28"/>
        </w:rPr>
        <w:t>2. Load swings make energy storage mandatory</w:t>
      </w:r>
      <w:r>
        <w:rPr>
          <w:i/>
          <w:color w:val="5A5A5A"/>
          <w:sz w:val="20"/>
        </w:rPr>
        <w:t xml:space="preserve">  |  The grid wants stable load; GPUs want highly dynamic power</w:t>
      </w:r>
    </w:p>
    <w:p w14:paraId="027A4D67" w14:textId="37A071CD" w:rsidR="003D1C4C" w:rsidRDefault="00000000">
      <w:pPr>
        <w:pStyle w:val="a0"/>
        <w:spacing w:after="50" w:line="247" w:lineRule="auto"/>
      </w:pPr>
      <w:r>
        <w:t>LLM workloads alternate between intensive matrix computation and data exchange. Without buffering, rack demand can swing from ~30% idle to 100% utilization</w:t>
      </w:r>
      <w:r w:rsidR="00235338">
        <w:rPr>
          <w:rFonts w:eastAsia="宋体" w:hint="eastAsia"/>
          <w:lang w:eastAsia="zh-CN"/>
        </w:rPr>
        <w:t xml:space="preserve"> in short time interval</w:t>
      </w:r>
      <w:r>
        <w:t>.</w:t>
      </w:r>
    </w:p>
    <w:p w14:paraId="28F80A10" w14:textId="77777777" w:rsidR="003D1C4C" w:rsidRDefault="00000000">
      <w:pPr>
        <w:pStyle w:val="a0"/>
        <w:spacing w:after="50" w:line="247" w:lineRule="auto"/>
      </w:pPr>
      <w:r>
        <w:t>NVIDIA describes four complementary mitigation methods: (1) reduce idle periods in software, (2) use energy storage, (3) burn power as a backstop, and (4) throttle GPU performance as a last resort.</w:t>
      </w:r>
    </w:p>
    <w:p w14:paraId="4EA6D0A5" w14:textId="77777777" w:rsidR="003D1C4C" w:rsidRDefault="00000000">
      <w:pPr>
        <w:pStyle w:val="a0"/>
        <w:spacing w:after="50" w:line="247" w:lineRule="auto"/>
      </w:pPr>
      <w:r>
        <w:t>Best practice is to absorb most swings with storage close to the GPU, minimizing data-center slew rates and RMS-current losses; burn power and throttling remain corner-case backstops.</w:t>
      </w:r>
    </w:p>
    <w:p w14:paraId="709F29B2" w14:textId="77777777" w:rsidR="003D1C4C" w:rsidRDefault="00000000">
      <w:pPr>
        <w:pStyle w:val="a0"/>
        <w:spacing w:after="50" w:line="247" w:lineRule="auto"/>
      </w:pPr>
      <w:r>
        <w:t>Three relevant timescales: up to ~100 ms for GPU overshoot / idle events; ~1-5 s for checkpointing; minutes for full workload ramp-up / ramp-down. Storage technology should be selected accordingly.</w:t>
      </w:r>
    </w:p>
    <w:p w14:paraId="250F971D" w14:textId="77777777" w:rsidR="003D1C4C" w:rsidRDefault="00000000">
      <w:pPr>
        <w:spacing w:before="160" w:after="80"/>
      </w:pPr>
      <w:r>
        <w:rPr>
          <w:b/>
          <w:color w:val="1E375A"/>
          <w:sz w:val="28"/>
        </w:rPr>
        <w:t>3. Why 800 VDC</w:t>
      </w:r>
      <w:r>
        <w:rPr>
          <w:i/>
          <w:color w:val="5A5A5A"/>
          <w:sz w:val="20"/>
        </w:rPr>
        <w:t xml:space="preserve">  |  Higher voltage moves more power through less copper and with fewer conversion stages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3D1C4C" w14:paraId="71602A58" w14:textId="77777777">
        <w:trPr>
          <w:jc w:val="center"/>
        </w:trPr>
        <w:tc>
          <w:tcPr>
            <w:tcW w:w="2592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24FA57" w14:textId="77777777" w:rsidR="003D1C4C" w:rsidRDefault="00000000">
            <w:r>
              <w:rPr>
                <w:sz w:val="16"/>
              </w:rPr>
              <w:t>Voltage</w:t>
            </w:r>
          </w:p>
        </w:tc>
        <w:tc>
          <w:tcPr>
            <w:tcW w:w="2592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A4CE65" w14:textId="77777777" w:rsidR="003D1C4C" w:rsidRDefault="00000000">
            <w:r>
              <w:rPr>
                <w:sz w:val="16"/>
              </w:rPr>
              <w:t>Conductors</w:t>
            </w:r>
          </w:p>
        </w:tc>
        <w:tc>
          <w:tcPr>
            <w:tcW w:w="2592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8EDD06" w14:textId="77777777" w:rsidR="003D1C4C" w:rsidRDefault="00000000">
            <w:r>
              <w:rPr>
                <w:sz w:val="16"/>
              </w:rPr>
              <w:t>Power / cable area</w:t>
            </w:r>
          </w:p>
        </w:tc>
        <w:tc>
          <w:tcPr>
            <w:tcW w:w="2592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C1EAF8" w14:textId="77777777" w:rsidR="003D1C4C" w:rsidRDefault="00000000">
            <w:r>
              <w:rPr>
                <w:sz w:val="16"/>
              </w:rPr>
              <w:t>vs. 415 VAC</w:t>
            </w:r>
          </w:p>
        </w:tc>
      </w:tr>
      <w:tr w:rsidR="003D1C4C" w14:paraId="0B1F235F" w14:textId="77777777">
        <w:trPr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4574B9" w14:textId="77777777" w:rsidR="003D1C4C" w:rsidRDefault="00000000">
            <w:r>
              <w:rPr>
                <w:sz w:val="16"/>
              </w:rPr>
              <w:t>415 VAC</w:t>
            </w:r>
          </w:p>
        </w:tc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9B8F56" w14:textId="77777777" w:rsidR="003D1C4C" w:rsidRDefault="00000000">
            <w:r>
              <w:rPr>
                <w:sz w:val="16"/>
              </w:rPr>
              <w:t>4</w:t>
            </w:r>
          </w:p>
        </w:tc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D69D93" w14:textId="77777777" w:rsidR="003D1C4C" w:rsidRDefault="00000000">
            <w:r>
              <w:rPr>
                <w:sz w:val="16"/>
              </w:rPr>
              <w:t>0.6 kW/mm²</w:t>
            </w:r>
          </w:p>
        </w:tc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67E73E" w14:textId="77777777" w:rsidR="003D1C4C" w:rsidRDefault="00000000">
            <w:r>
              <w:rPr>
                <w:sz w:val="16"/>
              </w:rPr>
              <w:t>-</w:t>
            </w:r>
          </w:p>
        </w:tc>
      </w:tr>
      <w:tr w:rsidR="003D1C4C" w14:paraId="1684F0DD" w14:textId="77777777">
        <w:trPr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9CB214" w14:textId="77777777" w:rsidR="003D1C4C" w:rsidRDefault="00000000">
            <w:r>
              <w:rPr>
                <w:sz w:val="16"/>
              </w:rPr>
              <w:t>480 VAC</w:t>
            </w:r>
          </w:p>
        </w:tc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87671" w14:textId="77777777" w:rsidR="003D1C4C" w:rsidRDefault="00000000">
            <w:r>
              <w:rPr>
                <w:sz w:val="16"/>
              </w:rPr>
              <w:t>4</w:t>
            </w:r>
          </w:p>
        </w:tc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94AA57" w14:textId="77777777" w:rsidR="003D1C4C" w:rsidRDefault="00000000">
            <w:r>
              <w:rPr>
                <w:sz w:val="16"/>
              </w:rPr>
              <w:t>0.8 kW/mm²</w:t>
            </w:r>
          </w:p>
        </w:tc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57848C" w14:textId="77777777" w:rsidR="003D1C4C" w:rsidRDefault="00000000">
            <w:r>
              <w:rPr>
                <w:sz w:val="16"/>
              </w:rPr>
              <w:t>+16%</w:t>
            </w:r>
          </w:p>
        </w:tc>
      </w:tr>
      <w:tr w:rsidR="003D1C4C" w14:paraId="331423F1" w14:textId="77777777">
        <w:trPr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190776" w14:textId="77777777" w:rsidR="003D1C4C" w:rsidRPr="00235338" w:rsidRDefault="00000000">
            <w:pPr>
              <w:rPr>
                <w:b/>
                <w:bCs/>
              </w:rPr>
            </w:pPr>
            <w:r w:rsidRPr="00235338">
              <w:rPr>
                <w:b/>
                <w:bCs/>
                <w:sz w:val="16"/>
              </w:rPr>
              <w:t>800 VDC</w:t>
            </w:r>
          </w:p>
        </w:tc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3FDDAF" w14:textId="77777777" w:rsidR="003D1C4C" w:rsidRPr="00235338" w:rsidRDefault="00000000">
            <w:pPr>
              <w:rPr>
                <w:b/>
                <w:bCs/>
              </w:rPr>
            </w:pPr>
            <w:r w:rsidRPr="00235338">
              <w:rPr>
                <w:b/>
                <w:bCs/>
                <w:sz w:val="16"/>
              </w:rPr>
              <w:t>3</w:t>
            </w:r>
          </w:p>
        </w:tc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2855AC" w14:textId="77777777" w:rsidR="003D1C4C" w:rsidRPr="00235338" w:rsidRDefault="00000000">
            <w:pPr>
              <w:rPr>
                <w:b/>
                <w:bCs/>
              </w:rPr>
            </w:pPr>
            <w:r w:rsidRPr="00235338">
              <w:rPr>
                <w:b/>
                <w:bCs/>
                <w:sz w:val="16"/>
              </w:rPr>
              <w:t>1.7 kW/mm²</w:t>
            </w:r>
          </w:p>
        </w:tc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B6BD3" w14:textId="77777777" w:rsidR="003D1C4C" w:rsidRPr="00235338" w:rsidRDefault="00000000">
            <w:pPr>
              <w:rPr>
                <w:b/>
                <w:bCs/>
              </w:rPr>
            </w:pPr>
            <w:r w:rsidRPr="00235338">
              <w:rPr>
                <w:b/>
                <w:bCs/>
                <w:sz w:val="16"/>
              </w:rPr>
              <w:t>+157%</w:t>
            </w:r>
          </w:p>
        </w:tc>
      </w:tr>
      <w:tr w:rsidR="003D1C4C" w14:paraId="7A41AD05" w14:textId="77777777">
        <w:trPr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B3A76C" w14:textId="77777777" w:rsidR="003D1C4C" w:rsidRDefault="00000000">
            <w:r>
              <w:rPr>
                <w:sz w:val="16"/>
              </w:rPr>
              <w:t>1500 VDC</w:t>
            </w:r>
          </w:p>
        </w:tc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2AB007" w14:textId="77777777" w:rsidR="003D1C4C" w:rsidRDefault="00000000">
            <w:r>
              <w:rPr>
                <w:sz w:val="16"/>
              </w:rPr>
              <w:t>3</w:t>
            </w:r>
          </w:p>
        </w:tc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AFD58E" w14:textId="77777777" w:rsidR="003D1C4C" w:rsidRDefault="00000000">
            <w:r>
              <w:rPr>
                <w:sz w:val="16"/>
              </w:rPr>
              <w:t>3.1 kW/mm²</w:t>
            </w:r>
          </w:p>
        </w:tc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A0A0B2" w14:textId="77777777" w:rsidR="003D1C4C" w:rsidRDefault="00000000">
            <w:r>
              <w:rPr>
                <w:sz w:val="16"/>
              </w:rPr>
              <w:t>+382%</w:t>
            </w:r>
          </w:p>
        </w:tc>
      </w:tr>
    </w:tbl>
    <w:p w14:paraId="44978949" w14:textId="4803AAFD" w:rsidR="003D1C4C" w:rsidRDefault="00000000">
      <w:pPr>
        <w:pStyle w:val="a0"/>
        <w:spacing w:after="50" w:line="247" w:lineRule="auto"/>
      </w:pPr>
      <w:r>
        <w:t>Compared with 54 VDC in-rack distribution and 480 VAC facility distribution, 800 VDC reduces current, copper usage and cable bulk.</w:t>
      </w:r>
    </w:p>
    <w:p w14:paraId="047A81BA" w14:textId="4FC382FA" w:rsidR="003D1C4C" w:rsidRDefault="00000000">
      <w:pPr>
        <w:pStyle w:val="a0"/>
        <w:spacing w:after="50" w:line="247" w:lineRule="auto"/>
      </w:pPr>
      <w:r>
        <w:t xml:space="preserve">At the rack level, NVIDIA takes 800 VDC directly to the compute node, then converts 800 VDC to 12 VDC close to the GPU using a 64:1 LLC converter and matrix transformer. </w:t>
      </w:r>
    </w:p>
    <w:p w14:paraId="6ACF65A1" w14:textId="77777777" w:rsidR="003D1C4C" w:rsidRDefault="00000000">
      <w:pPr>
        <w:pStyle w:val="a0"/>
        <w:spacing w:after="50" w:line="247" w:lineRule="auto"/>
      </w:pPr>
      <w:r>
        <w:t xml:space="preserve">Safety is built around touch-safe connectors, mechanical interlocks preventing disconnect </w:t>
      </w:r>
      <w:proofErr w:type="gramStart"/>
      <w:r>
        <w:t>under load</w:t>
      </w:r>
      <w:proofErr w:type="gramEnd"/>
      <w:r>
        <w:t>, reinforced isolation and DC-specific protection - drawing on mature EV practices.</w:t>
      </w:r>
    </w:p>
    <w:p w14:paraId="317AC002" w14:textId="77777777" w:rsidR="003D1C4C" w:rsidRDefault="00000000">
      <w:pPr>
        <w:spacing w:before="160" w:after="80"/>
      </w:pPr>
      <w:r>
        <w:rPr>
          <w:b/>
          <w:color w:val="1E375A"/>
          <w:sz w:val="28"/>
        </w:rPr>
        <w:t>4. Facility architecture evolution</w:t>
      </w:r>
      <w:r>
        <w:rPr>
          <w:i/>
          <w:color w:val="5A5A5A"/>
          <w:sz w:val="20"/>
        </w:rPr>
        <w:t xml:space="preserve">  |  From retrofit to native DC</w:t>
      </w:r>
    </w:p>
    <w:p w14:paraId="4D24E391" w14:textId="77777777" w:rsidR="003D1C4C" w:rsidRDefault="00000000">
      <w:pPr>
        <w:pStyle w:val="a0"/>
        <w:spacing w:after="50" w:line="247" w:lineRule="auto"/>
      </w:pPr>
      <w:r>
        <w:t>Today: MV step-down transformer -&gt; LV switchboard -&gt; AC UPS -&gt; PDU / RPP or busway -&gt; rack PSU -&gt; 54 VDC.</w:t>
      </w:r>
    </w:p>
    <w:p w14:paraId="1B3B1F86" w14:textId="40965E40" w:rsidR="003D1C4C" w:rsidRDefault="00000000">
      <w:pPr>
        <w:pStyle w:val="a0"/>
        <w:spacing w:after="50" w:line="247" w:lineRule="auto"/>
      </w:pPr>
      <w:r>
        <w:t>Near-term retrofit: add an 800 VDC side power rack next to compute racks. This is not the end-state optimum because it adds conversion stages</w:t>
      </w:r>
      <w:r w:rsidR="00702FD8">
        <w:rPr>
          <w:rFonts w:eastAsia="宋体" w:hint="eastAsia"/>
          <w:lang w:eastAsia="zh-CN"/>
        </w:rPr>
        <w:t xml:space="preserve"> (Less efficient)</w:t>
      </w:r>
      <w:r>
        <w:t>, but it enables higher rack density with minimal brownfield changes.</w:t>
      </w:r>
    </w:p>
    <w:p w14:paraId="7D9D7C51" w14:textId="77777777" w:rsidR="003D1C4C" w:rsidRDefault="00000000">
      <w:pPr>
        <w:pStyle w:val="a0"/>
        <w:spacing w:after="50" w:line="247" w:lineRule="auto"/>
      </w:pPr>
      <w:r>
        <w:t>Longer term: MV rectifiers or SSTs convert medium-voltage AC (e.g., 35 kV) directly to 800 VDC, removing the conventional 480 VAC layer. NVIDIA views MV rectifiers as the more mature near-term path; multi-MW SSTs still face reliability and thermal/electrical-density challenges.</w:t>
      </w:r>
    </w:p>
    <w:p w14:paraId="1DB73B52" w14:textId="77777777" w:rsidR="003D1C4C" w:rsidRDefault="00000000">
      <w:r>
        <w:br w:type="page"/>
      </w:r>
    </w:p>
    <w:p w14:paraId="196B7110" w14:textId="77777777" w:rsidR="003D1C4C" w:rsidRDefault="00000000">
      <w:pPr>
        <w:spacing w:before="160" w:after="80"/>
      </w:pPr>
      <w:r>
        <w:rPr>
          <w:b/>
          <w:color w:val="1E375A"/>
          <w:sz w:val="28"/>
        </w:rPr>
        <w:lastRenderedPageBreak/>
        <w:t>5. Grid interconnection and storage placement</w:t>
      </w:r>
      <w:r>
        <w:rPr>
          <w:i/>
          <w:color w:val="5A5A5A"/>
          <w:sz w:val="20"/>
        </w:rPr>
        <w:t xml:space="preserve">  |  AI Factories must become controllable electrical loads</w:t>
      </w:r>
    </w:p>
    <w:p w14:paraId="49DD3619" w14:textId="77777777" w:rsidR="003D1C4C" w:rsidRDefault="00000000">
      <w:pPr>
        <w:pStyle w:val="a0"/>
        <w:spacing w:after="50" w:line="247" w:lineRule="auto"/>
      </w:pPr>
      <w:proofErr w:type="gramStart"/>
      <w:r>
        <w:t>Large synchronized</w:t>
      </w:r>
      <w:proofErr w:type="gramEnd"/>
      <w:r>
        <w:t xml:space="preserve"> GPU clusters can create </w:t>
      </w:r>
      <w:r w:rsidRPr="00702FD8">
        <w:rPr>
          <w:b/>
          <w:bCs/>
        </w:rPr>
        <w:t>rapid voltage and frequency deviations</w:t>
      </w:r>
      <w:r>
        <w:t>. Utilities therefore increasingly require load flexibility, controllability and predictability before approving interconnection.</w:t>
      </w:r>
    </w:p>
    <w:p w14:paraId="46713B44" w14:textId="23735E07" w:rsidR="003D1C4C" w:rsidRDefault="00000000">
      <w:pPr>
        <w:pStyle w:val="a0"/>
        <w:spacing w:after="50" w:line="247" w:lineRule="auto"/>
      </w:pPr>
      <w:r>
        <w:t>Required capabilities include fast energy storage, GPU/workload pacing, coordinated compute + storage + facility controls, ramp-rate management, transient stability, harmonics/flicker control and voltage ride-through</w:t>
      </w:r>
      <w:r w:rsidR="00E36D68">
        <w:rPr>
          <w:rFonts w:eastAsia="宋体" w:hint="eastAsia"/>
          <w:lang w:eastAsia="zh-CN"/>
        </w:rPr>
        <w:t>, etc.</w:t>
      </w:r>
    </w:p>
    <w:p w14:paraId="00FB85E9" w14:textId="6D427E7A" w:rsidR="003D1C4C" w:rsidRDefault="00000000">
      <w:pPr>
        <w:pStyle w:val="a0"/>
        <w:spacing w:after="50" w:line="247" w:lineRule="auto"/>
      </w:pPr>
      <w:r>
        <w:t xml:space="preserve">Storage is deployed at both </w:t>
      </w:r>
      <w:proofErr w:type="gramStart"/>
      <w:r w:rsidR="00E36D68">
        <w:t>ends</w:t>
      </w:r>
      <w:r w:rsidR="00E36D68">
        <w:rPr>
          <w:rFonts w:eastAsia="宋体" w:hint="eastAsia"/>
          <w:lang w:eastAsia="zh-CN"/>
        </w:rPr>
        <w:t>:</w:t>
      </w:r>
      <w:proofErr w:type="gramEnd"/>
      <w:r w:rsidR="00E36D68">
        <w:rPr>
          <w:rFonts w:eastAsia="宋体" w:hint="eastAsia"/>
          <w:lang w:eastAsia="zh-CN"/>
        </w:rPr>
        <w:t xml:space="preserve"> </w:t>
      </w:r>
      <w:r>
        <w:t>facility/grid-side BESS for slower, larger-scale averaging and transfer support; short-duration capacitors near racks for fast power smoothing and slew-rate control.</w:t>
      </w:r>
    </w:p>
    <w:p w14:paraId="4C4CE5D4" w14:textId="77777777" w:rsidR="003D1C4C" w:rsidRPr="002278AB" w:rsidRDefault="00000000">
      <w:pPr>
        <w:pStyle w:val="a0"/>
        <w:spacing w:after="50" w:line="247" w:lineRule="auto"/>
      </w:pPr>
      <w:r>
        <w:t>Longer term, NVIDIA frames AI Factories as potential grid-supporting assets: they can absorb excess power, deliver supplemental power during stress, and support voltage/frequency stability through coordinated controls.</w:t>
      </w:r>
    </w:p>
    <w:p w14:paraId="1B5845D8" w14:textId="55604334" w:rsidR="002278AB" w:rsidRDefault="002278AB">
      <w:pPr>
        <w:pStyle w:val="a0"/>
        <w:spacing w:after="50" w:line="247" w:lineRule="auto"/>
      </w:pPr>
      <w:r>
        <w:rPr>
          <w:rFonts w:eastAsia="宋体"/>
          <w:lang w:eastAsia="zh-CN"/>
        </w:rPr>
        <w:t>Personal</w:t>
      </w:r>
      <w:r>
        <w:rPr>
          <w:rFonts w:eastAsia="宋体" w:hint="eastAsia"/>
          <w:lang w:eastAsia="zh-CN"/>
        </w:rPr>
        <w:t xml:space="preserve"> Notes</w:t>
      </w:r>
      <w:r>
        <w:rPr>
          <w:rFonts w:eastAsia="宋体" w:hint="eastAsia"/>
          <w:lang w:eastAsia="zh-CN"/>
        </w:rPr>
        <w:t>：</w:t>
      </w:r>
      <w:r>
        <w:rPr>
          <w:rFonts w:eastAsia="宋体" w:hint="eastAsia"/>
          <w:lang w:eastAsia="zh-CN"/>
        </w:rPr>
        <w:t xml:space="preserve">Another bottleneck to keep in mind </w:t>
      </w:r>
      <w:r>
        <w:rPr>
          <w:rFonts w:eastAsia="宋体"/>
          <w:lang w:eastAsia="zh-CN"/>
        </w:rPr>
        <w:t>is that</w:t>
      </w:r>
      <w:r>
        <w:rPr>
          <w:rFonts w:eastAsia="宋体" w:hint="eastAsia"/>
          <w:lang w:eastAsia="zh-CN"/>
        </w:rPr>
        <w:t xml:space="preserve"> upgrades to existing data centers may require more </w:t>
      </w:r>
      <w:r>
        <w:rPr>
          <w:rFonts w:eastAsia="宋体"/>
          <w:lang w:eastAsia="zh-CN"/>
        </w:rPr>
        <w:t>transformers</w:t>
      </w:r>
      <w:r>
        <w:rPr>
          <w:rFonts w:eastAsia="宋体" w:hint="eastAsia"/>
          <w:lang w:eastAsia="zh-CN"/>
        </w:rPr>
        <w:t xml:space="preserve"> than expected, due to </w:t>
      </w:r>
      <w:r w:rsidRPr="002278AB">
        <w:rPr>
          <w:rFonts w:eastAsia="宋体"/>
          <w:lang w:eastAsia="zh-CN"/>
        </w:rPr>
        <w:t xml:space="preserve">US bulk power grid </w:t>
      </w:r>
      <w:r w:rsidRPr="002278AB">
        <w:rPr>
          <w:rFonts w:eastAsia="宋体"/>
          <w:lang w:eastAsia="zh-CN"/>
        </w:rPr>
        <w:t>equipment</w:t>
      </w:r>
      <w:r w:rsidRPr="002278AB">
        <w:rPr>
          <w:rFonts w:eastAsia="宋体"/>
          <w:lang w:eastAsia="zh-CN"/>
        </w:rPr>
        <w:t xml:space="preserve"> aging: 70% of transformers have been in service for more than 25 years. Spare capacity stands at only 20%, leaving no redundant buffer to absorb frequent and large load swings.</w:t>
      </w:r>
    </w:p>
    <w:p w14:paraId="3D19D9F9" w14:textId="77777777" w:rsidR="003D1C4C" w:rsidRDefault="00000000">
      <w:pPr>
        <w:spacing w:before="160" w:after="80"/>
      </w:pPr>
      <w:r>
        <w:rPr>
          <w:b/>
          <w:color w:val="1E375A"/>
          <w:sz w:val="28"/>
        </w:rPr>
        <w:t>6. Voltage alternatives and industry implications</w:t>
      </w:r>
      <w:r>
        <w:rPr>
          <w:i/>
          <w:color w:val="5A5A5A"/>
          <w:sz w:val="20"/>
        </w:rPr>
        <w:t xml:space="preserve">  |  Why 800 VDC is the near-term convergence point</w:t>
      </w:r>
    </w:p>
    <w:p w14:paraId="23CBF03D" w14:textId="77777777" w:rsidR="003D1C4C" w:rsidRDefault="00000000">
      <w:pPr>
        <w:pStyle w:val="a0"/>
        <w:spacing w:after="50" w:line="247" w:lineRule="auto"/>
      </w:pPr>
      <w:r>
        <w:t>750 VDC: mature European industrial approach with a simplified two-wire system and compatibility with many 1000 V-class components.</w:t>
      </w:r>
    </w:p>
    <w:p w14:paraId="61CC1246" w14:textId="77777777" w:rsidR="003D1C4C" w:rsidRDefault="00000000">
      <w:pPr>
        <w:pStyle w:val="a0"/>
        <w:spacing w:after="50" w:line="247" w:lineRule="auto"/>
      </w:pPr>
      <w:r>
        <w:t>+/-400 VDC: technically feasible and supported by OCP heritage, but midpoint grounding, protection and balancing become more complex at data-center scale.</w:t>
      </w:r>
    </w:p>
    <w:p w14:paraId="6CE5F785" w14:textId="77777777" w:rsidR="003D1C4C" w:rsidRDefault="00000000">
      <w:pPr>
        <w:pStyle w:val="a0"/>
        <w:spacing w:after="50" w:line="247" w:lineRule="auto"/>
      </w:pPr>
      <w:r>
        <w:t>1500 VDC: attractive for long-term conductor efficiency, but data-center indoor safety standards, certified components, clearance/creepage requirements and arc-flash controls are not yet as mature.</w:t>
      </w:r>
    </w:p>
    <w:p w14:paraId="4D559F54" w14:textId="7AFA9AD4" w:rsidR="003D1C4C" w:rsidRDefault="00000000">
      <w:pPr>
        <w:pStyle w:val="a0"/>
        <w:spacing w:after="50" w:line="247" w:lineRule="auto"/>
      </w:pPr>
      <w:r>
        <w:t>800 VDC therefore balances efficiency, equipment availability</w:t>
      </w:r>
      <w:r w:rsidR="00E36D68">
        <w:rPr>
          <w:rFonts w:eastAsia="宋体" w:hint="eastAsia"/>
          <w:lang w:eastAsia="zh-CN"/>
        </w:rPr>
        <w:t xml:space="preserve"> ( Adopted by EV industry )</w:t>
      </w:r>
      <w:r>
        <w:t>, protection simplicity and regulatory practicality, while preserving a pathway to higher voltages later.</w:t>
      </w:r>
    </w:p>
    <w:p w14:paraId="68CE36A6" w14:textId="77777777" w:rsidR="003D1C4C" w:rsidRDefault="00000000">
      <w:pPr>
        <w:spacing w:before="160" w:after="80"/>
      </w:pPr>
      <w:r>
        <w:rPr>
          <w:b/>
          <w:color w:val="1E375A"/>
          <w:sz w:val="28"/>
        </w:rPr>
        <w:t>7. What needs to mature in the ecosystem</w:t>
      </w:r>
      <w:r>
        <w:rPr>
          <w:i/>
          <w:color w:val="5A5A5A"/>
          <w:sz w:val="20"/>
        </w:rPr>
        <w:t xml:space="preserve">  |  The shift creates a new DC-native component stack</w:t>
      </w:r>
    </w:p>
    <w:p w14:paraId="4A13760A" w14:textId="77777777" w:rsidR="003D1C4C" w:rsidRDefault="00000000">
      <w:pPr>
        <w:pStyle w:val="a0"/>
        <w:spacing w:after="50" w:line="247" w:lineRule="auto"/>
      </w:pPr>
      <w:r w:rsidRPr="00E36D68">
        <w:rPr>
          <w:b/>
          <w:bCs/>
        </w:rPr>
        <w:t xml:space="preserve">Standardization: </w:t>
      </w:r>
      <w:r>
        <w:t>common voltage windows, connector interfaces and current ratings.</w:t>
      </w:r>
    </w:p>
    <w:p w14:paraId="67A44183" w14:textId="77777777" w:rsidR="003D1C4C" w:rsidRDefault="00000000">
      <w:pPr>
        <w:pStyle w:val="a0"/>
        <w:spacing w:after="50" w:line="247" w:lineRule="auto"/>
      </w:pPr>
      <w:r w:rsidRPr="00E36D68">
        <w:rPr>
          <w:b/>
          <w:bCs/>
        </w:rPr>
        <w:t>DC-native equipment:</w:t>
      </w:r>
      <w:r>
        <w:t xml:space="preserve"> rectifiers, distribution boards, breakers/protection, cabling, connectors, transfer-trip schemes and metering.</w:t>
      </w:r>
    </w:p>
    <w:p w14:paraId="23721D4D" w14:textId="77777777" w:rsidR="003D1C4C" w:rsidRDefault="00000000">
      <w:pPr>
        <w:pStyle w:val="a0"/>
        <w:spacing w:after="50" w:line="247" w:lineRule="auto"/>
      </w:pPr>
      <w:r w:rsidRPr="00E36D68">
        <w:rPr>
          <w:b/>
          <w:bCs/>
        </w:rPr>
        <w:t>Safety and operations</w:t>
      </w:r>
      <w:r>
        <w:t>: grounding, fault isolation, arc-flash mitigation, maintenance procedures and technician training.</w:t>
      </w:r>
    </w:p>
    <w:p w14:paraId="4665D422" w14:textId="1A848D36" w:rsidR="003D1C4C" w:rsidRDefault="003D1C4C">
      <w:pPr>
        <w:spacing w:before="160" w:after="0"/>
      </w:pPr>
    </w:p>
    <w:sectPr w:rsidR="003D1C4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EE8F7" w14:textId="77777777" w:rsidR="008228B1" w:rsidRDefault="008228B1">
      <w:pPr>
        <w:spacing w:after="0" w:line="240" w:lineRule="auto"/>
      </w:pPr>
      <w:r>
        <w:separator/>
      </w:r>
    </w:p>
  </w:endnote>
  <w:endnote w:type="continuationSeparator" w:id="0">
    <w:p w14:paraId="7080B6D9" w14:textId="77777777" w:rsidR="008228B1" w:rsidRDefault="00822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5E29" w14:textId="4FCBC700" w:rsidR="003D1C4C" w:rsidRDefault="003D1C4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4C511" w14:textId="77777777" w:rsidR="008228B1" w:rsidRDefault="008228B1">
      <w:pPr>
        <w:spacing w:after="0" w:line="240" w:lineRule="auto"/>
      </w:pPr>
      <w:r>
        <w:separator/>
      </w:r>
    </w:p>
  </w:footnote>
  <w:footnote w:type="continuationSeparator" w:id="0">
    <w:p w14:paraId="67E27E2D" w14:textId="77777777" w:rsidR="008228B1" w:rsidRDefault="008228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7DBBF" w14:textId="463AEBD0" w:rsidR="003D1C4C" w:rsidRDefault="003D1C4C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931571">
    <w:abstractNumId w:val="8"/>
  </w:num>
  <w:num w:numId="2" w16cid:durableId="847017048">
    <w:abstractNumId w:val="6"/>
  </w:num>
  <w:num w:numId="3" w16cid:durableId="902956675">
    <w:abstractNumId w:val="5"/>
  </w:num>
  <w:num w:numId="4" w16cid:durableId="1750956527">
    <w:abstractNumId w:val="4"/>
  </w:num>
  <w:num w:numId="5" w16cid:durableId="775177756">
    <w:abstractNumId w:val="7"/>
  </w:num>
  <w:num w:numId="6" w16cid:durableId="948391700">
    <w:abstractNumId w:val="3"/>
  </w:num>
  <w:num w:numId="7" w16cid:durableId="1732532050">
    <w:abstractNumId w:val="2"/>
  </w:num>
  <w:num w:numId="8" w16cid:durableId="1831406167">
    <w:abstractNumId w:val="1"/>
  </w:num>
  <w:num w:numId="9" w16cid:durableId="116231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8AB"/>
    <w:rsid w:val="00235338"/>
    <w:rsid w:val="0029639D"/>
    <w:rsid w:val="00326F90"/>
    <w:rsid w:val="0034495B"/>
    <w:rsid w:val="00360D6B"/>
    <w:rsid w:val="003D1C4C"/>
    <w:rsid w:val="0068744E"/>
    <w:rsid w:val="00702FD8"/>
    <w:rsid w:val="007251A2"/>
    <w:rsid w:val="008228B1"/>
    <w:rsid w:val="00AA1D8D"/>
    <w:rsid w:val="00B47730"/>
    <w:rsid w:val="00CB0664"/>
    <w:rsid w:val="00E36D68"/>
    <w:rsid w:val="00E852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CF0A3"/>
  <w14:defaultImageDpi w14:val="300"/>
  <w15:docId w15:val="{725D3275-8D41-4B5A-BDD7-BCAA4318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75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75A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18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vidia.com/en-us/data-center/technologies/800-vdc-architectur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Yang</cp:lastModifiedBy>
  <cp:revision>4</cp:revision>
  <dcterms:created xsi:type="dcterms:W3CDTF">2013-12-23T23:15:00Z</dcterms:created>
  <dcterms:modified xsi:type="dcterms:W3CDTF">2026-09-14T01:39:00Z</dcterms:modified>
  <cp:category/>
</cp:coreProperties>
</file>