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BF88" w14:textId="77777777" w:rsidR="002F3A9C" w:rsidRDefault="00000000">
      <w:pPr>
        <w:pStyle w:val="aa"/>
      </w:pPr>
      <w:r>
        <w:t>Inside the 800VDC Revolution - Part 1</w:t>
      </w:r>
    </w:p>
    <w:p w14:paraId="304EB58D" w14:textId="77777777" w:rsidR="002F3A9C" w:rsidRDefault="00000000">
      <w:r>
        <w:rPr>
          <w:b/>
          <w:color w:val="E89537"/>
          <w:sz w:val="30"/>
        </w:rPr>
        <w:t>Key Reading Notes</w:t>
      </w:r>
    </w:p>
    <w:p w14:paraId="5697B76A" w14:textId="77777777" w:rsidR="002F3A9C" w:rsidRDefault="00000000">
      <w:pPr>
        <w:pStyle w:val="SourceNote"/>
      </w:pPr>
      <w:r>
        <w:t xml:space="preserve">Based on </w:t>
      </w:r>
      <w:proofErr w:type="spellStart"/>
      <w:r>
        <w:t>SemiAnalysis</w:t>
      </w:r>
      <w:proofErr w:type="spellEnd"/>
      <w:r>
        <w:t>, 26 May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2F3A9C" w14:paraId="06C4FB58" w14:textId="77777777">
        <w:tc>
          <w:tcPr>
            <w:tcW w:w="10454" w:type="dxa"/>
            <w:shd w:val="clear" w:color="auto" w:fill="F7F3E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A49D01" w14:textId="77777777" w:rsidR="00E261B6" w:rsidRDefault="00E261B6" w:rsidP="00E261B6">
            <w:r>
              <w:rPr>
                <w:b/>
                <w:color w:val="E89537"/>
              </w:rPr>
              <w:t>WHAT TO REMEMBER</w:t>
            </w:r>
          </w:p>
          <w:p w14:paraId="0B4A586A" w14:textId="77777777" w:rsidR="002F3A9C" w:rsidRDefault="00E261B6" w:rsidP="00E261B6">
            <w:pPr>
              <w:rPr>
                <w:rFonts w:eastAsia="宋体"/>
                <w:lang w:eastAsia="zh-CN"/>
              </w:rPr>
            </w:pPr>
            <w:r>
              <w:rPr>
                <w:b/>
              </w:rPr>
              <w:t>Semi</w:t>
            </w:r>
            <w:r>
              <w:rPr>
                <w:rFonts w:eastAsia="宋体" w:hint="eastAsia"/>
                <w:b/>
                <w:lang w:eastAsia="zh-CN"/>
              </w:rPr>
              <w:t xml:space="preserve"> </w:t>
            </w:r>
            <w:r>
              <w:rPr>
                <w:b/>
              </w:rPr>
              <w:t>Analysis sees 800V DC as a staged redesign of the entire AI data</w:t>
            </w:r>
            <w:r>
              <w:rPr>
                <w:rFonts w:eastAsia="宋体" w:hint="eastAsia"/>
                <w:b/>
                <w:lang w:eastAsia="zh-CN"/>
              </w:rPr>
              <w:t xml:space="preserve"> </w:t>
            </w:r>
            <w:r>
              <w:rPr>
                <w:b/>
              </w:rPr>
              <w:t>cent</w:t>
            </w:r>
            <w:r>
              <w:rPr>
                <w:rFonts w:eastAsia="宋体" w:hint="eastAsia"/>
                <w:b/>
                <w:lang w:eastAsia="zh-CN"/>
              </w:rPr>
              <w:t>er</w:t>
            </w:r>
            <w:r>
              <w:rPr>
                <w:b/>
              </w:rPr>
              <w:t xml:space="preserve"> power chain, not a single voltage change. </w:t>
            </w:r>
            <w:r>
              <w:t>The near-term opportunity is the HVDC sidecar; the structural change comes when 800V DC becomes facility-wide; the long-term prize is the SST. Across all phases, the more important question is where conversion, storage, protection and distribution functions move - and which suppliers capture those relocated value pools.</w:t>
            </w:r>
          </w:p>
          <w:p w14:paraId="19F8D180" w14:textId="77777777" w:rsidR="004921BC" w:rsidRDefault="004921BC" w:rsidP="00E261B6">
            <w:pPr>
              <w:rPr>
                <w:rFonts w:eastAsia="宋体"/>
                <w:lang w:eastAsia="zh-CN"/>
              </w:rPr>
            </w:pPr>
          </w:p>
          <w:p w14:paraId="43B16037" w14:textId="608BF308" w:rsidR="004921BC" w:rsidRPr="004921BC" w:rsidRDefault="004921BC" w:rsidP="00E261B6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Source: </w:t>
            </w:r>
            <w:hyperlink r:id="rId8" w:history="1">
              <w:r w:rsidRPr="004921BC">
                <w:rPr>
                  <w:rStyle w:val="aff9"/>
                  <w:rFonts w:eastAsia="宋体"/>
                  <w:lang w:eastAsia="zh-CN"/>
                </w:rPr>
                <w:t>Inside th</w:t>
              </w:r>
              <w:r w:rsidRPr="004921BC">
                <w:rPr>
                  <w:rStyle w:val="aff9"/>
                  <w:rFonts w:eastAsia="宋体"/>
                  <w:lang w:eastAsia="zh-CN"/>
                </w:rPr>
                <w:t>e</w:t>
              </w:r>
              <w:r w:rsidRPr="004921BC">
                <w:rPr>
                  <w:rStyle w:val="aff9"/>
                  <w:rFonts w:eastAsia="宋体"/>
                  <w:lang w:eastAsia="zh-CN"/>
                </w:rPr>
                <w:t xml:space="preserve"> 800VDC Revolution – Part 1</w:t>
              </w:r>
            </w:hyperlink>
          </w:p>
        </w:tc>
      </w:tr>
    </w:tbl>
    <w:p w14:paraId="4DEB1EE2" w14:textId="77777777" w:rsidR="002F3A9C" w:rsidRDefault="00000000">
      <w:pPr>
        <w:pStyle w:val="1"/>
      </w:pPr>
      <w:r>
        <w:t>Core takeaways</w:t>
      </w:r>
    </w:p>
    <w:p w14:paraId="500C9B9E" w14:textId="77777777" w:rsidR="002F3A9C" w:rsidRDefault="00000000">
      <w:pPr>
        <w:pStyle w:val="a0"/>
        <w:spacing w:after="48"/>
      </w:pPr>
      <w:r>
        <w:rPr>
          <w:b/>
        </w:rPr>
        <w:t>The transition is driven by rack density and system economics.</w:t>
      </w:r>
      <w:r>
        <w:t xml:space="preserve"> At ~600 kW-class racks, 48-54 V distribution becomes impractical because current, copper mass, heat and power-hardware volume rise sharply. </w:t>
      </w:r>
      <w:proofErr w:type="spellStart"/>
      <w:r>
        <w:t>SemiAnalysis</w:t>
      </w:r>
      <w:proofErr w:type="spellEnd"/>
      <w:r>
        <w:t xml:space="preserve"> </w:t>
      </w:r>
      <w:r w:rsidRPr="00602781">
        <w:rPr>
          <w:b/>
          <w:bCs/>
        </w:rPr>
        <w:t>estimates ~5%</w:t>
      </w:r>
      <w:r>
        <w:t xml:space="preserve"> facility-level power savings for the mature 800V DC architecture.</w:t>
      </w:r>
    </w:p>
    <w:p w14:paraId="0EBADC3C" w14:textId="5F6B9713" w:rsidR="002F3A9C" w:rsidRDefault="00000000">
      <w:pPr>
        <w:pStyle w:val="a0"/>
        <w:spacing w:after="48"/>
      </w:pPr>
      <w:r>
        <w:rPr>
          <w:b/>
        </w:rPr>
        <w:t xml:space="preserve">800V DC does not </w:t>
      </w:r>
      <w:proofErr w:type="gramStart"/>
      <w:r>
        <w:rPr>
          <w:b/>
        </w:rPr>
        <w:t>arrive</w:t>
      </w:r>
      <w:proofErr w:type="gramEnd"/>
      <w:r>
        <w:rPr>
          <w:b/>
        </w:rPr>
        <w:t xml:space="preserve"> all at once.</w:t>
      </w:r>
      <w:r>
        <w:t xml:space="preserve"> Phases 1-2 retrofit existing AC facilities using</w:t>
      </w:r>
      <w:r w:rsidRPr="00602781">
        <w:t xml:space="preserve"> an</w:t>
      </w:r>
      <w:r w:rsidRPr="00602781">
        <w:rPr>
          <w:b/>
          <w:bCs/>
        </w:rPr>
        <w:t xml:space="preserve"> HVDC power rack / sidecar</w:t>
      </w:r>
      <w:r>
        <w:t xml:space="preserve">; Phase 3 moves </w:t>
      </w:r>
      <w:r w:rsidRPr="00602781">
        <w:rPr>
          <w:b/>
          <w:bCs/>
        </w:rPr>
        <w:t>rectification upstream</w:t>
      </w:r>
      <w:r>
        <w:t xml:space="preserve"> and makes 800V DC the hall-level backbone; Phase 4 introduces </w:t>
      </w:r>
      <w:r w:rsidRPr="00602781">
        <w:rPr>
          <w:b/>
          <w:bCs/>
        </w:rPr>
        <w:t>MV</w:t>
      </w:r>
      <w:r w:rsidR="00602781">
        <w:rPr>
          <w:rFonts w:eastAsia="宋体" w:hint="eastAsia"/>
          <w:b/>
          <w:bCs/>
          <w:lang w:eastAsia="zh-CN"/>
        </w:rPr>
        <w:t xml:space="preserve"> </w:t>
      </w:r>
      <w:r w:rsidRPr="00602781">
        <w:rPr>
          <w:b/>
          <w:bCs/>
        </w:rPr>
        <w:t>SSTs</w:t>
      </w:r>
      <w:r>
        <w:t>.</w:t>
      </w:r>
    </w:p>
    <w:p w14:paraId="319FA97D" w14:textId="08EA335B" w:rsidR="002F3A9C" w:rsidRDefault="00000000">
      <w:pPr>
        <w:pStyle w:val="a0"/>
        <w:spacing w:after="48"/>
      </w:pPr>
      <w:r>
        <w:rPr>
          <w:b/>
        </w:rPr>
        <w:t>Phase 1 adds equipment rather than removing it.</w:t>
      </w:r>
      <w:r>
        <w:t xml:space="preserve"> The existing AC backbone largely remains, while a new HVDC power rack is added</w:t>
      </w:r>
      <w:r w:rsidR="00602781">
        <w:rPr>
          <w:rFonts w:eastAsia="宋体" w:hint="eastAsia"/>
          <w:lang w:eastAsia="zh-CN"/>
        </w:rPr>
        <w:t xml:space="preserve"> beside compute rack</w:t>
      </w:r>
      <w:r>
        <w:t xml:space="preserve">. </w:t>
      </w:r>
      <w:r w:rsidR="00602781">
        <w:t>Semi Analysis</w:t>
      </w:r>
      <w:r>
        <w:t xml:space="preserve"> estimates</w:t>
      </w:r>
      <w:r w:rsidR="00574AF3">
        <w:rPr>
          <w:rFonts w:eastAsia="宋体" w:hint="eastAsia"/>
          <w:lang w:eastAsia="zh-CN"/>
        </w:rPr>
        <w:t>:</w:t>
      </w:r>
      <w:r>
        <w:t xml:space="preserve"> sidecar TAM peaking around $11bn in 2028.</w:t>
      </w:r>
    </w:p>
    <w:p w14:paraId="5535E305" w14:textId="77777777" w:rsidR="002F3A9C" w:rsidRDefault="00000000">
      <w:pPr>
        <w:pStyle w:val="a0"/>
        <w:spacing w:after="48"/>
      </w:pPr>
      <w:r>
        <w:rPr>
          <w:b/>
        </w:rPr>
        <w:t>Phase 2 is the first major structural inflection.</w:t>
      </w:r>
      <w:r>
        <w:t xml:space="preserve"> 800V DC reaches the compute </w:t>
      </w:r>
      <w:proofErr w:type="gramStart"/>
      <w:r>
        <w:t>blade</w:t>
      </w:r>
      <w:proofErr w:type="gramEnd"/>
      <w:r>
        <w:t xml:space="preserve"> and the role of centralized LV UPS </w:t>
      </w:r>
      <w:proofErr w:type="gramStart"/>
      <w:r>
        <w:t>begins</w:t>
      </w:r>
      <w:proofErr w:type="gramEnd"/>
      <w:r>
        <w:t xml:space="preserve"> to decline. BBUs and supercapacitors move resilience and transient buffering closer to the load.</w:t>
      </w:r>
    </w:p>
    <w:p w14:paraId="0F532304" w14:textId="78012CF1" w:rsidR="002F3A9C" w:rsidRDefault="00000000">
      <w:pPr>
        <w:pStyle w:val="a0"/>
        <w:spacing w:after="48"/>
      </w:pPr>
      <w:r>
        <w:rPr>
          <w:b/>
        </w:rPr>
        <w:t>Phase 3 shifts the data hall from AC distribution to DC distribution.</w:t>
      </w:r>
      <w:r>
        <w:t xml:space="preserve"> LV AC switchgear, floor PDUs and parts of the AC busway chain are removed or redesigned; </w:t>
      </w:r>
      <w:r w:rsidR="00574AF3">
        <w:rPr>
          <w:rFonts w:eastAsia="宋体" w:hint="eastAsia"/>
          <w:lang w:eastAsia="zh-CN"/>
        </w:rPr>
        <w:t>MV</w:t>
      </w:r>
      <w:r>
        <w:t xml:space="preserve"> rectifiers, battery racks and DC protection become more important.</w:t>
      </w:r>
    </w:p>
    <w:p w14:paraId="03730F06" w14:textId="509DE6D6" w:rsidR="002F3A9C" w:rsidRDefault="00000000">
      <w:pPr>
        <w:pStyle w:val="a0"/>
        <w:spacing w:after="48"/>
      </w:pPr>
      <w:r>
        <w:rPr>
          <w:b/>
        </w:rPr>
        <w:t>Phase 4 is the SST end-state, but not yet mature.</w:t>
      </w:r>
      <w:r>
        <w:t xml:space="preserve"> SSTs combine MV step-down and rectification into one programmable power-electronics platform. </w:t>
      </w:r>
      <w:proofErr w:type="spellStart"/>
      <w:r>
        <w:t>SemiAnalysis</w:t>
      </w:r>
      <w:proofErr w:type="spellEnd"/>
      <w:r>
        <w:t xml:space="preserve"> expects meaningful adoption only from 2029 and sizes 2030 SST TAM at $32bn.</w:t>
      </w:r>
    </w:p>
    <w:p w14:paraId="7013FFFD" w14:textId="77777777" w:rsidR="002F3A9C" w:rsidRDefault="00000000">
      <w:pPr>
        <w:pStyle w:val="a0"/>
        <w:spacing w:after="48"/>
      </w:pPr>
      <w:r>
        <w:rPr>
          <w:b/>
        </w:rPr>
        <w:t>Total electrical spend per MW changes less than the equipment mix.</w:t>
      </w:r>
      <w:r>
        <w:t xml:space="preserve"> </w:t>
      </w:r>
      <w:proofErr w:type="spellStart"/>
      <w:r>
        <w:t>SemiAnalysis</w:t>
      </w:r>
      <w:proofErr w:type="spellEnd"/>
      <w:r>
        <w:t xml:space="preserve"> argues that value migrates across the chain: grey-space AC equipment loses share while white-space power electronics, storage and DC protection gain.</w:t>
      </w:r>
    </w:p>
    <w:p w14:paraId="4A50908F" w14:textId="77777777" w:rsidR="002F3A9C" w:rsidRPr="00602781" w:rsidRDefault="00000000">
      <w:pPr>
        <w:pStyle w:val="a0"/>
        <w:spacing w:after="48"/>
      </w:pPr>
      <w:r>
        <w:rPr>
          <w:b/>
        </w:rPr>
        <w:t>Execution constraints are material.</w:t>
      </w:r>
      <w:r>
        <w:t xml:space="preserve"> Safety, grounding, DC fault interruption, cooling / auxiliary AC loads, standards and grid-interconnection rules can slow </w:t>
      </w:r>
      <w:proofErr w:type="gramStart"/>
      <w:r>
        <w:t>adoption</w:t>
      </w:r>
      <w:proofErr w:type="gramEnd"/>
      <w:r>
        <w:t xml:space="preserve"> even if the core physics are compelling.</w:t>
      </w:r>
    </w:p>
    <w:p w14:paraId="3C71C94A" w14:textId="77777777" w:rsidR="00602781" w:rsidRDefault="00602781" w:rsidP="00602781">
      <w:pPr>
        <w:pStyle w:val="a0"/>
        <w:numPr>
          <w:ilvl w:val="0"/>
          <w:numId w:val="0"/>
        </w:numPr>
        <w:spacing w:after="48"/>
        <w:ind w:left="360" w:hanging="360"/>
        <w:rPr>
          <w:rFonts w:eastAsia="宋体"/>
          <w:lang w:eastAsia="zh-CN"/>
        </w:rPr>
      </w:pPr>
    </w:p>
    <w:p w14:paraId="6C28838B" w14:textId="40E17BF7" w:rsidR="00602781" w:rsidRPr="00602781" w:rsidRDefault="00602781" w:rsidP="00602781">
      <w:pPr>
        <w:pStyle w:val="a0"/>
        <w:numPr>
          <w:ilvl w:val="0"/>
          <w:numId w:val="0"/>
        </w:numPr>
        <w:spacing w:after="48"/>
        <w:ind w:left="360" w:hanging="360"/>
        <w:rPr>
          <w:rFonts w:eastAsia="宋体"/>
          <w:lang w:eastAsia="zh-CN"/>
        </w:rPr>
      </w:pPr>
      <w:r>
        <w:rPr>
          <w:noProof/>
        </w:rPr>
        <mc:AlternateContent>
          <mc:Choice Requires="wps">
            <w:drawing>
              <wp:inline distT="0" distB="0" distL="0" distR="0" wp14:anchorId="02B6F8E3" wp14:editId="4C9D12A7">
                <wp:extent cx="303530" cy="303530"/>
                <wp:effectExtent l="0" t="0" r="0" b="0"/>
                <wp:docPr id="588237274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DD2B1" id="矩形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18EA87C" w14:textId="77777777" w:rsidR="002F3A9C" w:rsidRDefault="00000000">
      <w:r>
        <w:br w:type="page"/>
      </w:r>
    </w:p>
    <w:p w14:paraId="68E27862" w14:textId="71A768DA" w:rsidR="002F3A9C" w:rsidRPr="00574AF3" w:rsidRDefault="00000000">
      <w:pPr>
        <w:pStyle w:val="1"/>
        <w:rPr>
          <w:rFonts w:eastAsia="宋体"/>
          <w:lang w:eastAsia="zh-CN"/>
        </w:rPr>
      </w:pPr>
      <w:r>
        <w:lastRenderedPageBreak/>
        <w:t>1. Why 800V DC becomes necessary</w:t>
      </w:r>
      <w:r w:rsidR="00574AF3">
        <w:rPr>
          <w:rFonts w:eastAsia="宋体" w:hint="eastAsia"/>
          <w:lang w:eastAsia="zh-CN"/>
        </w:rPr>
        <w:t xml:space="preserve"> for compute racks</w:t>
      </w:r>
    </w:p>
    <w:p w14:paraId="5331318D" w14:textId="69E0A905" w:rsidR="002F3A9C" w:rsidRDefault="00000000">
      <w:pPr>
        <w:pStyle w:val="a0"/>
        <w:spacing w:after="48"/>
      </w:pPr>
      <w:r>
        <w:rPr>
          <w:b/>
        </w:rPr>
        <w:t>Low-voltage current becomes the bottleneck.</w:t>
      </w:r>
      <w:r>
        <w:t xml:space="preserve"> At a fixed power level, higher voltage reduces current linearly. </w:t>
      </w:r>
      <w:r w:rsidR="00574AF3">
        <w:rPr>
          <w:rFonts w:eastAsia="宋体" w:hint="eastAsia"/>
          <w:lang w:eastAsia="zh-CN"/>
        </w:rPr>
        <w:t>For</w:t>
      </w:r>
      <w:r>
        <w:t xml:space="preserve"> 600 kW </w:t>
      </w:r>
      <w:r w:rsidR="00574AF3">
        <w:rPr>
          <w:rFonts w:eastAsia="宋体" w:hint="eastAsia"/>
          <w:lang w:eastAsia="zh-CN"/>
        </w:rPr>
        <w:t>rack</w:t>
      </w:r>
      <w:r>
        <w:t>: 54 V</w:t>
      </w:r>
      <w:r w:rsidR="00574AF3">
        <w:rPr>
          <w:rFonts w:eastAsia="宋体" w:hint="eastAsia"/>
          <w:lang w:eastAsia="zh-CN"/>
        </w:rPr>
        <w:t xml:space="preserve"> structure</w:t>
      </w:r>
      <w:r>
        <w:t xml:space="preserve"> requires </w:t>
      </w:r>
      <w:r w:rsidR="00574AF3">
        <w:rPr>
          <w:rFonts w:eastAsia="宋体" w:hint="eastAsia"/>
          <w:lang w:eastAsia="zh-CN"/>
        </w:rPr>
        <w:t xml:space="preserve">: </w:t>
      </w:r>
      <w:r>
        <w:t>11 kA</w:t>
      </w:r>
      <w:r w:rsidR="00574AF3">
        <w:rPr>
          <w:rFonts w:eastAsia="宋体" w:hint="eastAsia"/>
          <w:lang w:eastAsia="zh-CN"/>
        </w:rPr>
        <w:t xml:space="preserve">; </w:t>
      </w:r>
      <w:r>
        <w:t>800 V requires</w:t>
      </w:r>
      <w:r w:rsidR="00574AF3">
        <w:rPr>
          <w:rFonts w:eastAsia="宋体" w:hint="eastAsia"/>
          <w:lang w:eastAsia="zh-CN"/>
        </w:rPr>
        <w:t xml:space="preserve">: </w:t>
      </w:r>
      <w:r>
        <w:t>750 A</w:t>
      </w:r>
      <w:r w:rsidR="00574AF3">
        <w:rPr>
          <w:rFonts w:eastAsia="宋体" w:hint="eastAsia"/>
          <w:lang w:eastAsia="zh-CN"/>
        </w:rPr>
        <w:t>, meaning significant deduction of copper usage.</w:t>
      </w:r>
    </w:p>
    <w:p w14:paraId="2146C1EB" w14:textId="77777777" w:rsidR="002F3A9C" w:rsidRDefault="00000000">
      <w:pPr>
        <w:pStyle w:val="a0"/>
        <w:spacing w:after="48"/>
      </w:pPr>
      <w:r>
        <w:rPr>
          <w:b/>
        </w:rPr>
        <w:t xml:space="preserve">Copper and thermal constraints </w:t>
      </w:r>
      <w:proofErr w:type="gramStart"/>
      <w:r>
        <w:rPr>
          <w:b/>
        </w:rPr>
        <w:t>scale</w:t>
      </w:r>
      <w:proofErr w:type="gramEnd"/>
      <w:r>
        <w:rPr>
          <w:b/>
        </w:rPr>
        <w:t xml:space="preserve"> non-linearly.</w:t>
      </w:r>
      <w:r>
        <w:t xml:space="preserve"> Resistive losses scale with I²R. In practice, operators use the lower current to shrink conductors and busbars while still improving efficiency and reducing weight, heat and routing space.</w:t>
      </w:r>
    </w:p>
    <w:p w14:paraId="328A2A17" w14:textId="77777777" w:rsidR="002F3A9C" w:rsidRDefault="00000000">
      <w:pPr>
        <w:pStyle w:val="a0"/>
        <w:spacing w:after="48"/>
      </w:pPr>
      <w:r>
        <w:rPr>
          <w:b/>
        </w:rPr>
        <w:t>Power hardware starts to crowd out compute.</w:t>
      </w:r>
      <w:r>
        <w:t xml:space="preserve"> As rack power rises, low-voltage power shelves, busbars and cabling consume too much valuable rack volume. Moving to HVDC lets more of the rack remain dedicated to GPUs, networking and cooling.</w:t>
      </w:r>
    </w:p>
    <w:p w14:paraId="797D8666" w14:textId="59D7BB36" w:rsidR="002F3A9C" w:rsidRDefault="00000000">
      <w:pPr>
        <w:pStyle w:val="a0"/>
        <w:spacing w:after="48"/>
      </w:pPr>
      <w:r>
        <w:rPr>
          <w:b/>
        </w:rPr>
        <w:t>Density improves compute economics.</w:t>
      </w:r>
      <w:r>
        <w:t xml:space="preserve"> Larger scale-up domains depend on tightly packed compute. SemiAnalysis links denser racks to lower cost per token, making the electrical architecture an enabler of the compute architecture rather than a standalone facility choice.</w:t>
      </w:r>
      <w:r w:rsidR="00574AF3">
        <w:rPr>
          <w:rFonts w:eastAsia="宋体" w:hint="eastAsia"/>
          <w:lang w:eastAsia="zh-CN"/>
        </w:rPr>
        <w:t xml:space="preserve"> </w:t>
      </w:r>
    </w:p>
    <w:p w14:paraId="5F99F349" w14:textId="77777777" w:rsidR="002F3A9C" w:rsidRDefault="00000000">
      <w:pPr>
        <w:pStyle w:val="1"/>
      </w:pPr>
      <w:r>
        <w:t xml:space="preserve">2. Four-phase transition </w:t>
      </w:r>
      <w:proofErr w:type="gramStart"/>
      <w:r>
        <w:t>at a glance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2F3A9C" w14:paraId="3F45C778" w14:textId="77777777">
        <w:trPr>
          <w:jc w:val="center"/>
        </w:trPr>
        <w:tc>
          <w:tcPr>
            <w:tcW w:w="2091" w:type="dxa"/>
            <w:shd w:val="clear" w:color="auto" w:fill="151A2D"/>
          </w:tcPr>
          <w:p w14:paraId="301717A7" w14:textId="77777777" w:rsidR="002F3A9C" w:rsidRDefault="00000000">
            <w:r>
              <w:rPr>
                <w:b/>
                <w:color w:val="FFFFFF"/>
              </w:rPr>
              <w:t>Phase</w:t>
            </w:r>
          </w:p>
        </w:tc>
        <w:tc>
          <w:tcPr>
            <w:tcW w:w="2091" w:type="dxa"/>
            <w:shd w:val="clear" w:color="auto" w:fill="151A2D"/>
          </w:tcPr>
          <w:p w14:paraId="00F33D3C" w14:textId="77777777" w:rsidR="002F3A9C" w:rsidRDefault="00000000">
            <w:r>
              <w:rPr>
                <w:b/>
                <w:color w:val="FFFFFF"/>
              </w:rPr>
              <w:t>Timing</w:t>
            </w:r>
          </w:p>
        </w:tc>
        <w:tc>
          <w:tcPr>
            <w:tcW w:w="2091" w:type="dxa"/>
            <w:shd w:val="clear" w:color="auto" w:fill="151A2D"/>
          </w:tcPr>
          <w:p w14:paraId="0E80D8ED" w14:textId="77777777" w:rsidR="002F3A9C" w:rsidRDefault="00000000">
            <w:r>
              <w:rPr>
                <w:b/>
                <w:color w:val="FFFFFF"/>
              </w:rPr>
              <w:t>What changes</w:t>
            </w:r>
          </w:p>
        </w:tc>
        <w:tc>
          <w:tcPr>
            <w:tcW w:w="2091" w:type="dxa"/>
            <w:shd w:val="clear" w:color="auto" w:fill="151A2D"/>
          </w:tcPr>
          <w:p w14:paraId="000EC36F" w14:textId="77777777" w:rsidR="002F3A9C" w:rsidRDefault="00000000">
            <w:r>
              <w:rPr>
                <w:b/>
                <w:color w:val="FFFFFF"/>
              </w:rPr>
              <w:t>What remains</w:t>
            </w:r>
          </w:p>
        </w:tc>
        <w:tc>
          <w:tcPr>
            <w:tcW w:w="2091" w:type="dxa"/>
            <w:shd w:val="clear" w:color="auto" w:fill="151A2D"/>
          </w:tcPr>
          <w:p w14:paraId="516C354E" w14:textId="77777777" w:rsidR="002F3A9C" w:rsidRDefault="00000000">
            <w:r>
              <w:rPr>
                <w:b/>
                <w:color w:val="FFFFFF"/>
              </w:rPr>
              <w:t>Key implication</w:t>
            </w:r>
          </w:p>
        </w:tc>
      </w:tr>
      <w:tr w:rsidR="002F3A9C" w14:paraId="497CFA6B" w14:textId="77777777">
        <w:trPr>
          <w:jc w:val="center"/>
        </w:trPr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21318" w14:textId="77777777" w:rsidR="002F3A9C" w:rsidRDefault="00000000">
            <w:r>
              <w:rPr>
                <w:b/>
              </w:rPr>
              <w:t>1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A36B04" w14:textId="77777777" w:rsidR="002F3A9C" w:rsidRDefault="00000000">
            <w:r>
              <w:t>2026/27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4D567C" w14:textId="77777777" w:rsidR="002F3A9C" w:rsidRDefault="00000000">
            <w:r>
              <w:t>HVDC power rack converts AC to 800V DC near the rack.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FBD1AD" w14:textId="77777777" w:rsidR="002F3A9C" w:rsidRDefault="00000000">
            <w:r>
              <w:t>Most grey-space AC infrastructure; UPS remains.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A7B2A3" w14:textId="77777777" w:rsidR="002F3A9C" w:rsidRDefault="00000000">
            <w:r>
              <w:t>Retrofit / future-proofing; additive electrical content.</w:t>
            </w:r>
          </w:p>
        </w:tc>
      </w:tr>
      <w:tr w:rsidR="002F3A9C" w14:paraId="5A49C5EB" w14:textId="77777777">
        <w:trPr>
          <w:jc w:val="center"/>
        </w:trPr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9FC797" w14:textId="77777777" w:rsidR="002F3A9C" w:rsidRDefault="00000000">
            <w:r>
              <w:rPr>
                <w:b/>
              </w:rPr>
              <w:t>2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B8DB33" w14:textId="77777777" w:rsidR="002F3A9C" w:rsidRDefault="00000000">
            <w:r>
              <w:t>2027/28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BE0A38" w14:textId="77777777" w:rsidR="002F3A9C" w:rsidRDefault="00000000">
            <w:r>
              <w:t>800V DC becomes native to compute; DC/DC conversion moves onto / near the blade.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9AE641" w14:textId="77777777" w:rsidR="002F3A9C" w:rsidRDefault="00000000">
            <w:r>
              <w:t>Power rack retrofit remains because facility DC is not ready.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801245" w14:textId="77777777" w:rsidR="002F3A9C" w:rsidRDefault="00000000">
            <w:r>
              <w:t>UPS begins to lose its role; distributed storage grows.</w:t>
            </w:r>
          </w:p>
        </w:tc>
      </w:tr>
      <w:tr w:rsidR="002F3A9C" w14:paraId="7A9B897F" w14:textId="77777777">
        <w:trPr>
          <w:jc w:val="center"/>
        </w:trPr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AB4F1" w14:textId="77777777" w:rsidR="002F3A9C" w:rsidRDefault="00000000">
            <w:r>
              <w:rPr>
                <w:b/>
              </w:rPr>
              <w:t>3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3C62F4" w14:textId="77777777" w:rsidR="002F3A9C" w:rsidRDefault="00000000">
            <w:r>
              <w:t>Late 2028/29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AD2FF1" w14:textId="77777777" w:rsidR="002F3A9C" w:rsidRDefault="00000000">
            <w:r>
              <w:t>Central rectifier creates a facility-level 800V DC backbone.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14E96B" w14:textId="77777777" w:rsidR="002F3A9C" w:rsidRDefault="00000000">
            <w:r>
              <w:t>MV grid interface and LV transformer remain in the base case.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4BA8E8" w14:textId="77777777" w:rsidR="002F3A9C" w:rsidRDefault="00000000">
            <w:r>
              <w:t>LV AC distribution is replaced by DC distribution and protection.</w:t>
            </w:r>
          </w:p>
        </w:tc>
      </w:tr>
      <w:tr w:rsidR="002F3A9C" w14:paraId="78962E90" w14:textId="77777777">
        <w:trPr>
          <w:jc w:val="center"/>
        </w:trPr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F6B656" w14:textId="77777777" w:rsidR="002F3A9C" w:rsidRDefault="00000000">
            <w:r>
              <w:rPr>
                <w:b/>
              </w:rPr>
              <w:t>4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BDDBFC" w14:textId="77777777" w:rsidR="002F3A9C" w:rsidRDefault="00000000">
            <w:r>
              <w:t>&gt;2029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AD04C0" w14:textId="77777777" w:rsidR="002F3A9C" w:rsidRDefault="00000000">
            <w:r>
              <w:t>SST converts MV AC directly to 800V DC.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9C080E" w14:textId="77777777" w:rsidR="002F3A9C" w:rsidRDefault="00000000">
            <w:r>
              <w:t>Auxiliary AC bus for cooling / building loads remains.</w:t>
            </w:r>
          </w:p>
        </w:tc>
        <w:tc>
          <w:tcPr>
            <w:tcW w:w="209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EDC472" w14:textId="77777777" w:rsidR="002F3A9C" w:rsidRDefault="00000000">
            <w:r>
              <w:t>Transformer + rectifier collapse into one power-electronic platform.</w:t>
            </w:r>
          </w:p>
        </w:tc>
      </w:tr>
    </w:tbl>
    <w:p w14:paraId="348552E8" w14:textId="77777777" w:rsidR="002F3A9C" w:rsidRDefault="00000000">
      <w:pPr>
        <w:pStyle w:val="21"/>
      </w:pPr>
      <w:r>
        <w:t>Adoption outlook</w:t>
      </w:r>
    </w:p>
    <w:p w14:paraId="79CA6D36" w14:textId="77777777" w:rsidR="002F3A9C" w:rsidRDefault="00000000">
      <w:pPr>
        <w:pStyle w:val="a0"/>
        <w:spacing w:after="48"/>
      </w:pPr>
      <w:r>
        <w:t>SemiAnalysis forecasts ~39 GW of incremental capacity powered by 800V DC by 2030.</w:t>
      </w:r>
    </w:p>
    <w:p w14:paraId="65CCB623" w14:textId="77777777" w:rsidR="002F3A9C" w:rsidRDefault="00000000">
      <w:pPr>
        <w:pStyle w:val="a0"/>
        <w:spacing w:after="48"/>
      </w:pPr>
      <w:r>
        <w:t>Phases 1-2 are sidecar-heavy because the underlying facility remains AC-distributed.</w:t>
      </w:r>
    </w:p>
    <w:p w14:paraId="797450ED" w14:textId="77777777" w:rsidR="002F3A9C" w:rsidRDefault="00000000">
      <w:pPr>
        <w:pStyle w:val="a0"/>
        <w:spacing w:after="48"/>
      </w:pPr>
      <w:r>
        <w:t>The mix shifts around 2029 as facility-level HVDC and SST / MV-rectifier architectures become viable.</w:t>
      </w:r>
    </w:p>
    <w:p w14:paraId="7E5189BB" w14:textId="77777777" w:rsidR="002F3A9C" w:rsidRDefault="00000000">
      <w:pPr>
        <w:pStyle w:val="a0"/>
        <w:spacing w:after="48"/>
      </w:pPr>
      <w:r>
        <w:t>There is no single universal sidecar design: NVIDIA uses a monopolar 800V approach, while OCP Diablo 400 supports ±400V bipolar and 800V monopolar options.</w:t>
      </w:r>
    </w:p>
    <w:p w14:paraId="191DD208" w14:textId="77777777" w:rsidR="002F3A9C" w:rsidRDefault="00000000">
      <w:r>
        <w:br w:type="page"/>
      </w:r>
    </w:p>
    <w:p w14:paraId="280F4391" w14:textId="77777777" w:rsidR="002F3A9C" w:rsidRDefault="00000000">
      <w:pPr>
        <w:pStyle w:val="1"/>
      </w:pPr>
      <w:r>
        <w:lastRenderedPageBreak/>
        <w:t>3. Phase 1 - White-space retrofit</w:t>
      </w:r>
    </w:p>
    <w:p w14:paraId="6C9FD02A" w14:textId="2F9BDAA8" w:rsidR="002F3A9C" w:rsidRDefault="00000000">
      <w:pPr>
        <w:pStyle w:val="a0"/>
        <w:spacing w:after="48"/>
      </w:pPr>
      <w:r>
        <w:rPr>
          <w:b/>
        </w:rPr>
        <w:t>Architecture.</w:t>
      </w:r>
      <w:r>
        <w:t xml:space="preserve"> MV AC → LV transformer → UPS → 415/480 V AC busway remains unchanged. The new element is a HVDC power rack</w:t>
      </w:r>
      <w:r w:rsidR="007278F8">
        <w:rPr>
          <w:rFonts w:eastAsia="宋体" w:hint="eastAsia"/>
          <w:lang w:eastAsia="zh-CN"/>
        </w:rPr>
        <w:t xml:space="preserve"> (Sidecar) </w:t>
      </w:r>
      <w:r>
        <w:t>that converts AC to 800V DC and feeds adjacent IT racks.</w:t>
      </w:r>
    </w:p>
    <w:p w14:paraId="4A01C7D4" w14:textId="77777777" w:rsidR="002F3A9C" w:rsidRDefault="00000000">
      <w:pPr>
        <w:pStyle w:val="a0"/>
        <w:spacing w:after="48"/>
      </w:pPr>
      <w:r>
        <w:rPr>
          <w:b/>
        </w:rPr>
        <w:t>Power rack functions.</w:t>
      </w:r>
      <w:r>
        <w:t xml:space="preserve"> AC/DC rectification, short-duration BBU ride-through, optional capacitor / supercapacitor buffering, power management and DC output distribution.</w:t>
      </w:r>
    </w:p>
    <w:p w14:paraId="415BF17F" w14:textId="77777777" w:rsidR="002F3A9C" w:rsidRDefault="00000000">
      <w:pPr>
        <w:pStyle w:val="a0"/>
        <w:spacing w:after="48"/>
      </w:pPr>
      <w:r>
        <w:rPr>
          <w:b/>
        </w:rPr>
        <w:t>Why the sidecar exists.</w:t>
      </w:r>
      <w:r>
        <w:t xml:space="preserve"> It separates power conversion from the compute rack, improving serviceability and preserving rack volume for compute.</w:t>
      </w:r>
    </w:p>
    <w:p w14:paraId="7F4C7B09" w14:textId="77777777" w:rsidR="002F3A9C" w:rsidRDefault="00000000">
      <w:pPr>
        <w:pStyle w:val="a0"/>
        <w:spacing w:after="48"/>
      </w:pPr>
      <w:r>
        <w:rPr>
          <w:b/>
        </w:rPr>
        <w:t>Economics.</w:t>
      </w:r>
      <w:r>
        <w:t xml:space="preserve"> SemiAnalysis estimates ~$400-500k per power rack, around ~$0.5m/MW, with sidecar TAM peaking at ~$11bn in 2028.</w:t>
      </w:r>
    </w:p>
    <w:p w14:paraId="341909AC" w14:textId="5E9ACC0A" w:rsidR="002F3A9C" w:rsidRDefault="00000000">
      <w:pPr>
        <w:pStyle w:val="a0"/>
        <w:spacing w:after="48"/>
      </w:pPr>
      <w:r>
        <w:rPr>
          <w:b/>
        </w:rPr>
        <w:t>Key nuance.</w:t>
      </w:r>
      <w:r>
        <w:t xml:space="preserve"> Phase 1 is not yet </w:t>
      </w:r>
      <w:r w:rsidRPr="007278F8">
        <w:rPr>
          <w:b/>
          <w:bCs/>
        </w:rPr>
        <w:t>forced</w:t>
      </w:r>
      <w:r>
        <w:t xml:space="preserve"> by hardware: Vera Rubin</w:t>
      </w:r>
      <w:r w:rsidR="007278F8">
        <w:rPr>
          <w:rFonts w:eastAsia="宋体" w:hint="eastAsia"/>
          <w:lang w:eastAsia="zh-CN"/>
        </w:rPr>
        <w:t xml:space="preserve"> </w:t>
      </w:r>
      <w:r>
        <w:t>racks can still be supported by conventional three-phase AC. Early adoption is therefore mainly future-proofing and efficiency-driven.</w:t>
      </w:r>
    </w:p>
    <w:p w14:paraId="0304AEE6" w14:textId="77777777" w:rsidR="002F3A9C" w:rsidRDefault="00000000">
      <w:pPr>
        <w:pStyle w:val="1"/>
      </w:pPr>
      <w:r>
        <w:t xml:space="preserve">4. </w:t>
      </w:r>
      <w:bookmarkStart w:id="0" w:name="OLE_LINK1"/>
      <w:r>
        <w:t>Phase 2 - 800V DC-native compute</w:t>
      </w:r>
    </w:p>
    <w:p w14:paraId="65B67170" w14:textId="4CF5EAAC" w:rsidR="002F3A9C" w:rsidRDefault="00000000">
      <w:pPr>
        <w:pStyle w:val="a0"/>
        <w:spacing w:after="48"/>
      </w:pPr>
      <w:r>
        <w:rPr>
          <w:b/>
        </w:rPr>
        <w:t>Main change.</w:t>
      </w:r>
      <w:r>
        <w:t xml:space="preserve"> 800V DC is routed deeper into the compute rack. Instead of a central rack-level power shelf converting 800V to ~50V, an on-blade / near-blade module performs the step-down closer to the load</w:t>
      </w:r>
      <w:r w:rsidR="007278F8">
        <w:rPr>
          <w:rFonts w:eastAsia="宋体" w:hint="eastAsia"/>
          <w:lang w:eastAsia="zh-CN"/>
        </w:rPr>
        <w:t>, which means HVDC power rack is required for the newer generation compute racks.</w:t>
      </w:r>
    </w:p>
    <w:p w14:paraId="232AC543" w14:textId="77777777" w:rsidR="002F3A9C" w:rsidRDefault="00000000">
      <w:pPr>
        <w:pStyle w:val="a0"/>
        <w:spacing w:after="48"/>
      </w:pPr>
      <w:r>
        <w:rPr>
          <w:b/>
        </w:rPr>
        <w:t>Why it matters.</w:t>
      </w:r>
      <w:r>
        <w:t xml:space="preserve"> This is the point where 800V DC becomes driven by rack density rather than simply by operator preference.</w:t>
      </w:r>
    </w:p>
    <w:p w14:paraId="3ADE5137" w14:textId="748D7D8E" w:rsidR="002F3A9C" w:rsidRDefault="00000000" w:rsidP="007278F8">
      <w:pPr>
        <w:pStyle w:val="a0"/>
        <w:spacing w:after="48"/>
      </w:pPr>
      <w:r>
        <w:rPr>
          <w:b/>
        </w:rPr>
        <w:t>UPS transition.</w:t>
      </w:r>
      <w:r>
        <w:t xml:space="preserve"> </w:t>
      </w:r>
      <w:r w:rsidR="007278F8" w:rsidRPr="007278F8">
        <w:rPr>
          <w:rFonts w:eastAsia="宋体" w:hint="eastAsia"/>
          <w:lang w:eastAsia="zh-CN"/>
        </w:rPr>
        <w:t>Semi Analysis</w:t>
      </w:r>
      <w:r>
        <w:t xml:space="preserve"> expects centralized LV UPS to progressively lose importance as </w:t>
      </w:r>
      <w:proofErr w:type="gramStart"/>
      <w:r>
        <w:t>BBU</w:t>
      </w:r>
      <w:proofErr w:type="gramEnd"/>
      <w:r>
        <w:t xml:space="preserve"> and supercapacitor storage become DC-coupled near the rack</w:t>
      </w:r>
      <w:r w:rsidR="007278F8">
        <w:rPr>
          <w:rFonts w:eastAsia="宋体" w:hint="eastAsia"/>
          <w:lang w:eastAsia="zh-CN"/>
        </w:rPr>
        <w:t xml:space="preserve"> (can perform similar functionality of UPS with adoption of BESS)</w:t>
      </w:r>
      <w:r>
        <w:t>. Google and Meta already use distributed backup approaches in parts of their fleets.</w:t>
      </w:r>
    </w:p>
    <w:p w14:paraId="7DDE7575" w14:textId="77777777" w:rsidR="002F3A9C" w:rsidRDefault="00000000">
      <w:pPr>
        <w:pStyle w:val="a0"/>
        <w:spacing w:after="48"/>
      </w:pPr>
      <w:r>
        <w:rPr>
          <w:b/>
        </w:rPr>
        <w:t>Not universal.</w:t>
      </w:r>
      <w:r>
        <w:t xml:space="preserve"> Colocation providers and less vertically integrated operators may retain LV UPS longer for redundancy, operational simplicity and support for mixed AC workloads. MV UPS and facility-level BESS are alternative backup architectures.</w:t>
      </w:r>
    </w:p>
    <w:bookmarkEnd w:id="0"/>
    <w:p w14:paraId="5A4CF879" w14:textId="77777777" w:rsidR="002F3A9C" w:rsidRDefault="00000000">
      <w:r>
        <w:br w:type="page"/>
      </w:r>
    </w:p>
    <w:p w14:paraId="55E5143F" w14:textId="77777777" w:rsidR="002F3A9C" w:rsidRDefault="00000000">
      <w:pPr>
        <w:pStyle w:val="1"/>
      </w:pPr>
      <w:r>
        <w:lastRenderedPageBreak/>
        <w:t>5. Phase 3 - Facility-level 800V DC distribution</w:t>
      </w:r>
    </w:p>
    <w:p w14:paraId="50468A01" w14:textId="77777777" w:rsidR="002F3A9C" w:rsidRDefault="00000000">
      <w:pPr>
        <w:pStyle w:val="a0"/>
        <w:spacing w:after="48"/>
      </w:pPr>
      <w:r>
        <w:rPr>
          <w:b/>
        </w:rPr>
        <w:t>Rectification moves upstream.</w:t>
      </w:r>
      <w:r>
        <w:t xml:space="preserve"> A central rectifier in grey space / outdoors converts 415V AC to 800V DC, and DC becomes the hall-level distribution backbone.</w:t>
      </w:r>
    </w:p>
    <w:p w14:paraId="700BDFCC" w14:textId="77777777" w:rsidR="002F3A9C" w:rsidRDefault="00000000">
      <w:pPr>
        <w:pStyle w:val="a0"/>
        <w:spacing w:after="48"/>
      </w:pPr>
      <w:r>
        <w:rPr>
          <w:b/>
        </w:rPr>
        <w:t>What disappears / shrinks.</w:t>
      </w:r>
      <w:r>
        <w:t xml:space="preserve"> 480V AC switchgear below the rectifier, AC floor PDUs and much of the traditional AC distribution layer are removed or redesigned.</w:t>
      </w:r>
    </w:p>
    <w:p w14:paraId="12959876" w14:textId="52A11288" w:rsidR="002F3A9C" w:rsidRDefault="00000000">
      <w:pPr>
        <w:pStyle w:val="a0"/>
        <w:spacing w:after="48"/>
      </w:pPr>
      <w:r>
        <w:rPr>
          <w:b/>
        </w:rPr>
        <w:t>What replaces it.</w:t>
      </w:r>
      <w:r>
        <w:t xml:space="preserve"> DC busway, DC distribution, battery racks, DC breakers / SSCBs, monitoring</w:t>
      </w:r>
      <w:r w:rsidR="007278F8">
        <w:rPr>
          <w:rFonts w:eastAsia="宋体" w:hint="eastAsia"/>
          <w:lang w:eastAsia="zh-CN"/>
        </w:rPr>
        <w:t>, etc</w:t>
      </w:r>
      <w:r>
        <w:t>.</w:t>
      </w:r>
    </w:p>
    <w:p w14:paraId="1006AA61" w14:textId="77777777" w:rsidR="002F3A9C" w:rsidRDefault="00000000">
      <w:pPr>
        <w:pStyle w:val="a0"/>
        <w:spacing w:after="48"/>
      </w:pPr>
      <w:r>
        <w:rPr>
          <w:b/>
        </w:rPr>
        <w:t>Battery rack.</w:t>
      </w:r>
      <w:r>
        <w:t xml:space="preserve"> Once AC/DC conversion moves upstream, the former power rack becomes primarily an energy-storage / distribution rack: DC/DC distribution units, BBU shelves and optional supercapacitors. SemiAnalysis estimates roughly ~$200k/MW of battery-rack content.</w:t>
      </w:r>
    </w:p>
    <w:p w14:paraId="6AC317F6" w14:textId="77777777" w:rsidR="002F3A9C" w:rsidRDefault="00000000">
      <w:pPr>
        <w:pStyle w:val="21"/>
      </w:pPr>
      <w:r>
        <w:t>DC distribution and protection</w:t>
      </w:r>
    </w:p>
    <w:p w14:paraId="597B3891" w14:textId="77777777" w:rsidR="002F3A9C" w:rsidRDefault="00000000">
      <w:pPr>
        <w:pStyle w:val="a0"/>
        <w:spacing w:after="48"/>
      </w:pPr>
      <w:r>
        <w:t>Early deployments may favour feeder-only DC busway because live tap-offs are harder to implement safely at 800V DC.</w:t>
      </w:r>
    </w:p>
    <w:p w14:paraId="67360AB5" w14:textId="77777777" w:rsidR="002F3A9C" w:rsidRDefault="00000000">
      <w:pPr>
        <w:pStyle w:val="a0"/>
        <w:spacing w:after="48"/>
      </w:pPr>
      <w:r>
        <w:t>DC has no natural zero-crossing, so fault arcs are harder to interrupt than in AC systems. This increases the importance of DC-rated breakers, isolation and solid-state circuit breakers (SSCBs).</w:t>
      </w:r>
    </w:p>
    <w:p w14:paraId="1F45C182" w14:textId="77777777" w:rsidR="002F3A9C" w:rsidRDefault="00000000">
      <w:pPr>
        <w:pStyle w:val="a0"/>
        <w:spacing w:after="48"/>
      </w:pPr>
      <w:r>
        <w:t>SemiAnalysis sees several possible distribution products: rectifiers with integrated protected outputs, breaker-equipped DC tap-offs, and prefabricated grey-space pods combining rectifier + distribution + busway.</w:t>
      </w:r>
    </w:p>
    <w:p w14:paraId="521D6673" w14:textId="77777777" w:rsidR="002F3A9C" w:rsidRDefault="00000000">
      <w:pPr>
        <w:pStyle w:val="1"/>
      </w:pPr>
      <w:r>
        <w:t>6. Phase 4 - SST end-state</w:t>
      </w:r>
    </w:p>
    <w:p w14:paraId="4CF03BE5" w14:textId="77777777" w:rsidR="002F3A9C" w:rsidRDefault="00000000">
      <w:pPr>
        <w:pStyle w:val="a0"/>
        <w:spacing w:after="48"/>
      </w:pPr>
      <w:r>
        <w:rPr>
          <w:b/>
        </w:rPr>
        <w:t>Architecture.</w:t>
      </w:r>
      <w:r>
        <w:t xml:space="preserve"> The SST replaces the LV transformer + LV AC/DC rectifier with a single MV-AC-to-800V-DC power-electronic system.</w:t>
      </w:r>
    </w:p>
    <w:p w14:paraId="37368C2B" w14:textId="77777777" w:rsidR="002F3A9C" w:rsidRDefault="00000000">
      <w:pPr>
        <w:pStyle w:val="a0"/>
        <w:spacing w:after="48"/>
      </w:pPr>
      <w:r>
        <w:rPr>
          <w:b/>
        </w:rPr>
        <w:t>Why SSTs are attractive.</w:t>
      </w:r>
      <w:r>
        <w:t xml:space="preserve"> Higher switching frequency enables a much smaller transformer core; SSTs also support active regulation, software control and potentially bidirectional power flow.</w:t>
      </w:r>
    </w:p>
    <w:p w14:paraId="42AC2E81" w14:textId="77777777" w:rsidR="002F3A9C" w:rsidRDefault="00000000">
      <w:pPr>
        <w:pStyle w:val="a0"/>
        <w:spacing w:after="48"/>
      </w:pPr>
      <w:r>
        <w:rPr>
          <w:b/>
        </w:rPr>
        <w:t>Technology stack.</w:t>
      </w:r>
      <w:r>
        <w:t xml:space="preserve"> MV input stages rely on high-voltage SiC devices (3.3 kV-class and above); downstream 800V conversion can use lower-voltage SiC / GaN devices.</w:t>
      </w:r>
    </w:p>
    <w:p w14:paraId="6280DF61" w14:textId="77777777" w:rsidR="002F3A9C" w:rsidRDefault="00000000">
      <w:pPr>
        <w:pStyle w:val="a0"/>
        <w:spacing w:after="48"/>
      </w:pPr>
      <w:r>
        <w:rPr>
          <w:b/>
        </w:rPr>
        <w:t>Current maturity.</w:t>
      </w:r>
      <w:r>
        <w:t xml:space="preserve"> Public prototypes are around ~98-98.5% efficiency; the datacenter target is multi-MW units approaching 99%+ continuous efficiency with proven reliability.</w:t>
      </w:r>
    </w:p>
    <w:p w14:paraId="05068840" w14:textId="77777777" w:rsidR="002F3A9C" w:rsidRDefault="00000000">
      <w:pPr>
        <w:pStyle w:val="a0"/>
        <w:spacing w:after="48"/>
      </w:pPr>
      <w:r>
        <w:rPr>
          <w:b/>
        </w:rPr>
        <w:t>Economics.</w:t>
      </w:r>
      <w:r>
        <w:t xml:space="preserve"> SemiAnalysis estimates SST content at ~$1.0-1.5m/MW and 2030 SST TAM at ~$32bn, with significant competition from MV rectifiers.</w:t>
      </w:r>
    </w:p>
    <w:p w14:paraId="66A5A3F6" w14:textId="77777777" w:rsidR="002F3A9C" w:rsidRDefault="00000000">
      <w:pPr>
        <w:pStyle w:val="a0"/>
        <w:spacing w:after="48"/>
      </w:pPr>
      <w:r>
        <w:rPr>
          <w:b/>
        </w:rPr>
        <w:t>Timing.</w:t>
      </w:r>
      <w:r>
        <w:t xml:space="preserve"> Broad adoption is not expected before ~2029; certification, reliability and standards remain gating factors.</w:t>
      </w:r>
    </w:p>
    <w:p w14:paraId="7B9014B7" w14:textId="77777777" w:rsidR="002F3A9C" w:rsidRDefault="00000000">
      <w:r>
        <w:br w:type="page"/>
      </w:r>
    </w:p>
    <w:p w14:paraId="6177B673" w14:textId="77777777" w:rsidR="002F3A9C" w:rsidRDefault="00000000">
      <w:pPr>
        <w:pStyle w:val="1"/>
      </w:pPr>
      <w:r>
        <w:lastRenderedPageBreak/>
        <w:t>7. How the equipment value pool moves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2F3A9C" w14:paraId="2EE2BDFC" w14:textId="77777777">
        <w:trPr>
          <w:jc w:val="center"/>
        </w:trPr>
        <w:tc>
          <w:tcPr>
            <w:tcW w:w="3485" w:type="dxa"/>
            <w:shd w:val="clear" w:color="auto" w:fill="151A2D"/>
          </w:tcPr>
          <w:p w14:paraId="489F514A" w14:textId="77777777" w:rsidR="002F3A9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w="3485" w:type="dxa"/>
            <w:shd w:val="clear" w:color="auto" w:fill="151A2D"/>
          </w:tcPr>
          <w:p w14:paraId="22FE52DC" w14:textId="6B0AEBA2" w:rsidR="002F3A9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Direction</w:t>
            </w:r>
          </w:p>
        </w:tc>
        <w:tc>
          <w:tcPr>
            <w:tcW w:w="3485" w:type="dxa"/>
            <w:shd w:val="clear" w:color="auto" w:fill="151A2D"/>
          </w:tcPr>
          <w:p w14:paraId="11BD86A2" w14:textId="77777777" w:rsidR="002F3A9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SemiAnalysis logic</w:t>
            </w:r>
          </w:p>
        </w:tc>
      </w:tr>
      <w:tr w:rsidR="002F3A9C" w14:paraId="292CA8EB" w14:textId="77777777">
        <w:trPr>
          <w:jc w:val="center"/>
        </w:trPr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9F2AD0" w14:textId="77777777" w:rsidR="002F3A9C" w:rsidRDefault="00000000">
            <w:pPr>
              <w:spacing w:after="0"/>
            </w:pPr>
            <w:r>
              <w:rPr>
                <w:b/>
                <w:sz w:val="15"/>
              </w:rPr>
              <w:t>Central LV UPS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3A453B" w14:textId="77777777" w:rsidR="002F3A9C" w:rsidRDefault="00000000">
            <w:pPr>
              <w:spacing w:after="0"/>
            </w:pPr>
            <w:r>
              <w:rPr>
                <w:sz w:val="15"/>
              </w:rPr>
              <w:t>Down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7EAFD7" w14:textId="77777777" w:rsidR="002F3A9C" w:rsidRDefault="00000000">
            <w:pPr>
              <w:spacing w:after="0"/>
            </w:pPr>
            <w:r>
              <w:rPr>
                <w:sz w:val="15"/>
              </w:rPr>
              <w:t>Ride-through and buffering migrate toward DC-coupled BBU / supercapacitor architectures; not all operators will eliminate UPS immediately.</w:t>
            </w:r>
          </w:p>
        </w:tc>
      </w:tr>
      <w:tr w:rsidR="002F3A9C" w14:paraId="5AB0ECD3" w14:textId="77777777">
        <w:trPr>
          <w:jc w:val="center"/>
        </w:trPr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5902BC" w14:textId="77777777" w:rsidR="002F3A9C" w:rsidRDefault="00000000">
            <w:pPr>
              <w:spacing w:after="0"/>
            </w:pPr>
            <w:r>
              <w:rPr>
                <w:b/>
                <w:sz w:val="15"/>
              </w:rPr>
              <w:t>Rack PDU / traditional rack AC power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CAA516" w14:textId="77777777" w:rsidR="002F3A9C" w:rsidRDefault="00000000">
            <w:pPr>
              <w:spacing w:after="0"/>
            </w:pPr>
            <w:r>
              <w:rPr>
                <w:sz w:val="15"/>
              </w:rPr>
              <w:t>Down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2C1F12" w14:textId="77777777" w:rsidR="002F3A9C" w:rsidRDefault="00000000">
            <w:pPr>
              <w:spacing w:after="0"/>
            </w:pPr>
            <w:r>
              <w:rPr>
                <w:sz w:val="15"/>
              </w:rPr>
              <w:t>High-density racks increasingly receive HVDC rather than conventional AC at the rack interface.</w:t>
            </w:r>
          </w:p>
        </w:tc>
      </w:tr>
      <w:tr w:rsidR="002F3A9C" w14:paraId="2FA843FB" w14:textId="77777777">
        <w:trPr>
          <w:jc w:val="center"/>
        </w:trPr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7A3B16" w14:textId="77777777" w:rsidR="002F3A9C" w:rsidRDefault="00000000">
            <w:pPr>
              <w:spacing w:after="0"/>
            </w:pPr>
            <w:r>
              <w:rPr>
                <w:b/>
                <w:sz w:val="15"/>
              </w:rPr>
              <w:t>LV AC switchgear / floor PDU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398C10" w14:textId="77777777" w:rsidR="002F3A9C" w:rsidRDefault="00000000">
            <w:pPr>
              <w:spacing w:after="0"/>
            </w:pPr>
            <w:r>
              <w:rPr>
                <w:sz w:val="15"/>
              </w:rPr>
              <w:t>Down in Phase 3+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BF302F" w14:textId="77777777" w:rsidR="002F3A9C" w:rsidRDefault="00000000">
            <w:pPr>
              <w:spacing w:after="0"/>
            </w:pPr>
            <w:r>
              <w:rPr>
                <w:sz w:val="15"/>
              </w:rPr>
              <w:t>Removed when 800V DC becomes the hall-level distribution backbone.</w:t>
            </w:r>
          </w:p>
        </w:tc>
      </w:tr>
      <w:tr w:rsidR="002F3A9C" w14:paraId="6B2DA657" w14:textId="77777777">
        <w:trPr>
          <w:jc w:val="center"/>
        </w:trPr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44C3E8" w14:textId="77777777" w:rsidR="002F3A9C" w:rsidRDefault="00000000">
            <w:pPr>
              <w:spacing w:after="0"/>
            </w:pPr>
            <w:r>
              <w:rPr>
                <w:b/>
                <w:sz w:val="15"/>
              </w:rPr>
              <w:t>HVDC power rack / sidecar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1C7F50" w14:textId="77777777" w:rsidR="002F3A9C" w:rsidRDefault="00000000">
            <w:pPr>
              <w:spacing w:after="0"/>
            </w:pPr>
            <w:r>
              <w:rPr>
                <w:sz w:val="15"/>
              </w:rPr>
              <w:t>Up, then down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4CE658" w14:textId="77777777" w:rsidR="002F3A9C" w:rsidRDefault="00000000">
            <w:pPr>
              <w:spacing w:after="0"/>
            </w:pPr>
            <w:r>
              <w:rPr>
                <w:sz w:val="15"/>
              </w:rPr>
              <w:t>Large Phase 1-2 opportunity, but temporary as rectification moves upstream.</w:t>
            </w:r>
          </w:p>
        </w:tc>
      </w:tr>
      <w:tr w:rsidR="002F3A9C" w14:paraId="47E4BD47" w14:textId="77777777">
        <w:trPr>
          <w:jc w:val="center"/>
        </w:trPr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5358C8" w14:textId="77777777" w:rsidR="002F3A9C" w:rsidRDefault="00000000">
            <w:pPr>
              <w:spacing w:after="0"/>
            </w:pPr>
            <w:r>
              <w:rPr>
                <w:b/>
                <w:sz w:val="15"/>
              </w:rPr>
              <w:t>DC busway &amp; protection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81D032" w14:textId="77777777" w:rsidR="002F3A9C" w:rsidRDefault="00000000">
            <w:pPr>
              <w:spacing w:after="0"/>
            </w:pPr>
            <w:r>
              <w:rPr>
                <w:sz w:val="15"/>
              </w:rPr>
              <w:t>Up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1CB1FA" w14:textId="77777777" w:rsidR="002F3A9C" w:rsidRDefault="00000000">
            <w:pPr>
              <w:spacing w:after="0"/>
            </w:pPr>
            <w:r>
              <w:rPr>
                <w:sz w:val="15"/>
              </w:rPr>
              <w:t>New DC distribution needs busway, breakers / SSCBs, isolation, sensing and monitoring.</w:t>
            </w:r>
          </w:p>
        </w:tc>
      </w:tr>
      <w:tr w:rsidR="002F3A9C" w14:paraId="1C2B0A64" w14:textId="77777777">
        <w:trPr>
          <w:jc w:val="center"/>
        </w:trPr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3E377E" w14:textId="77777777" w:rsidR="002F3A9C" w:rsidRDefault="00000000">
            <w:pPr>
              <w:spacing w:after="0"/>
            </w:pPr>
            <w:r>
              <w:rPr>
                <w:b/>
                <w:sz w:val="15"/>
              </w:rPr>
              <w:t>BBU / supercapacitors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E3A96D" w14:textId="77777777" w:rsidR="002F3A9C" w:rsidRDefault="00000000">
            <w:pPr>
              <w:spacing w:after="0"/>
            </w:pPr>
            <w:r>
              <w:rPr>
                <w:sz w:val="15"/>
              </w:rPr>
              <w:t>Up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E78D78" w14:textId="77777777" w:rsidR="002F3A9C" w:rsidRDefault="00000000">
            <w:pPr>
              <w:spacing w:after="0"/>
            </w:pPr>
            <w:r>
              <w:rPr>
                <w:sz w:val="15"/>
              </w:rPr>
              <w:t>Storage moves closer to compute to provide ride-through and absorb fast GPU transients.</w:t>
            </w:r>
          </w:p>
        </w:tc>
      </w:tr>
      <w:tr w:rsidR="002F3A9C" w14:paraId="79BC5264" w14:textId="77777777">
        <w:trPr>
          <w:jc w:val="center"/>
        </w:trPr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3A50FB" w14:textId="77777777" w:rsidR="002F3A9C" w:rsidRDefault="00000000">
            <w:pPr>
              <w:spacing w:after="0"/>
            </w:pPr>
            <w:r>
              <w:rPr>
                <w:b/>
                <w:sz w:val="15"/>
              </w:rPr>
              <w:t>SST / MV rectifier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417EEE" w14:textId="77777777" w:rsidR="002F3A9C" w:rsidRDefault="00000000">
            <w:pPr>
              <w:spacing w:after="0"/>
            </w:pPr>
            <w:r>
              <w:rPr>
                <w:sz w:val="15"/>
              </w:rPr>
              <w:t>Up materially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AF50D1" w14:textId="77777777" w:rsidR="002F3A9C" w:rsidRDefault="00000000">
            <w:pPr>
              <w:spacing w:after="0"/>
            </w:pPr>
            <w:r>
              <w:rPr>
                <w:sz w:val="15"/>
              </w:rPr>
              <w:t>Phase 4 shifts conversion value upstream; SST becomes a new high-value category.</w:t>
            </w:r>
          </w:p>
        </w:tc>
      </w:tr>
      <w:tr w:rsidR="002F3A9C" w14:paraId="3CDDC13E" w14:textId="77777777">
        <w:trPr>
          <w:jc w:val="center"/>
        </w:trPr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B1B8E5" w14:textId="77777777" w:rsidR="002F3A9C" w:rsidRDefault="00000000">
            <w:pPr>
              <w:spacing w:after="0"/>
            </w:pPr>
            <w:r>
              <w:rPr>
                <w:b/>
                <w:sz w:val="15"/>
              </w:rPr>
              <w:t>MV switchgear / grid interface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0EF8B0" w14:textId="77777777" w:rsidR="002F3A9C" w:rsidRDefault="00000000">
            <w:pPr>
              <w:spacing w:after="0"/>
            </w:pPr>
            <w:r>
              <w:rPr>
                <w:sz w:val="15"/>
              </w:rPr>
              <w:t>Largely resilient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676D6E" w14:textId="77777777" w:rsidR="002F3A9C" w:rsidRDefault="00000000">
            <w:pPr>
              <w:spacing w:after="0"/>
            </w:pPr>
            <w:r>
              <w:rPr>
                <w:sz w:val="15"/>
              </w:rPr>
              <w:t>Utility and most on-site generation remain AC; upstream MV infrastructure remains necessary.</w:t>
            </w:r>
          </w:p>
        </w:tc>
      </w:tr>
      <w:tr w:rsidR="002F3A9C" w14:paraId="56B93EB6" w14:textId="77777777">
        <w:trPr>
          <w:jc w:val="center"/>
        </w:trPr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4B4EC7" w14:textId="77777777" w:rsidR="002F3A9C" w:rsidRDefault="00000000">
            <w:pPr>
              <w:spacing w:after="0"/>
            </w:pPr>
            <w:r>
              <w:rPr>
                <w:b/>
                <w:sz w:val="15"/>
              </w:rPr>
              <w:t>Cooling / auxiliaries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19E74F" w14:textId="77777777" w:rsidR="002F3A9C" w:rsidRDefault="00000000">
            <w:pPr>
              <w:spacing w:after="0"/>
            </w:pPr>
            <w:r>
              <w:rPr>
                <w:sz w:val="15"/>
              </w:rPr>
              <w:t>Mostly AC</w:t>
            </w:r>
          </w:p>
        </w:tc>
        <w:tc>
          <w:tcPr>
            <w:tcW w:w="348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CB9253" w14:textId="77777777" w:rsidR="002F3A9C" w:rsidRDefault="00000000">
            <w:pPr>
              <w:spacing w:after="0"/>
            </w:pPr>
            <w:r>
              <w:rPr>
                <w:sz w:val="15"/>
              </w:rPr>
              <w:t>Chillers, pumps, fans, lighting and building systems still require an auxiliary AC bus, although DC-native components are emerging.</w:t>
            </w:r>
          </w:p>
        </w:tc>
      </w:tr>
    </w:tbl>
    <w:p w14:paraId="1BA7ADAE" w14:textId="77777777" w:rsidR="002F3A9C" w:rsidRDefault="00000000">
      <w:pPr>
        <w:pStyle w:val="1"/>
        <w:spacing w:after="30"/>
      </w:pPr>
      <w:r>
        <w:rPr>
          <w:sz w:val="16"/>
        </w:rPr>
        <w:t>8. Key implementation challenges</w:t>
      </w:r>
    </w:p>
    <w:p w14:paraId="0ABEA35D" w14:textId="77777777" w:rsidR="002F3A9C" w:rsidRDefault="00000000">
      <w:pPr>
        <w:pStyle w:val="a0"/>
        <w:spacing w:after="30"/>
      </w:pPr>
      <w:r>
        <w:rPr>
          <w:b/>
          <w:sz w:val="16"/>
        </w:rPr>
        <w:t>Safety and fault interruption.</w:t>
      </w:r>
      <w:r>
        <w:rPr>
          <w:sz w:val="16"/>
        </w:rPr>
        <w:t xml:space="preserve"> 800V DC requires new procedures for arc management, isolation, de-energisation and technician training.</w:t>
      </w:r>
    </w:p>
    <w:p w14:paraId="4E8DCE46" w14:textId="77777777" w:rsidR="002F3A9C" w:rsidRDefault="00000000">
      <w:pPr>
        <w:pStyle w:val="a0"/>
        <w:spacing w:after="30"/>
      </w:pPr>
      <w:r>
        <w:rPr>
          <w:b/>
          <w:sz w:val="16"/>
        </w:rPr>
        <w:t>Grounding architecture.</w:t>
      </w:r>
      <w:r>
        <w:rPr>
          <w:sz w:val="16"/>
        </w:rPr>
        <w:t xml:space="preserve"> ±400V bipolar and 800V monopolar systems create different protection-device, insulation-monitoring and fault-behaviour requirements; industry consensus is not yet established.</w:t>
      </w:r>
    </w:p>
    <w:p w14:paraId="312F22B4" w14:textId="77777777" w:rsidR="002F3A9C" w:rsidRDefault="00000000">
      <w:pPr>
        <w:pStyle w:val="a0"/>
        <w:spacing w:after="30"/>
      </w:pPr>
      <w:r>
        <w:rPr>
          <w:b/>
          <w:sz w:val="16"/>
        </w:rPr>
        <w:t>Cooling and auxiliary loads.</w:t>
      </w:r>
      <w:r>
        <w:rPr>
          <w:sz w:val="16"/>
        </w:rPr>
        <w:t xml:space="preserve"> The IT power chain can move to DC faster than the rest of the facility. Cooling, lighting, fire systems and building controls keep an AC auxiliary bus relevant.</w:t>
      </w:r>
    </w:p>
    <w:p w14:paraId="785333F8" w14:textId="77777777" w:rsidR="002F3A9C" w:rsidRDefault="00000000">
      <w:pPr>
        <w:pStyle w:val="a0"/>
        <w:spacing w:after="30"/>
      </w:pPr>
      <w:r>
        <w:rPr>
          <w:b/>
          <w:sz w:val="16"/>
        </w:rPr>
        <w:t>Standards and certification.</w:t>
      </w:r>
      <w:r>
        <w:rPr>
          <w:sz w:val="16"/>
        </w:rPr>
        <w:t xml:space="preserve"> Busway standards are progressing, but many 800V DC categories still require site-specific engineering and AHJ / certification approval.</w:t>
      </w:r>
    </w:p>
    <w:p w14:paraId="2AFDB678" w14:textId="77777777" w:rsidR="002F3A9C" w:rsidRDefault="00000000">
      <w:pPr>
        <w:pStyle w:val="a0"/>
        <w:spacing w:after="30"/>
      </w:pPr>
      <w:r>
        <w:rPr>
          <w:b/>
          <w:sz w:val="16"/>
        </w:rPr>
        <w:t>Grid interconnection.</w:t>
      </w:r>
      <w:r>
        <w:rPr>
          <w:sz w:val="16"/>
        </w:rPr>
        <w:t xml:space="preserve"> SST control, BESS state of charge and highly dynamic GPU loads change the facility’s grid-facing behaviour, increasing requirements for dynamic modelling, ride-through and utility coordination.</w:t>
      </w:r>
    </w:p>
    <w:p w14:paraId="04A1AE36" w14:textId="77777777" w:rsidR="00917802" w:rsidRDefault="00917802"/>
    <w:sectPr w:rsidR="00917802" w:rsidSect="00034616">
      <w:footerReference w:type="default" r:id="rId9"/>
      <w:pgSz w:w="12240" w:h="15840"/>
      <w:pgMar w:top="792" w:right="893" w:bottom="72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B17EE" w14:textId="77777777" w:rsidR="008D63F1" w:rsidRDefault="008D63F1">
      <w:pPr>
        <w:spacing w:after="0" w:line="240" w:lineRule="auto"/>
      </w:pPr>
      <w:r>
        <w:separator/>
      </w:r>
    </w:p>
  </w:endnote>
  <w:endnote w:type="continuationSeparator" w:id="0">
    <w:p w14:paraId="4426D6D4" w14:textId="77777777" w:rsidR="008D63F1" w:rsidRDefault="008D6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D282C" w14:textId="0903A6F9" w:rsidR="002F3A9C" w:rsidRDefault="002F3A9C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2BF9" w14:textId="77777777" w:rsidR="008D63F1" w:rsidRDefault="008D63F1">
      <w:pPr>
        <w:spacing w:after="0" w:line="240" w:lineRule="auto"/>
      </w:pPr>
      <w:r>
        <w:separator/>
      </w:r>
    </w:p>
  </w:footnote>
  <w:footnote w:type="continuationSeparator" w:id="0">
    <w:p w14:paraId="2232F2D7" w14:textId="77777777" w:rsidR="008D63F1" w:rsidRDefault="008D6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89C0F2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337931">
    <w:abstractNumId w:val="8"/>
  </w:num>
  <w:num w:numId="2" w16cid:durableId="594166862">
    <w:abstractNumId w:val="6"/>
  </w:num>
  <w:num w:numId="3" w16cid:durableId="2067991638">
    <w:abstractNumId w:val="5"/>
  </w:num>
  <w:num w:numId="4" w16cid:durableId="2015765009">
    <w:abstractNumId w:val="4"/>
  </w:num>
  <w:num w:numId="5" w16cid:durableId="1734353164">
    <w:abstractNumId w:val="7"/>
  </w:num>
  <w:num w:numId="6" w16cid:durableId="719792441">
    <w:abstractNumId w:val="3"/>
  </w:num>
  <w:num w:numId="7" w16cid:durableId="1380006841">
    <w:abstractNumId w:val="2"/>
  </w:num>
  <w:num w:numId="8" w16cid:durableId="19939597">
    <w:abstractNumId w:val="1"/>
  </w:num>
  <w:num w:numId="9" w16cid:durableId="130431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B68"/>
    <w:rsid w:val="0015074B"/>
    <w:rsid w:val="00200613"/>
    <w:rsid w:val="0029639D"/>
    <w:rsid w:val="002F3A9C"/>
    <w:rsid w:val="00326F90"/>
    <w:rsid w:val="004921BC"/>
    <w:rsid w:val="00574AF3"/>
    <w:rsid w:val="00602781"/>
    <w:rsid w:val="007278F8"/>
    <w:rsid w:val="00782FFB"/>
    <w:rsid w:val="008D63F1"/>
    <w:rsid w:val="00917802"/>
    <w:rsid w:val="009920C9"/>
    <w:rsid w:val="00AA1D8D"/>
    <w:rsid w:val="00B47730"/>
    <w:rsid w:val="00CB0664"/>
    <w:rsid w:val="00CF2CED"/>
    <w:rsid w:val="00E261B6"/>
    <w:rsid w:val="00EC3E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A2409"/>
  <w14:defaultImageDpi w14:val="300"/>
  <w15:docId w15:val="{AF1C9DDE-5F5D-4BDF-8422-476D9B56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5" w:lineRule="auto"/>
    </w:pPr>
    <w:rPr>
      <w:rFonts w:ascii="Aptos" w:hAnsi="Aptos"/>
      <w:color w:val="222631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1A2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89537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1A2D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40"/>
    </w:pPr>
    <w:rPr>
      <w:rFonts w:ascii="Aptos" w:hAnsi="Aptos"/>
      <w:color w:val="5F6470"/>
      <w:sz w:val="14"/>
    </w:rPr>
  </w:style>
  <w:style w:type="character" w:styleId="aff9">
    <w:name w:val="Hyperlink"/>
    <w:basedOn w:val="a2"/>
    <w:uiPriority w:val="99"/>
    <w:unhideWhenUsed/>
    <w:rsid w:val="004921B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921BC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4921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letter.semianalysis.com/p/inside-the-800vdc-revolution-par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Yang</cp:lastModifiedBy>
  <cp:revision>7</cp:revision>
  <dcterms:created xsi:type="dcterms:W3CDTF">2013-12-23T23:15:00Z</dcterms:created>
  <dcterms:modified xsi:type="dcterms:W3CDTF">2026-09-14T02:07:00Z</dcterms:modified>
  <cp:category/>
</cp:coreProperties>
</file>