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C3868" w14:textId="62D4D582" w:rsidR="00FC0AF7" w:rsidRDefault="00000000">
      <w:pPr>
        <w:pStyle w:val="aa"/>
        <w:keepLines/>
        <w:snapToGrid w:val="0"/>
        <w:pBdr>
          <w:bottom w:val="nil"/>
        </w:pBdr>
        <w:spacing w:after="170" w:line="600" w:lineRule="exact"/>
      </w:pPr>
      <w:r>
        <w:rPr>
          <w:rFonts w:ascii="Aptos" w:hAnsi="Aptos" w:eastAsia="PingFang SC"/>
          <w:sz w:val="44"/>
          <w:szCs w:val="44"/>
          <w:color w:val="000000"/>
          <w:lang w:val="en-US" w:eastAsia="zh-CN"/>
          <w:b/>
        </w:rPr>
        <w:t xml:space="preserve">800V DC 竞争格局与利润变化</w:t>
      </w:r>
    </w:p>
    <w:p w14:paraId="35ACCF0A" w14:textId="3BBA763D" w:rsidR="00FC0AF7" w:rsidRDefault="00000000">
      <w:pPr>
        <w:keepLines/>
        <w:snapToGrid w:val="0"/>
        <w:spacing w:after="80" w:line="400" w:lineRule="exact"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Reading Notes</w:t>
      </w:r>
    </w:p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Based on Oxcap Analytics, 22 September 2026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核心观点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800V DC 转型可以推动电气设备收入增长，同时改变竞争结构，使未来利润率承压。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报告把研究重点从设备替代推进到利润分配：原有龙头可能成功开发新产品，但新市场的供应商数量、定价权、成本结构和研发要求，都可能与传统 AC 设备市场不同。短期增长与中期利润率风险应分别判断。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核心结论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  <w:b/>
        </w:rPr>
        <w:t xml:space="preserve">短期支出仍可能增加。</w:t>
      </w: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第一阶段保留大部分 AC 基础设施并新增 sidecar，模型中的电气设备支出由335增至375万美元/MW；技术转型暂时具有增量性质。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  <w:b/>
        </w:rPr>
        <w:t xml:space="preserve">总量变化小于结构变化。</w:t>
      </w: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阶段4总额约305万美元/MW，比基准低约9%，但SST占其中约41%，预算可能流向新的产品和供应商。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  <w:b/>
        </w:rPr>
        <w:t xml:space="preserve">利润率是这次更新的重点。</w:t>
      </w: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新进入者、电力电子竞争、产品降价及研发投入，可能削弱既有市场的高利润，即使行业收入继续增长。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  <w:b/>
        </w:rPr>
        <w:t xml:space="preserve">MV UPS不能机械补回LV UPS。</w:t>
      </w: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连续供电功能仍然需要，但功能可由不同架构实现，集中部署也可能降低每MW价值量。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  <w:b/>
        </w:rPr>
        <w:t xml:space="preserve">800V DC并不要求采用SST。</w:t>
      </w: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传统变压器加集中整流器仍是候选方案；SST须证明成本、可靠性、寿命及系统性能。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  <w:b/>
        </w:rPr>
        <w:t xml:space="preserve">厂商结果取决于适应能力。</w:t>
      </w: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当前产品暴露只是起点；研发、认证、交付、合作和并购会改变业务组合，原型或收购不能直接证明未来份额。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1 文章的分析框架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文章借ABB与Legrand的资本市场日切入，认为市场过度聚焦sidecar对机柜PDU的替代。更重要的问题是，未来几年的迁移会如何改变产品预算、供应商竞争和利润分配。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理解用的简化关系：供应商利润 ≈ 建设规模 × 每MW可获得的设备价值 × 市场份额 × 利润率。该式是对文章逻辑的概括，不是原文盈利预测模型。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Oxcap还区分按MW增长与按机柜数量增长的设备，以及长寿命基础设施与随计算升级更换的设备。功率密度上升时，机柜数量未必与MW同步增长；新建放缓后，替换周期的重要性也会提高。</w:t>
      </w:r>
    </w:p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原文依据：第3、6–11页。本文中的时间表和市场规模均保留报告发表时的预测属性。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  <w:pageBreakBefore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2 四阶段迁移与每MW价值量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四阶段用于比较不同架构的设备组合。Oxcap认为实际迁移会因芯片平台、客户和存量设施而异，不应视为全行业的固定时间表。</w:t>
      </w:r>
    </w:p>
    <w:tbl>
      <w:tblPr>
        <w:tblStyle w:val="aff1"/>
        <w:tblW w:w="10368" w:type="dxa"/>
        <w:jc w:val="center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0"/>
        <w:gridCol w:w="1550"/>
        <w:gridCol w:w="1450"/>
        <w:gridCol w:w="6018"/>
      </w:tblGrid>
      <w:tr w:rsidR="00FC0AF7" w14:paraId="762C1640" w14:textId="77777777">
        <w:trPr>
          <w:jc w:val="center"/>
          <w:cantSplit/>
          <w:tblHeader/>
        </w:trPr>
        <w:tc>
          <w:tcPr>
            <w:tcW w:w="135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阶段</w:t>
            </w:r>
          </w:p>
        </w:tc>
        <w:tc>
          <w:tcPr>
            <w:tcW w:w="155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报告预计时间</w:t>
            </w:r>
          </w:p>
        </w:tc>
        <w:tc>
          <w:tcPr>
            <w:tcW w:w="145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万美元/MW</w:t>
            </w:r>
          </w:p>
        </w:tc>
        <w:tc>
          <w:tcPr>
            <w:tcW w:w="6018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主要变化</w:t>
            </w:r>
          </w:p>
        </w:tc>
      </w:tr>
      <w:tr w:rsidR="00FC0AF7" w14:paraId="27699B23" w14:textId="77777777">
        <w:trPr>
          <w:jc w:val="center"/>
          <w:cantSplit/>
        </w:trPr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传统架构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基准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335</w:t>
            </w:r>
          </w:p>
        </w:tc>
        <w:tc>
          <w:tcPr>
            <w:tcW w:w="60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现有中低压配电、UPS、母线、机柜PDU和电源设备。</w:t>
            </w:r>
          </w:p>
        </w:tc>
      </w:tr>
      <w:tr w:rsidR="00FC0AF7" w14:paraId="27699B23" w14:textId="77777777">
        <w:trPr>
          <w:jc w:val="center"/>
          <w:cantSplit/>
        </w:trPr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阶段1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2027年起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375</w:t>
            </w:r>
          </w:p>
        </w:tc>
        <w:tc>
          <w:tcPr>
            <w:tcW w:w="60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保留主要AC设施，增加sidecar；机柜PDU受压，但新转换、储能和控制内容更多。</w:t>
            </w:r>
          </w:p>
        </w:tc>
      </w:tr>
      <w:tr w:rsidR="00FC0AF7" w14:paraId="27699B23" w14:textId="77777777">
        <w:trPr>
          <w:jc w:val="center"/>
          <w:cantSplit/>
        </w:trPr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阶段2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2028年起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265</w:t>
            </w:r>
          </w:p>
        </w:tc>
        <w:tc>
          <w:tcPr>
            <w:tcW w:w="60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800V深入计算机柜，DC/DC靠近负载；模型假设集中LV UPS退出，价值向电池和电源模块迁移。</w:t>
            </w:r>
          </w:p>
        </w:tc>
      </w:tr>
      <w:tr w:rsidR="00FC0AF7" w14:paraId="27699B23" w14:textId="77777777">
        <w:trPr>
          <w:jc w:val="center"/>
          <w:cantSplit/>
        </w:trPr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阶段3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2028–2029年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265</w:t>
            </w:r>
          </w:p>
        </w:tc>
        <w:tc>
          <w:tcPr>
            <w:tcW w:w="60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整流上移至设施侧，sidecar拆分为上游整流与下游储能、DC配电及保护。</w:t>
            </w:r>
          </w:p>
        </w:tc>
      </w:tr>
      <w:tr w:rsidR="00FC0AF7" w14:paraId="27699B23" w14:textId="77777777">
        <w:trPr>
          <w:jc w:val="center"/>
          <w:cantSplit/>
        </w:trPr>
        <w:tc>
          <w:tcPr>
            <w:tcW w:w="13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阶段4</w:t>
            </w:r>
          </w:p>
        </w:tc>
        <w:tc>
          <w:tcPr>
            <w:tcW w:w="15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2029年以后</w:t>
            </w:r>
          </w:p>
        </w:tc>
        <w:tc>
          <w:tcPr>
            <w:tcW w:w="1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305</w:t>
            </w:r>
          </w:p>
        </w:tc>
        <w:tc>
          <w:tcPr>
            <w:tcW w:w="60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SST整合部分变压与整流功能，替代一部分低压AC设备，并形成新的高价值类别。</w:t>
            </w:r>
          </w:p>
        </w:tc>
      </w:tr>
    </w:tbl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来源：原文第16页图13，SemiAnalysis与Oxcap模型。不含发电机，也不代表数据中心总资本开支；原表变化率是相对上一阶段。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如何读这张表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第一阶段每MW支出比基准增加约12%，说明过渡期可能先增加设备。阶段2下降主要来自模型中的集中UPS退出，不表示所有运营商都将在同一年取消UPS。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阶段4的SST约125万美元/MW，占总额约41%。总额比基准仅低约9%，但相当多预算转移到尚未形成稳定竞争格局的新类别。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阶段4比阶段3更贵，原因是早期SST成本高于被替代的部分设备。是否经济，仍要结合占地、效率、可靠性和全生命周期成本判断。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3 为什么增长与利润率可能分化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过去的有利条件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传统UPS、中压及部分低压设备市场较集中。AI需求增加后，供给偏紧、客户重视交付，支持供应商涨价及利润率提升。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转型后的潜在压力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竞争者增加：电子供应商、代工企业、变压器厂商和初创公司进入新的DC产品市场，既有龙头的份额与定价权需要重新建立。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成本与价格变化：电力电子产品可能降价更快，同时需要研发、认证和产线切换；sidecar等过渡产品还可能较快进入需求回落阶段。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旧市场供需缓解：部分需求离开传统AC设备后，其供应紧张和定价优势可能减弱。若转型叠加资本开支增速放缓，影响会更明显。</w:t>
      </w:r>
    </w:p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原文依据：第7–11、17–20页。作者提出的是中期风险，未证明行业利润率必然下降。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  <w:pageBreakBefore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4 MV UPS与SST承接什么价值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MV UPS的收入替代并不充分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低压UPS的产品形态可以改变，但瞬时续航、供电质量、储能控制和故障保护仍然需要。文章比较了三类实现方式，选择权主要在数据中心运营商。</w:t>
      </w:r>
    </w:p>
    <w:tbl>
      <w:tblPr>
        <w:tblStyle w:val="aff1"/>
        <w:tblW w:w="10368" w:type="dxa"/>
        <w:jc w:val="center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0"/>
        <w:gridCol w:w="4450"/>
        <w:gridCol w:w="4168"/>
      </w:tblGrid>
      <w:tr w:rsidR="00FC0AF7" w14:paraId="55271ADA" w14:textId="77777777">
        <w:trPr>
          <w:jc w:val="center"/>
          <w:cantSplit/>
          <w:tblHeader/>
        </w:trPr>
        <w:tc>
          <w:tcPr>
            <w:tcW w:w="175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方案</w:t>
            </w:r>
          </w:p>
        </w:tc>
        <w:tc>
          <w:tcPr>
            <w:tcW w:w="445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功能放在哪里</w:t>
            </w:r>
          </w:p>
        </w:tc>
        <w:tc>
          <w:tcPr>
            <w:tcW w:w="4168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需要注意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MV UPS</w:t>
            </w:r>
          </w:p>
        </w:tc>
        <w:tc>
          <w:tcPr>
            <w:tcW w:w="4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在中压AC侧保障供电，再向下游整流或AC系统供电。</w:t>
            </w:r>
          </w:p>
        </w:tc>
        <w:tc>
          <w:tcPr>
            <w:tcW w:w="4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可适配不同下游架构；集中部署可能降低每MW收入。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MV DC UPS</w:t>
            </w:r>
          </w:p>
        </w:tc>
        <w:tc>
          <w:tcPr>
            <w:tcW w:w="4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将变压器、整流器和DC侧电池组织成供电系统。</w:t>
            </w:r>
          </w:p>
        </w:tc>
        <w:tc>
          <w:tcPr>
            <w:tcW w:w="4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部分价值转向DC电池、转换器和保护设备。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SST配套储能</w:t>
            </w:r>
          </w:p>
        </w:tc>
        <w:tc>
          <w:tcPr>
            <w:tcW w:w="44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以电力电子整合变压、整流及控制，并连接储能。</w:t>
            </w:r>
          </w:p>
        </w:tc>
        <w:tc>
          <w:tcPr>
            <w:tcW w:w="41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可能整合部分UPS功能；停电续航仍需储能或其他能源。</w:t>
            </w:r>
          </w:p>
        </w:tc>
      </w:tr>
    </w:tbl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更大的单机容量，不必然带来更高的每MW价值量。中压集中化可减少重复设备，新产品竞争也可能降低原有UPS供应商的利润优势。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MV UPS只是选项之一，无法假定全部LV UPS收入原样迁移到中压侧。ABB的相对优势来自较小的旧UPS暴露与较早的MV UPS布局，仍取决于客户选择。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SST必须与传统变压器加整流器竞争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潜在收益：高频磁性器件可以缩小体积，电力电子控制支持更灵活的电能转换、故障管理和电网交互；减少冗余转换有机会改善系统效率。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主要门槛：传统变压器成熟、耐用；SST增加功率器件、电容、控制与冷却环节，须验证长期可靠性、连续负载效率、维护及认证。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经济性要看完整系统：不能只比较一台SST和一台铁芯变压器，也不能把系统效率改善直接归因于SST单机效率更高。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市场规模取决于渗透率与价格：降价有助采用，却降低每MW收入。文中识别了约30家开发参与者，但开发、原型和规模供货是不同阶段。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持续存在的设施需求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IT供电转向DC后，冷却和其他辅助负荷仍可能使用AC；长时间停电后备也不会随LV UPS退出而消失。DC配电仍需保护、隔离、检测及运维能力。</w:t>
      </w:r>
    </w:p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原文依据：第21–31页。SST是可能的架构方向，不是采用800V DC的必要条件，也不是已经确定的唯一终局。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  <w:pageBreakBefore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5 供应商影响与市场预期</w:t>
      </w:r>
    </w:p>
    <w:tbl>
      <w:tblPr>
        <w:tblStyle w:val="aff1"/>
        <w:tblW w:w="10368" w:type="dxa"/>
        <w:jc w:val="center"/>
        <w:tblLook w:val="04A0" w:firstRow="1" w:lastRow="0" w:firstColumn="1" w:lastColumn="0" w:noHBand="0" w:noVBand="1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0"/>
        <w:gridCol w:w="2300"/>
        <w:gridCol w:w="6368"/>
      </w:tblGrid>
      <w:tr w:rsidR="00FC0AF7" w14:paraId="55271ADA" w14:textId="77777777">
        <w:trPr>
          <w:jc w:val="center"/>
          <w:cantSplit/>
          <w:tblHeader/>
        </w:trPr>
        <w:tc>
          <w:tcPr>
            <w:tcW w:w="170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供应商</w:t>
            </w:r>
          </w:p>
        </w:tc>
        <w:tc>
          <w:tcPr>
            <w:tcW w:w="2300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Oxcap的相对判断</w:t>
            </w:r>
          </w:p>
        </w:tc>
        <w:tc>
          <w:tcPr>
            <w:tcW w:w="6368" w:type="dxa"/>
            <w:shd w:val="clear" w:color="auto" w:fill="17213D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FFFFFF"/>
                <w:lang w:val="en-US" w:eastAsia="zh-CN"/>
                <w:b/>
              </w:rPr>
              <w:t xml:space="preserve">判断依据与限制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Delta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相对有利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电力电子与DC能力强，传统AC业务被替代的负担较小。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Vertiv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相对有利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冷却及电子设备占比较高；传统UPS及冷却产品仍需持续转型。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ABB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较有利但需转型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中压与DC经验、MV UPS布局形成支撑；低压产品仍有变化，冷却布局较少。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Siemens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中压构成支撑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无UPS业务暴露；仍需关注低压电气产品变化。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Schneider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风险与转型机会并存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UPS业务重要；规模和系统能力有助进入sidecar、电池机柜及DC设施。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Eaton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组合持续调整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5F6FA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UPS有压力；冷却和SST相关并购改变机会范围，但不保证未来份额。</w:t>
            </w:r>
          </w:p>
        </w:tc>
      </w:tr>
      <w:tr w:rsidR="00FC0AF7" w14:paraId="1A8F607E" w14:textId="77777777">
        <w:trPr>
          <w:jc w:val="center"/>
          <w:cantSplit/>
        </w:trPr>
        <w:tc>
          <w:tcPr>
            <w:tcW w:w="1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  <w:b/>
              </w:rPr>
              <w:t xml:space="preserve">Legrand</w:t>
            </w:r>
          </w:p>
        </w:tc>
        <w:tc>
          <w:tcPr>
            <w:tcW w:w="2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近端产品压力较直接</w:t>
            </w:r>
          </w:p>
        </w:tc>
        <w:tc>
          <w:tcPr>
            <w:tcW w:w="63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  <w:shd w:val="clear" w:color="auto" w:fill="FFFFFF"/>
          </w:tcPr>
          <w:p>
            <w:pPr>
              <w:spacing w:before="0" w:after="0" w:line="280" w:lineRule="exact"/>
              <w:keepLines/>
              <w:snapToGrid w:val="0"/>
            </w:pPr>
            <w:r>
              <w:rPr>
                <w:rFonts w:ascii="Aptos" w:hAnsi="Aptos" w:eastAsia="Songti SC"/>
                <w:sz w:val="20"/>
                <w:szCs w:val="20"/>
                <w:color w:val="1F263D"/>
                <w:lang w:val="en-US" w:eastAsia="zh-CN"/>
              </w:rPr>
              <w:t xml:space="preserve">机柜PDU受替代；风险已广泛讨论，新品、DC母线和并购可改变组合。</w:t>
            </w:r>
          </w:p>
        </w:tc>
      </w:tr>
    </w:tbl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来源：原文第3、11–14、23、31–33页。以上是Oxcap在2026年9月的观点；产品暴露不等于对应收入全部流失。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Legrand为什么仍可能有增长预期上修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作者认为，数据中心总需求仍可能支持较快增长，而机柜PDU风险已经进入市场讨论。Legrand的组合持续变化，其利润率也未像部分同行一样明显受益于近年的供需紧张和涨价。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第5页情景模型中，DC业务增长20%、非DC增长4%，对应集团约9.8%的复合增速；更保守的15%与2%假设对应约6.6%。这些是作者情景，不是管理层承诺。公司目标、卖方一致预期和市场实际期待还需区分，并统一并购口径。</w:t>
      </w:r>
    </w:p>
    <w:p w14:paraId="4D4B86C8" w14:textId="77777777" w:rsidR="00FC0AF7" w:rsidRDefault="00000000">
      <w:pPr>
        <w:pStyle w:val="1"/>
        <w:keepLines/>
        <w:snapToGrid w:val="0"/>
        <w:spacing w:before="200" w:after="80" w:line="380" w:lineRule="exact"/>
      </w:pPr>
      <w:r>
        <w:rPr>
          <w:rFonts w:ascii="Aptos" w:hAnsi="Aptos" w:eastAsia="PingFang SC"/>
          <w:sz w:val="28"/>
          <w:szCs w:val="28"/>
          <w:color w:val="000000"/>
          <w:lang w:val="en-US" w:eastAsia="zh-CN"/>
          <w:b/>
        </w:rPr>
        <w:t xml:space="preserve">6 后续应追问的问题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采用范围与速度：哪些计算平台和运营商需要800V DC，存量改造与新建项目各自采用什么路线？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价值与利润归属：旧产品退出后，预算移向哪里；原厂商能获得多少新订单，又能保留多少利润率？</w:t>
      </w:r>
    </w:p>
    <w:p w14:paraId="4E850610" w14:textId="77777777" w:rsidR="00FC0AF7" w:rsidRDefault="00000000">
      <w:pPr>
        <w:pStyle w:val="a0"/>
        <w:spacing w:after="85" w:line="300" w:lineRule="exact"/>
        <w:keepLines/>
        <w:snapToGrid w:val="0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交付与经济性：新产品是否通过认证并规模运行；SST价格下降、寿命、可靠性和维护成本如何影响采用？</w:t>
      </w:r>
    </w:p>
    <w:p w14:paraId="657E8DE8" w14:textId="77777777" w:rsidR="00FC0AF7" w:rsidRDefault="00000000">
      <w:pPr>
        <w:pStyle w:val="21"/>
        <w:keepLines/>
        <w:snapToGrid w:val="0"/>
        <w:spacing w:before="150" w:after="80" w:line="330" w:lineRule="exact"/>
      </w:pPr>
      <w:r>
        <w:rPr>
          <w:rFonts w:ascii="Aptos" w:hAnsi="Aptos" w:eastAsia="PingFang SC"/>
          <w:sz w:val="23"/>
          <w:szCs w:val="23"/>
          <w:color w:val="000000"/>
          <w:lang w:val="en-US" w:eastAsia="zh-CN"/>
          <w:b/>
        </w:rPr>
        <w:t xml:space="preserve">数字核对</w:t>
      </w:r>
    </w:p>
    <w:p w14:paraId="418F83A1" w14:textId="77777777" w:rsidR="00FC0AF7" w:rsidRDefault="00000000">
      <w:pPr>
        <w:pStyle w:val="a1"/>
        <w:keepLines/>
        <w:snapToGrid w:val="0"/>
        <w:spacing w:after="90" w:line="300" w:lineRule="exact"/>
      </w:pPr>
      <w:r>
        <w:rPr>
          <w:rFonts w:ascii="Aptos" w:hAnsi="Aptos" w:eastAsia="Songti SC"/>
          <w:sz w:val="21"/>
          <w:szCs w:val="21"/>
          <w:color w:val="1F263D"/>
          <w:lang w:val="en-US" w:eastAsia="zh-CN"/>
        </w:rPr>
        <w:t xml:space="preserve">原文第20页写2030年SST市场约130亿美元，第28页写324亿美元，未解释差异。第26页的效率改善数字也使用了不清晰的比较边界。定量建模前需回溯原始预测，不能把这些数值混用。</w:t>
      </w:r>
    </w:p>
    <w:p w14:paraId="418F83A1" w14:textId="77777777" w:rsidR="00FC0AF7" w:rsidRDefault="00000000">
      <w:pPr>
        <w:pStyle w:val="SourceNote"/>
        <w:keepLines/>
        <w:snapToGrid w:val="0"/>
        <w:spacing w:before="40" w:after="90" w:line="250" w:lineRule="exact"/>
      </w:pPr>
      <w:r>
        <w:rPr>
          <w:rFonts w:ascii="Aptos" w:hAnsi="Aptos" w:eastAsia="Songti SC"/>
          <w:sz w:val="18"/>
          <w:szCs w:val="18"/>
          <w:color w:val="5F6473"/>
          <w:lang w:val="en-US" w:eastAsia="zh-CN"/>
        </w:rPr>
        <w:t xml:space="preserve">Source: Oxcap Analytics, ABB/Legrand CMDs and the 800V DC debate: Asking the right questions, Andreas Willi and Ben Uglow, 22 September 2026. 本笔记延续第06篇的研究框架，归纳9月报告的新增论点。</w:t>
      </w:r>
    </w:p>
    <w:sectPr w:rsidR="00FC0AF7" w:rsidSect="00034616">
      <w:footerReference w:type="default" r:id="rId8"/>
      <w:pgSz w:w="12240" w:h="15840"/>
      <w:pgMar w:top="835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37B8" w14:textId="77777777" w:rsidR="007F1A9C" w:rsidRDefault="007F1A9C">
      <w:pPr>
        <w:spacing w:after="0" w:line="240" w:lineRule="auto"/>
      </w:pPr>
      <w:r>
        <w:separator/>
      </w:r>
    </w:p>
  </w:endnote>
  <w:endnote w:type="continuationSeparator" w:id="0">
    <w:p w14:paraId="119BA5C9" w14:textId="77777777" w:rsidR="007F1A9C" w:rsidRDefault="007F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845E" w14:textId="77C0A30C" w:rsidR="00FC0AF7" w:rsidRDefault="00FC0AF7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BC0FB" w14:textId="77777777" w:rsidR="007F1A9C" w:rsidRDefault="007F1A9C">
      <w:pPr>
        <w:spacing w:after="0" w:line="240" w:lineRule="auto"/>
      </w:pPr>
      <w:r>
        <w:separator/>
      </w:r>
    </w:p>
  </w:footnote>
  <w:footnote w:type="continuationSeparator" w:id="0">
    <w:p w14:paraId="35DFAFA3" w14:textId="77777777" w:rsidR="007F1A9C" w:rsidRDefault="007F1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4381407">
    <w:abstractNumId w:val="8"/>
  </w:num>
  <w:num w:numId="2" w16cid:durableId="1745686343">
    <w:abstractNumId w:val="6"/>
  </w:num>
  <w:num w:numId="3" w16cid:durableId="1016807172">
    <w:abstractNumId w:val="5"/>
  </w:num>
  <w:num w:numId="4" w16cid:durableId="1387291988">
    <w:abstractNumId w:val="4"/>
  </w:num>
  <w:num w:numId="5" w16cid:durableId="626861669">
    <w:abstractNumId w:val="7"/>
  </w:num>
  <w:num w:numId="6" w16cid:durableId="294339830">
    <w:abstractNumId w:val="3"/>
  </w:num>
  <w:num w:numId="7" w16cid:durableId="702049460">
    <w:abstractNumId w:val="2"/>
  </w:num>
  <w:num w:numId="8" w16cid:durableId="1724986238">
    <w:abstractNumId w:val="1"/>
  </w:num>
  <w:num w:numId="9" w16cid:durableId="155061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9A2"/>
    <w:rsid w:val="0066384D"/>
    <w:rsid w:val="007F1A9C"/>
    <w:rsid w:val="00AA1D8D"/>
    <w:rsid w:val="00B47730"/>
    <w:rsid w:val="00CB0664"/>
    <w:rsid w:val="00F12047"/>
    <w:rsid w:val="00F47205"/>
    <w:rsid w:val="00FC0AF7"/>
    <w:rsid w:val="00FC693F"/>
    <w:rsid w:val="00FE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150F70"/>
  <w14:defaultImageDpi w14:val="300"/>
  <w15:docId w15:val="{A7F5ED37-BAB2-4308-8B2D-F473B1C0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70" w:line="252" w:lineRule="auto"/>
    </w:pPr>
    <w:rPr>
      <w:rFonts w:ascii="Aptos" w:hAnsi="Aptos"/>
      <w:color w:val="1F263D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13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57C8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13D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before="40" w:after="40"/>
    </w:pPr>
    <w:rPr>
      <w:rFonts w:ascii="Aptos" w:hAnsi="Aptos"/>
      <w:color w:val="5F6473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Oxcap 800V DC竞争格局与利润变化 阅读笔记</dc:title>
  <dc:subject>2026年9月22日Oxcap报告逻辑总结</dc:subject>
  <dc:creator>python-docx</dc:creator>
  <cp:keywords/>
  <dc:description>generated by python-docx</dc:description>
  <cp:lastModifiedBy>Mike Yang</cp:lastModifiedBy>
  <cp:revision>4</cp:revision>
  <dcterms:created xsi:type="dcterms:W3CDTF">2013-12-23T23:15:00Z</dcterms:created>
  <dcterms:modified xsi:type="dcterms:W3CDTF">2026-09-14T02:06:00Z</dcterms:modified>
  <cp:category/>
</cp:coreProperties>
</file>