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widowControl/>
      </w:pPr>
      <w:r>
        <w:rPr>
          <w:b/>
          <w:color w:val="000000"/>
        </w:rPr>
        <w:t>User-Triggered UAV Dispatching System Technical Guide</w:t>
      </w:r>
    </w:p>
    <w:p>
      <w:pPr>
        <w:keepLines/>
        <w:widowControl/>
      </w:pPr>
      <w:r>
        <w:rPr/>
        <w:t>This guide explains how to set up and operate the Android mobile application, Windows ground station and onboard UAV software. It also describes the three-mode MATLAB simulation, saved results and original system imagery.</w:t>
      </w:r>
    </w:p>
    <w:p>
      <w:pPr>
        <w:pStyle w:val="Heading1"/>
        <w:keepNext/>
        <w:keepLines/>
        <w:widowControl/>
      </w:pPr>
      <w:r>
        <w:rPr>
          <w:b/>
          <w:color w:val="000000"/>
        </w:rPr>
        <w:t>1  Project Contents</w:t>
      </w:r>
    </w:p>
    <w:p>
      <w:pPr>
        <w:keepLines/>
        <w:widowControl/>
      </w:pPr>
      <w:r>
        <w:rPr/>
        <w:t>User-Triggered UAV Dispatching System | Technical Guide | 2 October 2026</w:t>
        <w:br/>
        <w:t>Implementation baseline: UAV-SEARCH-20260928</w:t>
      </w:r>
    </w:p>
    <w:p>
      <w:pPr>
        <w:keepLines/>
        <w:widowControl/>
      </w:pPr>
      <w:r>
        <w:rPr/>
        <w:t>The implementation directory contains the mobile application, ground station and UAV software described in Sections II and III-A of the paper. The separate simulation directory contains the MATLAB search-mission study from Section III-B. Original interface images and outdoor footage accompany the guides. All paths in this guide are relative to the repository root.</w:t>
      </w:r>
    </w:p>
    <w:p>
      <w:pPr>
        <w:pStyle w:val="Heading2"/>
        <w:keepNext/>
        <w:keepLines/>
        <w:widowControl/>
      </w:pPr>
      <w:r>
        <w:rPr>
          <w:b/>
          <w:color w:val="000000"/>
        </w:rPr>
        <w:t>File locations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624"/>
      </w:tblGrid>
      <w:tr>
        <w:trPr>
          <w:cantSplit/>
          <w:tblHeader/>
        </w:trPr>
        <w:tc>
          <w:tcPr>
            <w:tcW w:type="dxa" w:w="3528"/>
            <w:vAlign w:val="center"/>
            <w:tcMar>
              <w:top w:w="70" w:type="dxa"/>
              <w:left w:w="70" w:type="dxa"/>
              <w:bottom w:w="70" w:type="dxa"/>
              <w:right w:w="70" w:type="dxa"/>
            </w:tcMar>
            <w:shd w:fill="F2F2F2"/>
          </w:tcPr>
          <w:p>
            <w:pPr>
              <w:spacing w:after="40" w:before="40"/>
            </w:pPr>
            <w:r>
              <w:rPr>
                <w:b/>
                <w:sz w:val="19"/>
              </w:rPr>
              <w:t>Directory</w:t>
            </w:r>
          </w:p>
        </w:tc>
        <w:tc>
          <w:tcPr>
            <w:tcW w:type="dxa" w:w="6624"/>
            <w:vAlign w:val="center"/>
            <w:tcMar>
              <w:top w:w="70" w:type="dxa"/>
              <w:left w:w="70" w:type="dxa"/>
              <w:bottom w:w="70" w:type="dxa"/>
              <w:right w:w="70" w:type="dxa"/>
            </w:tcMar>
            <w:shd w:fill="F2F2F2"/>
          </w:tcPr>
          <w:p>
            <w:pPr>
              <w:spacing w:after="40" w:before="40"/>
            </w:pPr>
            <w:r>
              <w:rPr>
                <w:b/>
                <w:sz w:val="19"/>
              </w:rPr>
              <w:t>Contents</w:t>
            </w:r>
          </w:p>
        </w:tc>
      </w:tr>
      <w:tr>
        <w:trPr>
          <w:cantSplit/>
        </w:trPr>
        <w:tc>
          <w:tcPr>
            <w:tcW w:type="dxa" w:w="3528"/>
            <w:vAlign w:val="center"/>
            <w:tcMar>
              <w:top w:w="70" w:type="dxa"/>
              <w:left w:w="70" w:type="dxa"/>
              <w:bottom w:w="70" w:type="dxa"/>
              <w:right w:w="70" w:type="dxa"/>
            </w:tcMar>
          </w:tcPr>
          <w:p>
            <w:pPr>
              <w:spacing w:after="40" w:before="40"/>
            </w:pPr>
            <w:r>
              <w:rPr>
                <w:b w:val="0"/>
                <w:sz w:val="19"/>
              </w:rPr>
              <w:t>implementation/</w:t>
            </w:r>
          </w:p>
        </w:tc>
        <w:tc>
          <w:tcPr>
            <w:tcW w:type="dxa" w:w="6624"/>
            <w:vAlign w:val="center"/>
            <w:tcMar>
              <w:top w:w="70" w:type="dxa"/>
              <w:left w:w="70" w:type="dxa"/>
              <w:bottom w:w="70" w:type="dxa"/>
              <w:right w:w="70" w:type="dxa"/>
            </w:tcMar>
          </w:tcPr>
          <w:p>
            <w:pPr>
              <w:spacing w:after="40" w:before="40"/>
            </w:pPr>
            <w:r>
              <w:rPr>
                <w:b w:val="0"/>
                <w:sz w:val="19"/>
              </w:rPr>
              <w:t>Mobile application, ground station and onboard UAV software</w:t>
            </w:r>
          </w:p>
        </w:tc>
      </w:tr>
      <w:tr>
        <w:trPr>
          <w:cantSplit/>
        </w:trPr>
        <w:tc>
          <w:tcPr>
            <w:tcW w:type="dxa" w:w="3528"/>
            <w:vAlign w:val="center"/>
            <w:tcMar>
              <w:top w:w="70" w:type="dxa"/>
              <w:left w:w="70" w:type="dxa"/>
              <w:bottom w:w="70" w:type="dxa"/>
              <w:right w:w="70" w:type="dxa"/>
            </w:tcMar>
          </w:tcPr>
          <w:p>
            <w:pPr>
              <w:spacing w:after="40" w:before="40"/>
            </w:pPr>
            <w:r>
              <w:rPr>
                <w:b w:val="0"/>
                <w:sz w:val="19"/>
              </w:rPr>
              <w:t>simulation/</w:t>
            </w:r>
          </w:p>
        </w:tc>
        <w:tc>
          <w:tcPr>
            <w:tcW w:type="dxa" w:w="6624"/>
            <w:vAlign w:val="center"/>
            <w:tcMar>
              <w:top w:w="70" w:type="dxa"/>
              <w:left w:w="70" w:type="dxa"/>
              <w:bottom w:w="70" w:type="dxa"/>
              <w:right w:w="70" w:type="dxa"/>
            </w:tcMar>
          </w:tcPr>
          <w:p>
            <w:pPr>
              <w:spacing w:after="40" w:before="40"/>
            </w:pPr>
            <w:r>
              <w:rPr>
                <w:b w:val="0"/>
                <w:sz w:val="19"/>
              </w:rPr>
              <w:t>MATLAB scripts, elevation data, trajectories, figures and animation</w:t>
            </w:r>
          </w:p>
        </w:tc>
      </w:tr>
      <w:tr>
        <w:trPr>
          <w:cantSplit/>
        </w:trPr>
        <w:tc>
          <w:tcPr>
            <w:tcW w:type="dxa" w:w="3528"/>
            <w:vAlign w:val="center"/>
            <w:tcMar>
              <w:top w:w="70" w:type="dxa"/>
              <w:left w:w="70" w:type="dxa"/>
              <w:bottom w:w="70" w:type="dxa"/>
              <w:right w:w="70" w:type="dxa"/>
            </w:tcMar>
          </w:tcPr>
          <w:p>
            <w:pPr>
              <w:spacing w:after="40" w:before="40"/>
            </w:pPr>
            <w:r>
              <w:rPr>
                <w:b w:val="0"/>
                <w:sz w:val="19"/>
              </w:rPr>
              <w:t>docs/assets/outdoor/</w:t>
            </w:r>
          </w:p>
        </w:tc>
        <w:tc>
          <w:tcPr>
            <w:tcW w:type="dxa" w:w="6624"/>
            <w:vAlign w:val="center"/>
            <w:tcMar>
              <w:top w:w="70" w:type="dxa"/>
              <w:left w:w="70" w:type="dxa"/>
              <w:bottom w:w="70" w:type="dxa"/>
              <w:right w:w="70" w:type="dxa"/>
            </w:tcMar>
          </w:tcPr>
          <w:p>
            <w:pPr>
              <w:spacing w:after="40" w:before="40"/>
            </w:pPr>
            <w:r>
              <w:rPr>
                <w:b w:val="0"/>
                <w:sz w:val="19"/>
              </w:rPr>
              <w:t>Original outdoor footage, ground-station footage and images</w:t>
            </w:r>
          </w:p>
        </w:tc>
      </w:tr>
      <w:tr>
        <w:trPr>
          <w:cantSplit/>
        </w:trPr>
        <w:tc>
          <w:tcPr>
            <w:tcW w:type="dxa" w:w="3528"/>
            <w:vAlign w:val="center"/>
            <w:tcMar>
              <w:top w:w="70" w:type="dxa"/>
              <w:left w:w="70" w:type="dxa"/>
              <w:bottom w:w="70" w:type="dxa"/>
              <w:right w:w="70" w:type="dxa"/>
            </w:tcMar>
          </w:tcPr>
          <w:p>
            <w:pPr>
              <w:spacing w:after="40" w:before="40"/>
            </w:pPr>
            <w:r>
              <w:rPr>
                <w:b w:val="0"/>
                <w:sz w:val="19"/>
              </w:rPr>
              <w:t>docs/</w:t>
            </w:r>
          </w:p>
        </w:tc>
        <w:tc>
          <w:tcPr>
            <w:tcW w:type="dxa" w:w="6624"/>
            <w:vAlign w:val="center"/>
            <w:tcMar>
              <w:top w:w="70" w:type="dxa"/>
              <w:left w:w="70" w:type="dxa"/>
              <w:bottom w:w="70" w:type="dxa"/>
              <w:right w:w="70" w:type="dxa"/>
            </w:tcMar>
          </w:tcPr>
          <w:p>
            <w:pPr>
              <w:spacing w:after="40" w:before="40"/>
            </w:pPr>
            <w:r>
              <w:rPr>
                <w:b w:val="0"/>
                <w:sz w:val="19"/>
              </w:rPr>
              <w:t>This guide in Word, PDF and Markdown formats</w:t>
            </w:r>
          </w:p>
        </w:tc>
      </w:tr>
      <w:tr>
        <w:trPr>
          <w:cantSplit/>
        </w:trPr>
        <w:tc>
          <w:tcPr>
            <w:tcW w:type="dxa" w:w="3528"/>
            <w:vAlign w:val="center"/>
            <w:tcMar>
              <w:top w:w="70" w:type="dxa"/>
              <w:left w:w="70" w:type="dxa"/>
              <w:bottom w:w="70" w:type="dxa"/>
              <w:right w:w="70" w:type="dxa"/>
            </w:tcMar>
          </w:tcPr>
          <w:p>
            <w:pPr>
              <w:spacing w:after="40" w:before="40"/>
            </w:pPr>
            <w:r>
              <w:rPr>
                <w:b w:val="0"/>
                <w:sz w:val="19"/>
              </w:rPr>
              <w:t>LICENSES/</w:t>
            </w:r>
          </w:p>
        </w:tc>
        <w:tc>
          <w:tcPr>
            <w:tcW w:type="dxa" w:w="6624"/>
            <w:vAlign w:val="center"/>
            <w:tcMar>
              <w:top w:w="70" w:type="dxa"/>
              <w:left w:w="70" w:type="dxa"/>
              <w:bottom w:w="70" w:type="dxa"/>
              <w:right w:w="70" w:type="dxa"/>
            </w:tcMar>
          </w:tcPr>
          <w:p>
            <w:pPr>
              <w:spacing w:after="40" w:before="40"/>
            </w:pPr>
            <w:r>
              <w:rPr>
                <w:b w:val="0"/>
                <w:sz w:val="19"/>
              </w:rPr>
              <w:t>Source licenses and third-party copyright notices</w:t>
            </w:r>
          </w:p>
        </w:tc>
      </w:tr>
    </w:tbl>
    <w:p>
      <w:pPr>
        <w:keepLines/>
        <w:widowControl/>
        <w:spacing w:after="40" w:before="0" w:line="40" w:lineRule="exact"/>
      </w:pPr>
    </w:p>
    <w:p>
      <w:pPr>
        <w:pStyle w:val="Heading2"/>
        <w:keepNext/>
        <w:keepLines/>
        <w:widowControl/>
      </w:pPr>
      <w:r>
        <w:rPr>
          <w:b/>
          <w:color w:val="000000"/>
        </w:rPr>
        <w:t>Component directory abbreviations</w:t>
      </w:r>
    </w:p>
    <w:p>
      <w:pPr>
        <w:keepLines/>
        <w:widowControl/>
      </w:pPr>
      <w:r>
        <w:rPr/>
        <w:t>M, G and U refer to the mobile, ground-station and UAV directories, respectively:</w:t>
      </w:r>
    </w:p>
    <w:p>
      <w:pPr>
        <w:pStyle w:val="NoSpacing"/>
        <w:keepLines/>
        <w:widowControl/>
        <w:spacing w:before="40" w:after="100"/>
      </w:pPr>
      <w:r>
        <w:rPr>
          <w:rFonts w:ascii="Courier New" w:hAnsi="Courier New"/>
          <w:sz w:val="18"/>
        </w:rPr>
        <w:t>implementation/mobile_application</w:t>
        <w:br/>
        <w:t>implementation/ground_station</w:t>
        <w:br/>
        <w:t>implementation/search_uav</w:t>
      </w:r>
    </w:p>
    <w:p>
      <w:pPr>
        <w:pStyle w:val="Heading2"/>
        <w:keepNext/>
        <w:keepLines/>
        <w:widowControl/>
      </w:pPr>
      <w:r>
        <w:rPr>
          <w:b/>
          <w:color w:val="000000"/>
        </w:rPr>
        <w:t>Current behavior</w:t>
      </w:r>
    </w:p>
    <w:p>
      <w:pPr>
        <w:keepLines/>
        <w:widowControl/>
      </w:pPr>
      <w:r>
        <w:rPr/>
        <w:t>Mode 1 estimates the trip end time from the planned route and a fixed walking speed. Mode 2 checks whether the latest valid GPS sample exceeds the configured update timeout. Mode 3 places an SOS request in the verification queue. In all three modes, the operator verifies the situation and confirms a search before creating an event, reviewing its route and dispatching the mission.</w:t>
      </w:r>
    </w:p>
    <w:p>
      <w:pPr>
        <w:keepLines/>
        <w:widowControl/>
      </w:pPr>
      <w:r>
        <w:rPr/>
        <w:t>The software retains its English and Chinese interface options. Section 8 maps the system functions to their implementation files.</w:t>
      </w:r>
    </w:p>
    <w:p>
      <w:pPr>
        <w:pStyle w:val="Heading1"/>
        <w:keepNext/>
        <w:keepLines/>
        <w:widowControl/>
      </w:pPr>
      <w:r>
        <w:rPr>
          <w:b/>
          <w:color w:val="000000"/>
        </w:rPr>
        <w:t>2  Component Setup</w:t>
      </w:r>
    </w:p>
    <w:p>
      <w:pPr>
        <w:keepLines/>
        <w:widowControl/>
      </w:pPr>
      <w:r>
        <w:rPr/>
        <w:t>Use Node.js 24 and the Android SDK/JDK for the mobile application, Python 3.12 with Tk support on Windows for the ground station, and Ubuntu 20.04 with ROS Noetic for the UAV. MATLAB R2025b was used for the saved simulation.</w:t>
      </w:r>
    </w:p>
    <w:p>
      <w:pPr>
        <w:pStyle w:val="Heading2"/>
        <w:keepNext/>
        <w:keepLines/>
        <w:widowControl/>
      </w:pPr>
      <w:r>
        <w:rPr>
          <w:b/>
          <w:color w:val="000000"/>
        </w:rPr>
        <w:t>Android application</w:t>
      </w:r>
    </w:p>
    <w:p>
      <w:pPr>
        <w:keepLines/>
        <w:widowControl/>
      </w:pPr>
      <w:r>
        <w:rPr/>
        <w:t xml:space="preserve">From implementation/mobile_application, install the locked dependencies with npm ci. Copy src/services/db/firebaseConfig.example.ts to src/services/db/firebaseConfig.ts and fill the deployment values. Supply the native Android service configuration and map credentials. Start Metro with npm start and run npm run android in another terminal. The </w:t>
      </w:r>
      <w:hyperlink r:id="rId11">
        <w:r>
          <w:rPr>
            <w:color w:val="000000"/>
          </w:rPr>
          <w:t>mobile guide</w:t>
        </w:r>
      </w:hyperlink>
      <w:r>
        <w:rPr/>
        <w:t xml:space="preserve"> describes the project structure and setup.</w:t>
      </w:r>
    </w:p>
    <w:p>
      <w:pPr>
        <w:pStyle w:val="Heading2"/>
        <w:keepNext/>
        <w:keepLines/>
        <w:widowControl/>
      </w:pPr>
      <w:r>
        <w:rPr>
          <w:b/>
          <w:color w:val="000000"/>
        </w:rPr>
        <w:t>Windows ground station</w:t>
      </w:r>
    </w:p>
    <w:p>
      <w:pPr>
        <w:keepLines/>
        <w:widowControl/>
      </w:pPr>
      <w:r>
        <w:rPr/>
        <w:t>From the repository root in PowerShell, create and activate a Python environment:</w:t>
      </w:r>
    </w:p>
    <w:p>
      <w:pPr>
        <w:pStyle w:val="NoSpacing"/>
        <w:keepLines/>
        <w:widowControl/>
        <w:spacing w:before="40" w:after="100"/>
      </w:pPr>
      <w:r>
        <w:rPr>
          <w:rFonts w:ascii="Courier New" w:hAnsi="Courier New"/>
          <w:sz w:val="18"/>
        </w:rPr>
        <w:t>py -3.12 -m venv .venv</w:t>
        <w:br/>
        <w:t>.\.venv\Scripts\Activate.ps1</w:t>
        <w:br/>
        <w:t>python -m pip install -r implementation\ground_station\requirements.txt</w:t>
      </w:r>
    </w:p>
    <w:p>
      <w:pPr>
        <w:keepLines/>
        <w:widowControl/>
      </w:pPr>
      <w:r>
        <w:rPr/>
        <w:t>Fill implementation/ground_station/config/runtime.env using the adjacent example, then export its settings before launching the application. Section 4 gives the runtime settings and launch commands. To produce the executable, install implementation/ground_station/packaging/requirements-build.txt and run implementation/ground_station/packaging/build_windows_release.ps1.</w:t>
      </w:r>
    </w:p>
    <w:p>
      <w:pPr>
        <w:pStyle w:val="Heading2"/>
        <w:keepNext/>
        <w:keepLines/>
        <w:widowControl/>
      </w:pPr>
      <w:r>
        <w:rPr>
          <w:b/>
          <w:color w:val="000000"/>
        </w:rPr>
        <w:t>Onboard software and simulation</w:t>
      </w:r>
    </w:p>
    <w:p>
      <w:pPr>
        <w:keepLines/>
        <w:widowControl/>
      </w:pPr>
      <w:r>
        <w:rPr/>
        <w:t xml:space="preserve">Follow </w:t>
      </w:r>
      <w:hyperlink r:id="rId12">
        <w:r>
          <w:rPr>
            <w:color w:val="000000"/>
          </w:rPr>
          <w:t>Flight environment setup</w:t>
        </w:r>
      </w:hyperlink>
      <w:r>
        <w:rPr/>
        <w:t xml:space="preserve"> for the external flight workspace and ROS dependencies. Build the flight workspace before rescue_bridge. Section 5 describes the installed components; Section 6 gives the MATLAB entry points and scenario parameters.</w:t>
      </w:r>
    </w:p>
    <w:p>
      <w:pPr>
        <w:pStyle w:val="Heading1"/>
        <w:keepNext/>
        <w:keepLines/>
        <w:widowControl/>
      </w:pPr>
      <w:r>
        <w:rPr>
          <w:b/>
          <w:color w:val="000000"/>
        </w:rPr>
        <w:t>3  Mobile Records and Trip-Time Estimation</w:t>
      </w:r>
    </w:p>
    <w:p>
      <w:pPr>
        <w:pStyle w:val="Heading2"/>
        <w:keepNext/>
        <w:keepLines/>
        <w:widowControl/>
      </w:pPr>
      <w:r>
        <w:rPr>
          <w:b/>
          <w:color w:val="000000"/>
        </w:rPr>
        <w:t>Mode 1 Event Booking</w:t>
      </w:r>
    </w:p>
    <w:p>
      <w:pPr>
        <w:keepLines/>
        <w:widowControl/>
      </w:pPr>
      <w:r>
        <w:rPr/>
        <w:t>The user enters a trip name, departure date and departure time, then selects successive locations along the planned route on the map. The interface displays the estimated end date and time automatically. Editing the route, departure date or departure time recalculates the estimate.</w:t>
      </w:r>
    </w:p>
    <w:p>
      <w:pPr>
        <w:keepLines/>
        <w:widowControl/>
      </w:pPr>
      <w:r>
        <w:rPr/>
        <w:t>The application uses the Haversine formula between consecutive coordinates and sums these distances. It uses a fixed walking speed of 4 km/h and rounds the estimated duration up to a whole minute. The end timestamp is the departure timestamp plus that duration. Dates spanning midnight, a year boundary or a leap day retain the complete end timestamp.</w:t>
      </w:r>
    </w:p>
    <w:p>
      <w:pPr>
        <w:pStyle w:val="NoSpacing"/>
        <w:keepLines/>
        <w:widowControl/>
        <w:spacing w:before="40" w:after="100"/>
      </w:pPr>
      <w:r>
        <w:rPr>
          <w:rFonts w:ascii="Courier New" w:hAnsi="Courier New"/>
          <w:sz w:val="18"/>
        </w:rPr>
        <w:t>duration_minutes = ceil(route_distance_m / 4000 * 60)</w:t>
        <w:br/>
        <w:t>end_time = departure_time + duration_minutes * 60 seconds</w:t>
      </w:r>
    </w:p>
    <w:p>
      <w:pPr>
        <w:keepLines/>
        <w:widowControl/>
      </w:pPr>
      <w:r>
        <w:rPr/>
        <w:t>The 4 km/h value follows the general walking-time reference in Ordnance Survey's Map Reading guide. This estimate uses horizontal route distance; selected points should represent the planned route turns. Gradient, ground conditions and stops affect actual duration, so an overdue record still requires operator contact and verification.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624"/>
      </w:tblGrid>
      <w:tr>
        <w:trPr>
          <w:cantSplit/>
          <w:tblHeader/>
        </w:trPr>
        <w:tc>
          <w:tcPr>
            <w:tcW w:type="dxa" w:w="3528"/>
            <w:vAlign w:val="center"/>
            <w:tcMar>
              <w:top w:w="70" w:type="dxa"/>
              <w:left w:w="70" w:type="dxa"/>
              <w:bottom w:w="70" w:type="dxa"/>
              <w:right w:w="70" w:type="dxa"/>
            </w:tcMar>
            <w:shd w:fill="F2F2F2"/>
          </w:tcPr>
          <w:p>
            <w:pPr>
              <w:spacing w:after="40" w:before="40"/>
            </w:pPr>
            <w:r>
              <w:rPr>
                <w:b/>
                <w:sz w:val="19"/>
              </w:rPr>
              <w:t>Stored field</w:t>
            </w:r>
          </w:p>
        </w:tc>
        <w:tc>
          <w:tcPr>
            <w:tcW w:type="dxa" w:w="6624"/>
            <w:vAlign w:val="center"/>
            <w:tcMar>
              <w:top w:w="70" w:type="dxa"/>
              <w:left w:w="70" w:type="dxa"/>
              <w:bottom w:w="70" w:type="dxa"/>
              <w:right w:w="70" w:type="dxa"/>
            </w:tcMar>
            <w:shd w:fill="F2F2F2"/>
          </w:tcPr>
          <w:p>
            <w:pPr>
              <w:spacing w:after="40" w:before="40"/>
            </w:pPr>
            <w:r>
              <w:rPr>
                <w:b/>
                <w:sz w:val="19"/>
              </w:rPr>
              <w:t>Meaning</w:t>
            </w:r>
          </w:p>
        </w:tc>
      </w:tr>
      <w:tr>
        <w:trPr>
          <w:cantSplit/>
        </w:trPr>
        <w:tc>
          <w:tcPr>
            <w:tcW w:type="dxa" w:w="3528"/>
            <w:vAlign w:val="center"/>
            <w:tcMar>
              <w:top w:w="70" w:type="dxa"/>
              <w:left w:w="70" w:type="dxa"/>
              <w:bottom w:w="70" w:type="dxa"/>
              <w:right w:w="70" w:type="dxa"/>
            </w:tcMar>
          </w:tcPr>
          <w:p>
            <w:pPr>
              <w:spacing w:after="40" w:before="40"/>
            </w:pPr>
            <w:r>
              <w:rPr>
                <w:b w:val="0"/>
                <w:sz w:val="19"/>
              </w:rPr>
              <w:t>waypoints</w:t>
            </w:r>
          </w:p>
        </w:tc>
        <w:tc>
          <w:tcPr>
            <w:tcW w:type="dxa" w:w="6624"/>
            <w:vAlign w:val="center"/>
            <w:tcMar>
              <w:top w:w="70" w:type="dxa"/>
              <w:left w:w="70" w:type="dxa"/>
              <w:bottom w:w="70" w:type="dxa"/>
              <w:right w:w="70" w:type="dxa"/>
            </w:tcMar>
          </w:tcPr>
          <w:p>
            <w:pPr>
              <w:spacing w:after="40" w:before="40"/>
            </w:pPr>
            <w:r>
              <w:rPr>
                <w:b w:val="0"/>
                <w:sz w:val="19"/>
              </w:rPr>
              <w:t>Planned route positions in the order selected by the user</w:t>
            </w:r>
          </w:p>
        </w:tc>
      </w:tr>
      <w:tr>
        <w:trPr>
          <w:cantSplit/>
        </w:trPr>
        <w:tc>
          <w:tcPr>
            <w:tcW w:type="dxa" w:w="3528"/>
            <w:vAlign w:val="center"/>
            <w:tcMar>
              <w:top w:w="70" w:type="dxa"/>
              <w:left w:w="70" w:type="dxa"/>
              <w:bottom w:w="70" w:type="dxa"/>
              <w:right w:w="70" w:type="dxa"/>
            </w:tcMar>
          </w:tcPr>
          <w:p>
            <w:pPr>
              <w:spacing w:after="40" w:before="40"/>
            </w:pPr>
            <w:r>
              <w:rPr>
                <w:b w:val="0"/>
                <w:sz w:val="19"/>
              </w:rPr>
              <w:t>expectedEndAtMs</w:t>
            </w:r>
          </w:p>
        </w:tc>
        <w:tc>
          <w:tcPr>
            <w:tcW w:type="dxa" w:w="6624"/>
            <w:vAlign w:val="center"/>
            <w:tcMar>
              <w:top w:w="70" w:type="dxa"/>
              <w:left w:w="70" w:type="dxa"/>
              <w:bottom w:w="70" w:type="dxa"/>
              <w:right w:w="70" w:type="dxa"/>
            </w:tcMar>
          </w:tcPr>
          <w:p>
            <w:pPr>
              <w:spacing w:after="40" w:before="40"/>
            </w:pPr>
            <w:r>
              <w:rPr>
                <w:b w:val="0"/>
                <w:sz w:val="19"/>
              </w:rPr>
              <w:t>Estimated end timestamp in Unix milliseconds</w:t>
            </w:r>
          </w:p>
        </w:tc>
      </w:tr>
      <w:tr>
        <w:trPr>
          <w:cantSplit/>
        </w:trPr>
        <w:tc>
          <w:tcPr>
            <w:tcW w:type="dxa" w:w="3528"/>
            <w:vAlign w:val="center"/>
            <w:tcMar>
              <w:top w:w="70" w:type="dxa"/>
              <w:left w:w="70" w:type="dxa"/>
              <w:bottom w:w="70" w:type="dxa"/>
              <w:right w:w="70" w:type="dxa"/>
            </w:tcMar>
          </w:tcPr>
          <w:p>
            <w:pPr>
              <w:spacing w:after="40" w:before="40"/>
            </w:pPr>
            <w:r>
              <w:rPr>
                <w:b w:val="0"/>
                <w:sz w:val="19"/>
              </w:rPr>
              <w:t>endDate / endTime</w:t>
            </w:r>
          </w:p>
        </w:tc>
        <w:tc>
          <w:tcPr>
            <w:tcW w:type="dxa" w:w="6624"/>
            <w:vAlign w:val="center"/>
            <w:tcMar>
              <w:top w:w="70" w:type="dxa"/>
              <w:left w:w="70" w:type="dxa"/>
              <w:bottom w:w="70" w:type="dxa"/>
              <w:right w:w="70" w:type="dxa"/>
            </w:tcMar>
          </w:tcPr>
          <w:p>
            <w:pPr>
              <w:spacing w:after="40" w:before="40"/>
            </w:pPr>
            <w:r>
              <w:rPr>
                <w:b w:val="0"/>
                <w:sz w:val="19"/>
              </w:rPr>
              <w:t>End date and time displayed by the interface</w:t>
            </w:r>
          </w:p>
        </w:tc>
      </w:tr>
      <w:tr>
        <w:trPr>
          <w:cantSplit/>
        </w:trPr>
        <w:tc>
          <w:tcPr>
            <w:tcW w:type="dxa" w:w="3528"/>
            <w:vAlign w:val="center"/>
            <w:tcMar>
              <w:top w:w="70" w:type="dxa"/>
              <w:left w:w="70" w:type="dxa"/>
              <w:bottom w:w="70" w:type="dxa"/>
              <w:right w:w="70" w:type="dxa"/>
            </w:tcMar>
          </w:tcPr>
          <w:p>
            <w:pPr>
              <w:spacing w:after="40" w:before="40"/>
            </w:pPr>
            <w:r>
              <w:rPr>
                <w:b w:val="0"/>
                <w:sz w:val="19"/>
              </w:rPr>
              <w:t>routeDistanceM</w:t>
            </w:r>
          </w:p>
        </w:tc>
        <w:tc>
          <w:tcPr>
            <w:tcW w:type="dxa" w:w="6624"/>
            <w:vAlign w:val="center"/>
            <w:tcMar>
              <w:top w:w="70" w:type="dxa"/>
              <w:left w:w="70" w:type="dxa"/>
              <w:bottom w:w="70" w:type="dxa"/>
              <w:right w:w="70" w:type="dxa"/>
            </w:tcMar>
          </w:tcPr>
          <w:p>
            <w:pPr>
              <w:spacing w:after="40" w:before="40"/>
            </w:pPr>
            <w:r>
              <w:rPr>
                <w:b w:val="0"/>
                <w:sz w:val="19"/>
              </w:rPr>
              <w:t>Total route distance in metres</w:t>
            </w:r>
          </w:p>
        </w:tc>
      </w:tr>
      <w:tr>
        <w:trPr>
          <w:cantSplit/>
        </w:trPr>
        <w:tc>
          <w:tcPr>
            <w:tcW w:type="dxa" w:w="3528"/>
            <w:vAlign w:val="center"/>
            <w:tcMar>
              <w:top w:w="70" w:type="dxa"/>
              <w:left w:w="70" w:type="dxa"/>
              <w:bottom w:w="70" w:type="dxa"/>
              <w:right w:w="70" w:type="dxa"/>
            </w:tcMar>
          </w:tcPr>
          <w:p>
            <w:pPr>
              <w:spacing w:after="40" w:before="40"/>
            </w:pPr>
            <w:r>
              <w:rPr>
                <w:b w:val="0"/>
                <w:sz w:val="19"/>
              </w:rPr>
              <w:t>estimatedDurationMinutes</w:t>
            </w:r>
          </w:p>
        </w:tc>
        <w:tc>
          <w:tcPr>
            <w:tcW w:type="dxa" w:w="6624"/>
            <w:vAlign w:val="center"/>
            <w:tcMar>
              <w:top w:w="70" w:type="dxa"/>
              <w:left w:w="70" w:type="dxa"/>
              <w:bottom w:w="70" w:type="dxa"/>
              <w:right w:w="70" w:type="dxa"/>
            </w:tcMar>
          </w:tcPr>
          <w:p>
            <w:pPr>
              <w:spacing w:after="40" w:before="40"/>
            </w:pPr>
            <w:r>
              <w:rPr>
                <w:b w:val="0"/>
                <w:sz w:val="19"/>
              </w:rPr>
              <w:t>Estimated duration, rounded up to whole minutes</w:t>
            </w:r>
          </w:p>
        </w:tc>
      </w:tr>
      <w:tr>
        <w:trPr>
          <w:cantSplit/>
        </w:trPr>
        <w:tc>
          <w:tcPr>
            <w:tcW w:type="dxa" w:w="3528"/>
            <w:vAlign w:val="center"/>
            <w:tcMar>
              <w:top w:w="70" w:type="dxa"/>
              <w:left w:w="70" w:type="dxa"/>
              <w:bottom w:w="70" w:type="dxa"/>
              <w:right w:w="70" w:type="dxa"/>
            </w:tcMar>
          </w:tcPr>
          <w:p>
            <w:pPr>
              <w:spacing w:after="40" w:before="40"/>
            </w:pPr>
            <w:r>
              <w:rPr>
                <w:b w:val="0"/>
                <w:sz w:val="19"/>
              </w:rPr>
              <w:t>walkingSpeedKmh</w:t>
            </w:r>
          </w:p>
        </w:tc>
        <w:tc>
          <w:tcPr>
            <w:tcW w:type="dxa" w:w="6624"/>
            <w:vAlign w:val="center"/>
            <w:tcMar>
              <w:top w:w="70" w:type="dxa"/>
              <w:left w:w="70" w:type="dxa"/>
              <w:bottom w:w="70" w:type="dxa"/>
              <w:right w:w="70" w:type="dxa"/>
            </w:tcMar>
          </w:tcPr>
          <w:p>
            <w:pPr>
              <w:spacing w:after="40" w:before="40"/>
            </w:pPr>
            <w:r>
              <w:rPr>
                <w:b w:val="0"/>
                <w:sz w:val="19"/>
              </w:rPr>
              <w:t>Fixed value: 4</w:t>
            </w:r>
          </w:p>
        </w:tc>
      </w:tr>
      <w:tr>
        <w:trPr>
          <w:cantSplit/>
        </w:trPr>
        <w:tc>
          <w:tcPr>
            <w:tcW w:type="dxa" w:w="3528"/>
            <w:vAlign w:val="center"/>
            <w:tcMar>
              <w:top w:w="70" w:type="dxa"/>
              <w:left w:w="70" w:type="dxa"/>
              <w:bottom w:w="70" w:type="dxa"/>
              <w:right w:w="70" w:type="dxa"/>
            </w:tcMar>
          </w:tcPr>
          <w:p>
            <w:pPr>
              <w:spacing w:after="40" w:before="40"/>
            </w:pPr>
            <w:r>
              <w:rPr>
                <w:b w:val="0"/>
                <w:sz w:val="19"/>
              </w:rPr>
              <w:t>estimationMethod</w:t>
            </w:r>
          </w:p>
        </w:tc>
        <w:tc>
          <w:tcPr>
            <w:tcW w:type="dxa" w:w="6624"/>
            <w:vAlign w:val="center"/>
            <w:tcMar>
              <w:top w:w="70" w:type="dxa"/>
              <w:left w:w="70" w:type="dxa"/>
              <w:bottom w:w="70" w:type="dxa"/>
              <w:right w:w="70" w:type="dxa"/>
            </w:tcMar>
          </w:tcPr>
          <w:p>
            <w:pPr>
              <w:spacing w:after="40" w:before="40"/>
            </w:pPr>
            <w:r>
              <w:rPr>
                <w:b w:val="0"/>
                <w:sz w:val="19"/>
              </w:rPr>
              <w:t>route_distance_fixed_speed_v1</w:t>
            </w:r>
          </w:p>
        </w:tc>
      </w:tr>
    </w:tbl>
    <w:p>
      <w:pPr>
        <w:keepLines/>
        <w:widowControl/>
        <w:spacing w:after="40" w:before="0" w:line="40" w:lineRule="exact"/>
      </w:pPr>
    </w:p>
    <w:p>
      <w:pPr>
        <w:pStyle w:val="Heading2"/>
        <w:keepNext/>
        <w:keepLines/>
        <w:widowControl/>
      </w:pPr>
      <w:r>
        <w:rPr>
          <w:b/>
          <w:color w:val="000000"/>
        </w:rPr>
        <w:t>Mode 2 Quick Start and Mode 3 SOS</w:t>
      </w:r>
    </w:p>
    <w:p>
      <w:pPr>
        <w:keepLines/>
        <w:widowControl/>
      </w:pPr>
      <w:r>
        <w:rPr/>
        <w:t>Mode 2 uploads GPS positions and sample timestamps during the hike. The ground station checks the latest valid sample for a timeout and uses the uploaded position history when preparing a flight. Mode 3 stores the location and request information recorded when the user activates SOS, for operator verification and square-spiral route generation.</w:t>
      </w:r>
    </w:p>
    <w:p>
      <w:pPr>
        <w:keepLines/>
        <w:widowControl/>
      </w:pPr>
      <w:r>
        <w:rPr/>
        <w:t>Mode 2 uses sampling time, not upload or receipt time. A stationary position with fresh samples does not trigger the current update-timeout rule. SOS uploads go to this system's Firebase database and ground station. The separate Call 999 Now button opens the phone dialer. The manuscript retains an earlier interface screenshot; the current English and Chinese SOS instructions explicitly describe ground-station operator verification.</w:t>
      </w:r>
    </w:p>
    <w:p>
      <w:pPr>
        <w:keepLines/>
        <w:widowControl/>
      </w:pPr>
      <w:r>
        <w:rPr/>
        <w:t>Implementation: M/src/services/eventBookingRecord.ts. Booking interface: M/src/pages/EventBookingPage.tsx.</w:t>
      </w:r>
    </w:p>
    <w:p>
      <w:pPr>
        <w:keepLines/>
        <w:widowControl/>
      </w:pPr>
      <w:r>
        <w:rPr/>
        <w:t>Reference: Ordnance Survey, Map Reading, “Timing”, printed page 23. The complete source link is in docs/Sources.txt.</w:t>
      </w:r>
    </w:p>
    <w:p>
      <w:pPr>
        <w:pStyle w:val="Heading2"/>
        <w:keepNext/>
        <w:keepLines/>
        <w:widowControl/>
      </w:pPr>
      <w:r>
        <w:rPr>
          <w:b/>
          <w:color w:val="000000"/>
        </w:rPr>
        <w:t>Mobile deployment configuration</w:t>
      </w:r>
    </w:p>
    <w:p>
      <w:pPr>
        <w:keepLines/>
        <w:widowControl/>
      </w:pPr>
      <w:r>
        <w:rPr/>
        <w:t>The current mobile source supports Android only. For device operation, fill M/src/services/db/firebaseConfig.ts with the project's client configuration and use the same Realtime Database URL as the ground station. Configure the Android toolchain, native Firebase files and map credentials separately. From M, npm start starts Metro; npm run android invokes the Android build.</w:t>
      </w:r>
    </w:p>
    <w:p>
      <w:pPr>
        <w:pStyle w:val="Heading1"/>
        <w:keepNext/>
        <w:keepLines/>
        <w:widowControl/>
      </w:pPr>
      <w:r>
        <w:rPr>
          <w:b/>
          <w:color w:val="000000"/>
        </w:rPr>
        <w:t>4  Ground-Station Verification and Dispatch</w:t>
      </w:r>
    </w:p>
    <w:p>
      <w:pPr>
        <w:pStyle w:val="Heading2"/>
        <w:keepNext/>
        <w:keepLines/>
        <w:widowControl/>
      </w:pPr>
      <w:r>
        <w:rPr>
          <w:b/>
          <w:color w:val="000000"/>
        </w:rPr>
        <w:t>Common verification procedure</w:t>
      </w:r>
    </w:p>
    <w:p>
      <w:pPr>
        <w:keepLines/>
        <w:widowControl/>
      </w:pPr>
      <w:r>
        <w:rPr/>
        <w:t>Overdue bookings, GPS update timeouts and new SOS requests enter the verification queue. The operator reads the user and emergency-contact details, contacts them and records the outcome. A confirmed safe status closes the alert. If safety cannot be confirmed, the operator contacts the available emergency contacts. After completing these records, the operator explicitly confirms a search before the platform creates a search event.</w:t>
      </w:r>
    </w:p>
    <w:p>
      <w:pPr>
        <w:keepLines/>
        <w:widowControl/>
      </w:pPr>
      <w:r>
        <w:rPr/>
        <w:t>An SOS request no longer creates a dispatchable event directly. Repeated scans or confirmations do not create duplicates. A cancelled SOS cannot be confirmed through a stale alert. An unverified SOS event from the earlier implementation must complete contact verification before route preparation, provided it has not already entered execution.</w:t>
      </w:r>
    </w:p>
    <w:p>
      <w:pPr>
        <w:pStyle w:val="Heading2"/>
        <w:keepNext/>
        <w:keepLines/>
        <w:widowControl/>
      </w:pPr>
      <w:r>
        <w:rPr>
          <w:b/>
          <w:color w:val="000000"/>
        </w:rPr>
        <w:t>Select an event, review its route and dispatch</w:t>
      </w:r>
    </w:p>
    <w:p>
      <w:pPr>
        <w:keepLines/>
        <w:widowControl/>
      </w:pPr>
      <w:r>
        <w:rPr/>
        <w:t>After the operator selects an event, the ground station reads the associated user records and generates a route. Mode 1 uses the planned route; Mode 2 uses GPS history ordered by sample time; Mode 3 generates a square spiral around the SOS location. The operator reviews the route and settings before dispatch. Changes to the relevant records or operation state require the mission to be prepared again.</w:t>
      </w:r>
    </w:p>
    <w:p>
      <w:pPr>
        <w:keepLines/>
        <w:widowControl/>
      </w:pPr>
      <w:r>
        <w:rPr/>
        <w:t>All three modes have the same initial event priority and the same waiting-time rule. SOS mode alone does not assign the highest priority. The operator selects and dispatches the mission.</w:t>
      </w:r>
    </w:p>
    <w:p>
      <w:pPr>
        <w:pStyle w:val="Heading2"/>
        <w:keepNext/>
        <w:keepLines/>
        <w:widowControl/>
      </w:pPr>
      <w:r>
        <w:rPr>
          <w:b/>
          <w:color w:val="000000"/>
        </w:rPr>
        <w:t>Runtime configuration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472"/>
      </w:tblGrid>
      <w:tr>
        <w:trPr>
          <w:cantSplit/>
          <w:tblHeader/>
        </w:trPr>
        <w:tc>
          <w:tcPr>
            <w:tcW w:type="dxa" w:w="4680"/>
            <w:vAlign w:val="center"/>
            <w:tcMar>
              <w:top w:w="70" w:type="dxa"/>
              <w:left w:w="70" w:type="dxa"/>
              <w:bottom w:w="70" w:type="dxa"/>
              <w:right w:w="70" w:type="dxa"/>
            </w:tcMar>
            <w:shd w:fill="F2F2F2"/>
          </w:tcPr>
          <w:p>
            <w:pPr>
              <w:spacing w:after="40" w:before="40"/>
            </w:pPr>
            <w:r>
              <w:rPr>
                <w:b/>
                <w:sz w:val="19"/>
              </w:rPr>
              <w:t>Setting</w:t>
            </w:r>
          </w:p>
        </w:tc>
        <w:tc>
          <w:tcPr>
            <w:tcW w:type="dxa" w:w="5472"/>
            <w:vAlign w:val="center"/>
            <w:tcMar>
              <w:top w:w="70" w:type="dxa"/>
              <w:left w:w="70" w:type="dxa"/>
              <w:bottom w:w="70" w:type="dxa"/>
              <w:right w:w="70" w:type="dxa"/>
            </w:tcMar>
            <w:shd w:fill="F2F2F2"/>
          </w:tcPr>
          <w:p>
            <w:pPr>
              <w:spacing w:after="40" w:before="40"/>
            </w:pPr>
            <w:r>
              <w:rPr>
                <w:b/>
                <w:sz w:val="19"/>
              </w:rPr>
              <w:t>Purpose</w:t>
            </w:r>
          </w:p>
        </w:tc>
      </w:tr>
      <w:tr>
        <w:trPr>
          <w:cantSplit/>
        </w:trPr>
        <w:tc>
          <w:tcPr>
            <w:tcW w:type="dxa" w:w="4680"/>
            <w:vAlign w:val="center"/>
            <w:tcMar>
              <w:top w:w="70" w:type="dxa"/>
              <w:left w:w="70" w:type="dxa"/>
              <w:bottom w:w="70" w:type="dxa"/>
              <w:right w:w="70" w:type="dxa"/>
            </w:tcMar>
          </w:tcPr>
          <w:p>
            <w:pPr>
              <w:spacing w:after="40" w:before="40"/>
            </w:pPr>
            <w:r>
              <w:rPr>
                <w:b w:val="0"/>
                <w:sz w:val="19"/>
              </w:rPr>
              <w:t>GS_FIREBASE_DATABASE_URL</w:t>
            </w:r>
          </w:p>
        </w:tc>
        <w:tc>
          <w:tcPr>
            <w:tcW w:type="dxa" w:w="5472"/>
            <w:vAlign w:val="center"/>
            <w:tcMar>
              <w:top w:w="70" w:type="dxa"/>
              <w:left w:w="70" w:type="dxa"/>
              <w:bottom w:w="70" w:type="dxa"/>
              <w:right w:w="70" w:type="dxa"/>
            </w:tcMar>
          </w:tcPr>
          <w:p>
            <w:pPr>
              <w:spacing w:after="40" w:before="40"/>
            </w:pPr>
            <w:r>
              <w:rPr>
                <w:b w:val="0"/>
                <w:sz w:val="19"/>
              </w:rPr>
              <w:t>Database URL shared with the mobile application</w:t>
            </w:r>
          </w:p>
        </w:tc>
      </w:tr>
      <w:tr>
        <w:trPr>
          <w:cantSplit/>
        </w:trPr>
        <w:tc>
          <w:tcPr>
            <w:tcW w:type="dxa" w:w="4680"/>
            <w:vAlign w:val="center"/>
            <w:tcMar>
              <w:top w:w="70" w:type="dxa"/>
              <w:left w:w="70" w:type="dxa"/>
              <w:bottom w:w="70" w:type="dxa"/>
              <w:right w:w="70" w:type="dxa"/>
            </w:tcMar>
          </w:tcPr>
          <w:p>
            <w:pPr>
              <w:spacing w:after="40" w:before="40"/>
            </w:pPr>
            <w:r>
              <w:rPr>
                <w:b w:val="0"/>
                <w:sz w:val="19"/>
              </w:rPr>
              <w:t>GS_FIREBASE_CREDENTIALS</w:t>
            </w:r>
          </w:p>
        </w:tc>
        <w:tc>
          <w:tcPr>
            <w:tcW w:type="dxa" w:w="5472"/>
            <w:vAlign w:val="center"/>
            <w:tcMar>
              <w:top w:w="70" w:type="dxa"/>
              <w:left w:w="70" w:type="dxa"/>
              <w:bottom w:w="70" w:type="dxa"/>
              <w:right w:w="70" w:type="dxa"/>
            </w:tcMar>
          </w:tcPr>
          <w:p>
            <w:pPr>
              <w:spacing w:after="40" w:before="40"/>
            </w:pPr>
            <w:r>
              <w:rPr>
                <w:b w:val="0"/>
                <w:sz w:val="19"/>
              </w:rPr>
              <w:t>Local service-account file path</w:t>
            </w:r>
          </w:p>
        </w:tc>
      </w:tr>
      <w:tr>
        <w:trPr>
          <w:cantSplit/>
        </w:trPr>
        <w:tc>
          <w:tcPr>
            <w:tcW w:type="dxa" w:w="4680"/>
            <w:vAlign w:val="center"/>
            <w:tcMar>
              <w:top w:w="70" w:type="dxa"/>
              <w:left w:w="70" w:type="dxa"/>
              <w:bottom w:w="70" w:type="dxa"/>
              <w:right w:w="70" w:type="dxa"/>
            </w:tcMar>
          </w:tcPr>
          <w:p>
            <w:pPr>
              <w:spacing w:after="40" w:before="40"/>
            </w:pPr>
            <w:r>
              <w:rPr>
                <w:b w:val="0"/>
                <w:sz w:val="19"/>
              </w:rPr>
              <w:t>GS_T_LOCATION_UPDATE_SECONDS</w:t>
            </w:r>
          </w:p>
        </w:tc>
        <w:tc>
          <w:tcPr>
            <w:tcW w:type="dxa" w:w="5472"/>
            <w:vAlign w:val="center"/>
            <w:tcMar>
              <w:top w:w="70" w:type="dxa"/>
              <w:left w:w="70" w:type="dxa"/>
              <w:bottom w:w="70" w:type="dxa"/>
              <w:right w:w="70" w:type="dxa"/>
            </w:tcMar>
          </w:tcPr>
          <w:p>
            <w:pPr>
              <w:spacing w:after="40" w:before="40"/>
            </w:pPr>
            <w:r>
              <w:rPr>
                <w:b w:val="0"/>
                <w:sz w:val="19"/>
              </w:rPr>
              <w:t>Positive Mode 2 update timeout, in seconds</w:t>
            </w:r>
          </w:p>
        </w:tc>
      </w:tr>
      <w:tr>
        <w:trPr>
          <w:cantSplit/>
        </w:trPr>
        <w:tc>
          <w:tcPr>
            <w:tcW w:type="dxa" w:w="4680"/>
            <w:vAlign w:val="center"/>
            <w:tcMar>
              <w:top w:w="70" w:type="dxa"/>
              <w:left w:w="70" w:type="dxa"/>
              <w:bottom w:w="70" w:type="dxa"/>
              <w:right w:w="70" w:type="dxa"/>
            </w:tcMar>
          </w:tcPr>
          <w:p>
            <w:pPr>
              <w:spacing w:after="40" w:before="40"/>
            </w:pPr>
            <w:r>
              <w:rPr>
                <w:b w:val="0"/>
                <w:sz w:val="19"/>
              </w:rPr>
              <w:t>GS_T_WAIT_SECONDS</w:t>
            </w:r>
          </w:p>
        </w:tc>
        <w:tc>
          <w:tcPr>
            <w:tcW w:type="dxa" w:w="5472"/>
            <w:vAlign w:val="center"/>
            <w:tcMar>
              <w:top w:w="70" w:type="dxa"/>
              <w:left w:w="70" w:type="dxa"/>
              <w:bottom w:w="70" w:type="dxa"/>
              <w:right w:w="70" w:type="dxa"/>
            </w:tcMar>
          </w:tcPr>
          <w:p>
            <w:pPr>
              <w:spacing w:after="40" w:before="40"/>
            </w:pPr>
            <w:r>
              <w:rPr>
                <w:b w:val="0"/>
                <w:sz w:val="19"/>
              </w:rPr>
              <w:t>Positive queue waiting-time threshold, in seconds</w:t>
            </w:r>
          </w:p>
        </w:tc>
      </w:tr>
      <w:tr>
        <w:trPr>
          <w:cantSplit/>
        </w:trPr>
        <w:tc>
          <w:tcPr>
            <w:tcW w:type="dxa" w:w="4680"/>
            <w:vAlign w:val="center"/>
            <w:tcMar>
              <w:top w:w="70" w:type="dxa"/>
              <w:left w:w="70" w:type="dxa"/>
              <w:bottom w:w="70" w:type="dxa"/>
              <w:right w:w="70" w:type="dxa"/>
            </w:tcMar>
          </w:tcPr>
          <w:p>
            <w:pPr>
              <w:spacing w:after="40" w:before="40"/>
            </w:pPr>
            <w:r>
              <w:rPr>
                <w:b w:val="0"/>
                <w:sz w:val="19"/>
              </w:rPr>
              <w:t>GS_EVENT_TIMEZONE</w:t>
            </w:r>
          </w:p>
        </w:tc>
        <w:tc>
          <w:tcPr>
            <w:tcW w:type="dxa" w:w="5472"/>
            <w:vAlign w:val="center"/>
            <w:tcMar>
              <w:top w:w="70" w:type="dxa"/>
              <w:left w:w="70" w:type="dxa"/>
              <w:bottom w:w="70" w:type="dxa"/>
              <w:right w:w="70" w:type="dxa"/>
            </w:tcMar>
          </w:tcPr>
          <w:p>
            <w:pPr>
              <w:spacing w:after="40" w:before="40"/>
            </w:pPr>
            <w:r>
              <w:rPr>
                <w:b w:val="0"/>
                <w:sz w:val="19"/>
              </w:rPr>
              <w:t>Time zone for legacy bookings; template: Asia/Hong_Kong</w:t>
            </w:r>
          </w:p>
        </w:tc>
      </w:tr>
      <w:tr>
        <w:trPr>
          <w:cantSplit/>
        </w:trPr>
        <w:tc>
          <w:tcPr>
            <w:tcW w:type="dxa" w:w="4680"/>
            <w:vAlign w:val="center"/>
            <w:tcMar>
              <w:top w:w="70" w:type="dxa"/>
              <w:left w:w="70" w:type="dxa"/>
              <w:bottom w:w="70" w:type="dxa"/>
              <w:right w:w="70" w:type="dxa"/>
            </w:tcMar>
          </w:tcPr>
          <w:p>
            <w:pPr>
              <w:spacing w:after="40" w:before="40"/>
            </w:pPr>
            <w:r>
              <w:rPr>
                <w:b w:val="0"/>
                <w:sz w:val="19"/>
              </w:rPr>
              <w:t>GS_STATE_DIR</w:t>
            </w:r>
          </w:p>
        </w:tc>
        <w:tc>
          <w:tcPr>
            <w:tcW w:type="dxa" w:w="5472"/>
            <w:vAlign w:val="center"/>
            <w:tcMar>
              <w:top w:w="70" w:type="dxa"/>
              <w:left w:w="70" w:type="dxa"/>
              <w:bottom w:w="70" w:type="dxa"/>
              <w:right w:w="70" w:type="dxa"/>
            </w:tcMar>
          </w:tcPr>
          <w:p>
            <w:pPr>
              <w:spacing w:after="40" w:before="40"/>
            </w:pPr>
            <w:r>
              <w:rPr>
                <w:b w:val="0"/>
                <w:sz w:val="19"/>
              </w:rPr>
              <w:t>Local directory for dispatch journal files</w:t>
            </w:r>
          </w:p>
        </w:tc>
      </w:tr>
      <w:tr>
        <w:trPr>
          <w:cantSplit/>
        </w:trPr>
        <w:tc>
          <w:tcPr>
            <w:tcW w:type="dxa" w:w="4680"/>
            <w:vAlign w:val="center"/>
            <w:tcMar>
              <w:top w:w="70" w:type="dxa"/>
              <w:left w:w="70" w:type="dxa"/>
              <w:bottom w:w="70" w:type="dxa"/>
              <w:right w:w="70" w:type="dxa"/>
            </w:tcMar>
          </w:tcPr>
          <w:p>
            <w:pPr>
              <w:spacing w:after="40" w:before="40"/>
            </w:pPr>
            <w:r>
              <w:rPr>
                <w:b w:val="0"/>
                <w:sz w:val="19"/>
              </w:rPr>
              <w:t>Communication endpoint</w:t>
            </w:r>
          </w:p>
        </w:tc>
        <w:tc>
          <w:tcPr>
            <w:tcW w:type="dxa" w:w="5472"/>
            <w:vAlign w:val="center"/>
            <w:tcMar>
              <w:top w:w="70" w:type="dxa"/>
              <w:left w:w="70" w:type="dxa"/>
              <w:bottom w:w="70" w:type="dxa"/>
              <w:right w:w="70" w:type="dxa"/>
            </w:tcMar>
          </w:tcPr>
          <w:p>
            <w:pPr>
              <w:spacing w:after="40" w:before="40"/>
            </w:pPr>
            <w:r>
              <w:rPr>
                <w:b w:val="0"/>
                <w:sz w:val="19"/>
              </w:rPr>
              <w:t>Shared service address and port; see G/config/runtime.env.example</w:t>
            </w:r>
          </w:p>
        </w:tc>
      </w:tr>
    </w:tbl>
    <w:p>
      <w:pPr>
        <w:keepLines/>
        <w:widowControl/>
        <w:spacing w:after="40" w:before="0" w:line="40" w:lineRule="exact"/>
      </w:pPr>
    </w:p>
    <w:p>
      <w:pPr>
        <w:keepLines/>
        <w:widowControl/>
      </w:pPr>
      <w:r>
        <w:rPr/>
        <w:t>Use G/config/runtime.env.example as the template. Supply and export the actual values, then run python main.py from G. Both threshold fields are blank in the template.</w:t>
      </w:r>
    </w:p>
    <w:p>
      <w:pPr>
        <w:keepLines/>
        <w:widowControl/>
      </w:pPr>
      <w:r>
        <w:rPr/>
        <w:t>Copy the template to G/config/runtime.env and fill it locally. The application reads exported environment variables. From the repository root in PowerShell:</w:t>
      </w:r>
    </w:p>
    <w:p>
      <w:pPr>
        <w:pStyle w:val="NoSpacing"/>
        <w:keepLines/>
        <w:widowControl/>
        <w:spacing w:before="40" w:after="100"/>
      </w:pPr>
      <w:r>
        <w:rPr>
          <w:rFonts w:ascii="Courier New" w:hAnsi="Courier New"/>
          <w:sz w:val="18"/>
        </w:rPr>
        <w:t>Get-Content implementation\ground_station\config\runtime.env | ForEach-Object {</w:t>
        <w:br/>
        <w:t xml:space="preserve">    if ($_ -match '^\s*([^#=\s]+)=(.*)$') {</w:t>
        <w:br/>
        <w:t xml:space="preserve">        [Environment]::SetEnvironmentVariable($matches[1], $matches[2].Trim(), 'Process')</w:t>
        <w:br/>
        <w:t xml:space="preserve">    }</w:t>
        <w:br/>
        <w:t>}</w:t>
        <w:br/>
        <w:t>Set-Location implementation\ground_station</w:t>
        <w:br/>
        <w:t>python main.py</w:t>
      </w:r>
    </w:p>
    <w:p>
      <w:pPr>
        <w:keepLines/>
        <w:widowControl/>
      </w:pPr>
      <w:r>
        <w:rPr/>
        <w:t>Both the ground station and UAV must reach the configured broker over the deployment network. Use the same database URL in the mobile and ground-station configuration.</w:t>
      </w:r>
    </w:p>
    <w:p>
      <w:pPr>
        <w:keepLines/>
        <w:widowControl/>
      </w:pPr>
      <w:r>
        <w:rPr/>
        <w:t>Verification logic: G/src/rescue_event_manager.py. Persistence and mission preparation: G/src/rescue_repository.py, G/src/active_event_queue.py and G/src/ground_station.py.</w:t>
      </w:r>
    </w:p>
    <w:p>
      <w:pPr>
        <w:pStyle w:val="Heading1"/>
        <w:keepNext/>
        <w:keepLines/>
        <w:widowControl/>
      </w:pPr>
      <w:r>
        <w:rPr>
          <w:b/>
          <w:color w:val="000000"/>
        </w:rPr>
        <w:t>5  UAV Software and External Flight Stack</w:t>
      </w:r>
    </w:p>
    <w:p>
      <w:pPr>
        <w:pStyle w:val="Heading2"/>
        <w:keepNext/>
        <w:keepLines/>
        <w:widowControl/>
      </w:pPr>
      <w:r>
        <w:rPr>
          <w:b/>
          <w:color w:val="000000"/>
        </w:rPr>
        <w:t>Mission reception and execution status</w:t>
      </w:r>
    </w:p>
    <w:p>
      <w:pPr>
        <w:keepLines/>
        <w:widowControl/>
      </w:pPr>
      <w:r>
        <w:rPr/>
        <w:t>The ground station and UAV exchange missions and status over Wi-Fi. A mission contains event and execution identifiers, a waypoint sequence, flight altitude, hover duration and return settings. The bridge validates the mission, passes it to the flight program and reports waypoint arrivals and mission stages to the ground station.</w:t>
      </w:r>
    </w:p>
    <w:p>
      <w:pPr>
        <w:keepLines/>
        <w:widowControl/>
      </w:pPr>
      <w:r>
        <w:rPr/>
        <w:t>The phone-record receiver saves uploads received through its HTTP interface. After a matching mission reports completion of all waypoints and requests landing, the receiver forwards stored records to the ground station. The ground station saves each record and returns an acknowledgement matching its identifier and content hash. The UAV then marks that transfer as complete. The recording program saves downward-facing video on the onboard computer.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624"/>
      </w:tblGrid>
      <w:tr>
        <w:trPr>
          <w:cantSplit/>
          <w:tblHeader/>
        </w:trPr>
        <w:tc>
          <w:tcPr>
            <w:tcW w:type="dxa" w:w="3528"/>
            <w:vAlign w:val="center"/>
            <w:tcMar>
              <w:top w:w="70" w:type="dxa"/>
              <w:left w:w="70" w:type="dxa"/>
              <w:bottom w:w="70" w:type="dxa"/>
              <w:right w:w="70" w:type="dxa"/>
            </w:tcMar>
            <w:shd w:fill="F2F2F2"/>
          </w:tcPr>
          <w:p>
            <w:pPr>
              <w:spacing w:after="40" w:before="40"/>
            </w:pPr>
            <w:r>
              <w:rPr>
                <w:b/>
                <w:sz w:val="19"/>
              </w:rPr>
              <w:t>Location within U</w:t>
            </w:r>
          </w:p>
        </w:tc>
        <w:tc>
          <w:tcPr>
            <w:tcW w:type="dxa" w:w="6624"/>
            <w:vAlign w:val="center"/>
            <w:tcMar>
              <w:top w:w="70" w:type="dxa"/>
              <w:left w:w="70" w:type="dxa"/>
              <w:bottom w:w="70" w:type="dxa"/>
              <w:right w:w="70" w:type="dxa"/>
            </w:tcMar>
            <w:shd w:fill="F2F2F2"/>
          </w:tcPr>
          <w:p>
            <w:pPr>
              <w:spacing w:after="40" w:before="40"/>
            </w:pPr>
            <w:r>
              <w:rPr>
                <w:b/>
                <w:sz w:val="19"/>
              </w:rPr>
              <w:t>Purpose</w:t>
            </w:r>
          </w:p>
        </w:tc>
      </w:tr>
      <w:tr>
        <w:trPr>
          <w:cantSplit/>
        </w:trPr>
        <w:tc>
          <w:tcPr>
            <w:tcW w:type="dxa" w:w="3528"/>
            <w:vAlign w:val="center"/>
            <w:tcMar>
              <w:top w:w="70" w:type="dxa"/>
              <w:left w:w="70" w:type="dxa"/>
              <w:bottom w:w="70" w:type="dxa"/>
              <w:right w:w="70" w:type="dxa"/>
            </w:tcMar>
          </w:tcPr>
          <w:p>
            <w:pPr>
              <w:spacing w:after="40" w:before="40"/>
            </w:pPr>
            <w:r>
              <w:rPr>
                <w:b w:val="0"/>
                <w:sz w:val="19"/>
              </w:rPr>
              <w:t>catkin_ws/src/rescue_bridge/src/</w:t>
            </w:r>
          </w:p>
        </w:tc>
        <w:tc>
          <w:tcPr>
            <w:tcW w:type="dxa" w:w="6624"/>
            <w:vAlign w:val="center"/>
            <w:tcMar>
              <w:top w:w="70" w:type="dxa"/>
              <w:left w:w="70" w:type="dxa"/>
              <w:bottom w:w="70" w:type="dxa"/>
              <w:right w:w="70" w:type="dxa"/>
            </w:tcMar>
          </w:tcPr>
          <w:p>
            <w:pPr>
              <w:spacing w:after="40" w:before="40"/>
            </w:pPr>
            <w:r>
              <w:rPr>
                <w:b w:val="0"/>
                <w:sz w:val="19"/>
              </w:rPr>
              <w:t>Mission communication and execution programs</w:t>
            </w:r>
          </w:p>
        </w:tc>
      </w:tr>
      <w:tr>
        <w:trPr>
          <w:cantSplit/>
        </w:trPr>
        <w:tc>
          <w:tcPr>
            <w:tcW w:type="dxa" w:w="3528"/>
            <w:vAlign w:val="center"/>
            <w:tcMar>
              <w:top w:w="70" w:type="dxa"/>
              <w:left w:w="70" w:type="dxa"/>
              <w:bottom w:w="70" w:type="dxa"/>
              <w:right w:w="70" w:type="dxa"/>
            </w:tcMar>
          </w:tcPr>
          <w:p>
            <w:pPr>
              <w:spacing w:after="40" w:before="40"/>
            </w:pPr>
            <w:r>
              <w:rPr>
                <w:b w:val="0"/>
                <w:sz w:val="19"/>
              </w:rPr>
              <w:t>catkin_ws/src/rescue_bridge/src/mission_commander.cpp</w:t>
            </w:r>
          </w:p>
        </w:tc>
        <w:tc>
          <w:tcPr>
            <w:tcW w:type="dxa" w:w="6624"/>
            <w:vAlign w:val="center"/>
            <w:tcMar>
              <w:top w:w="70" w:type="dxa"/>
              <w:left w:w="70" w:type="dxa"/>
              <w:bottom w:w="70" w:type="dxa"/>
              <w:right w:w="70" w:type="dxa"/>
            </w:tcMar>
          </w:tcPr>
          <w:p>
            <w:pPr>
              <w:spacing w:after="40" w:before="40"/>
            </w:pPr>
            <w:r>
              <w:rPr>
                <w:b w:val="0"/>
                <w:sz w:val="19"/>
              </w:rPr>
              <w:t>Waypoint and return-stage execution</w:t>
            </w:r>
          </w:p>
        </w:tc>
      </w:tr>
      <w:tr>
        <w:trPr>
          <w:cantSplit/>
        </w:trPr>
        <w:tc>
          <w:tcPr>
            <w:tcW w:type="dxa" w:w="3528"/>
            <w:vAlign w:val="center"/>
            <w:tcMar>
              <w:top w:w="70" w:type="dxa"/>
              <w:left w:w="70" w:type="dxa"/>
              <w:bottom w:w="70" w:type="dxa"/>
              <w:right w:w="70" w:type="dxa"/>
            </w:tcMar>
          </w:tcPr>
          <w:p>
            <w:pPr>
              <w:spacing w:after="40" w:before="40"/>
            </w:pPr>
            <w:r>
              <w:rPr>
                <w:b w:val="0"/>
                <w:sz w:val="19"/>
              </w:rPr>
              <w:t>drone_system/receiver/phone_sos_receiver.py</w:t>
            </w:r>
          </w:p>
        </w:tc>
        <w:tc>
          <w:tcPr>
            <w:tcW w:type="dxa" w:w="6624"/>
            <w:vAlign w:val="center"/>
            <w:tcMar>
              <w:top w:w="70" w:type="dxa"/>
              <w:left w:w="70" w:type="dxa"/>
              <w:bottom w:w="70" w:type="dxa"/>
              <w:right w:w="70" w:type="dxa"/>
            </w:tcMar>
          </w:tcPr>
          <w:p>
            <w:pPr>
              <w:spacing w:after="40" w:before="40"/>
            </w:pPr>
            <w:r>
              <w:rPr>
                <w:b w:val="0"/>
                <w:sz w:val="19"/>
              </w:rPr>
              <w:t>Phone-record reception, storage and forwarding</w:t>
            </w:r>
          </w:p>
        </w:tc>
      </w:tr>
      <w:tr>
        <w:trPr>
          <w:cantSplit/>
        </w:trPr>
        <w:tc>
          <w:tcPr>
            <w:tcW w:type="dxa" w:w="3528"/>
            <w:vAlign w:val="center"/>
            <w:tcMar>
              <w:top w:w="70" w:type="dxa"/>
              <w:left w:w="70" w:type="dxa"/>
              <w:bottom w:w="70" w:type="dxa"/>
              <w:right w:w="70" w:type="dxa"/>
            </w:tcMar>
          </w:tcPr>
          <w:p>
            <w:pPr>
              <w:spacing w:after="40" w:before="40"/>
            </w:pPr>
            <w:r>
              <w:rPr>
                <w:b w:val="0"/>
                <w:sz w:val="19"/>
              </w:rPr>
              <w:t>drone_system/launcher/cam_recorder.py</w:t>
            </w:r>
          </w:p>
        </w:tc>
        <w:tc>
          <w:tcPr>
            <w:tcW w:type="dxa" w:w="6624"/>
            <w:vAlign w:val="center"/>
            <w:tcMar>
              <w:top w:w="70" w:type="dxa"/>
              <w:left w:w="70" w:type="dxa"/>
              <w:bottom w:w="70" w:type="dxa"/>
              <w:right w:w="70" w:type="dxa"/>
            </w:tcMar>
          </w:tcPr>
          <w:p>
            <w:pPr>
              <w:spacing w:after="40" w:before="40"/>
            </w:pPr>
            <w:r>
              <w:rPr>
                <w:b w:val="0"/>
                <w:sz w:val="19"/>
              </w:rPr>
              <w:t>Onboard video recording</w:t>
            </w:r>
          </w:p>
        </w:tc>
      </w:tr>
      <w:tr>
        <w:trPr>
          <w:cantSplit/>
        </w:trPr>
        <w:tc>
          <w:tcPr>
            <w:tcW w:type="dxa" w:w="3528"/>
            <w:vAlign w:val="center"/>
            <w:tcMar>
              <w:top w:w="70" w:type="dxa"/>
              <w:left w:w="70" w:type="dxa"/>
              <w:bottom w:w="70" w:type="dxa"/>
              <w:right w:w="70" w:type="dxa"/>
            </w:tcMar>
          </w:tcPr>
          <w:p>
            <w:pPr>
              <w:spacing w:after="40" w:before="40"/>
            </w:pPr>
            <w:r>
              <w:rPr>
                <w:b w:val="0"/>
                <w:sz w:val="19"/>
              </w:rPr>
              <w:t>drone_system/launcher/drone_console.py</w:t>
            </w:r>
          </w:p>
        </w:tc>
        <w:tc>
          <w:tcPr>
            <w:tcW w:type="dxa" w:w="6624"/>
            <w:vAlign w:val="center"/>
            <w:tcMar>
              <w:top w:w="70" w:type="dxa"/>
              <w:left w:w="70" w:type="dxa"/>
              <w:bottom w:w="70" w:type="dxa"/>
              <w:right w:w="70" w:type="dxa"/>
            </w:tcMar>
          </w:tcPr>
          <w:p>
            <w:pPr>
              <w:spacing w:after="40" w:before="40"/>
            </w:pPr>
            <w:r>
              <w:rPr>
                <w:b w:val="0"/>
                <w:sz w:val="19"/>
              </w:rPr>
              <w:t>Onboard program status and settings interface</w:t>
            </w:r>
          </w:p>
        </w:tc>
      </w:tr>
    </w:tbl>
    <w:p>
      <w:pPr>
        <w:keepLines/>
        <w:widowControl/>
        <w:spacing w:after="40" w:before="0" w:line="40" w:lineRule="exact"/>
      </w:pPr>
    </w:p>
    <w:p>
      <w:pPr>
        <w:pStyle w:val="Heading2"/>
        <w:keepNext/>
        <w:keepLines/>
        <w:widowControl/>
      </w:pPr>
      <w:r>
        <w:rPr>
          <w:b/>
          <w:color w:val="000000"/>
        </w:rPr>
        <w:t>Pinned external dependency</w:t>
      </w:r>
    </w:p>
    <w:p>
      <w:pPr>
        <w:keepLines/>
        <w:widowControl/>
      </w:pPr>
      <w:r>
        <w:rPr/>
        <w:t>The flight stack uses Fast-Drone-250 from the original Drone repository at the commit below. The external dependency retains its own licenses and documentation.</w:t>
      </w:r>
    </w:p>
    <w:p>
      <w:pPr>
        <w:pStyle w:val="NoSpacing"/>
        <w:keepLines/>
        <w:widowControl/>
        <w:spacing w:before="40" w:after="100"/>
      </w:pPr>
      <w:r>
        <w:rPr>
          <w:rFonts w:ascii="Courier New" w:hAnsi="Courier New"/>
          <w:sz w:val="18"/>
        </w:rPr>
        <w:t>b3ac1591b63d15270c9856e7b664da0cf9d3ea48</w:t>
      </w:r>
    </w:p>
    <w:p>
      <w:pPr>
        <w:keepLines/>
        <w:widowControl/>
      </w:pPr>
      <w:r>
        <w:rPr/>
        <w:t xml:space="preserve">Download and placement commands are in </w:t>
      </w:r>
      <w:hyperlink r:id="rId12">
        <w:r>
          <w:rPr>
            <w:color w:val="000000"/>
          </w:rPr>
          <w:t>Flight environment setup</w:t>
        </w:r>
      </w:hyperlink>
      <w:r>
        <w:rPr/>
        <w:t>. Place the Fast-Drone-250 workspace, rescue_bridge catkin workspace and drone_system directory in the configured onboard workspace. Set directory paths, camera indices, serial ports and sensor calibration for that installation.</w:t>
      </w:r>
    </w:p>
    <w:p>
      <w:pPr>
        <w:keepLines/>
        <w:widowControl/>
      </w:pPr>
      <w:r>
        <w:rPr/>
        <w:t>The ROS environment uses Noetic and catkin. Build the external flight workspace before the rescue_bridge workspace. The default flight altitude in rescue_bridge.launch is the original project setting of 5 m. The 80 m above-ground setting in Section 6 belongs to the separate MATLAB simulation.</w:t>
      </w:r>
    </w:p>
    <w:p>
      <w:pPr>
        <w:keepLines/>
        <w:widowControl/>
      </w:pPr>
      <w:r>
        <w:rPr/>
        <w:t>Phone-receiver settings are in U/drone_system/config/rescue_receiver.env.example. Set UAV_RESCUE_TOKEN when exposing the interface on the local network. Keep database credentials, runtime tokens and actual user records in their respective deployment environments.</w:t>
      </w:r>
    </w:p>
    <w:p>
      <w:pPr>
        <w:pStyle w:val="Heading1"/>
        <w:keepNext/>
        <w:keepLines/>
        <w:widowControl/>
      </w:pPr>
      <w:r>
        <w:rPr>
          <w:b/>
          <w:color w:val="000000"/>
        </w:rPr>
        <w:t>6  Three-Mode MATLAB Terrain Simulation</w:t>
      </w:r>
    </w:p>
    <w:p>
      <w:pPr>
        <w:keepLines/>
        <w:widowControl/>
      </w:pPr>
      <w:r>
        <w:rPr/>
        <w:t>The simulation uses terrain near Pak Tam Chung, Sai Kung. The three modes share a launch location and a target in the hills, using a planned route, pre-dispatch GPS history and a square spiral around the target, respectively. Each mission includes takeoff, cruise, target-area activity, return and landing.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624"/>
      </w:tblGrid>
      <w:tr>
        <w:trPr>
          <w:cantSplit/>
          <w:tblHeader/>
        </w:trPr>
        <w:tc>
          <w:tcPr>
            <w:tcW w:type="dxa" w:w="3528"/>
            <w:vAlign w:val="center"/>
            <w:tcMar>
              <w:top w:w="70" w:type="dxa"/>
              <w:left w:w="70" w:type="dxa"/>
              <w:bottom w:w="70" w:type="dxa"/>
              <w:right w:w="70" w:type="dxa"/>
            </w:tcMar>
            <w:shd w:fill="F2F2F2"/>
          </w:tcPr>
          <w:p>
            <w:pPr>
              <w:spacing w:after="40" w:before="40"/>
            </w:pPr>
            <w:r>
              <w:rPr>
                <w:b/>
                <w:sz w:val="19"/>
              </w:rPr>
              <w:t>Setting</w:t>
            </w:r>
          </w:p>
        </w:tc>
        <w:tc>
          <w:tcPr>
            <w:tcW w:type="dxa" w:w="6624"/>
            <w:vAlign w:val="center"/>
            <w:tcMar>
              <w:top w:w="70" w:type="dxa"/>
              <w:left w:w="70" w:type="dxa"/>
              <w:bottom w:w="70" w:type="dxa"/>
              <w:right w:w="70" w:type="dxa"/>
            </w:tcMar>
            <w:shd w:fill="F2F2F2"/>
          </w:tcPr>
          <w:p>
            <w:pPr>
              <w:spacing w:after="40" w:before="40"/>
            </w:pPr>
            <w:r>
              <w:rPr>
                <w:b/>
                <w:sz w:val="19"/>
              </w:rPr>
              <w:t>Value</w:t>
            </w:r>
          </w:p>
        </w:tc>
      </w:tr>
      <w:tr>
        <w:trPr>
          <w:cantSplit/>
        </w:trPr>
        <w:tc>
          <w:tcPr>
            <w:tcW w:type="dxa" w:w="3528"/>
            <w:vAlign w:val="center"/>
            <w:tcMar>
              <w:top w:w="70" w:type="dxa"/>
              <w:left w:w="70" w:type="dxa"/>
              <w:bottom w:w="70" w:type="dxa"/>
              <w:right w:w="70" w:type="dxa"/>
            </w:tcMar>
          </w:tcPr>
          <w:p>
            <w:pPr>
              <w:spacing w:after="40" w:before="40"/>
            </w:pPr>
            <w:r>
              <w:rPr>
                <w:b w:val="0"/>
                <w:sz w:val="19"/>
              </w:rPr>
              <w:t>Random seed</w:t>
            </w:r>
          </w:p>
        </w:tc>
        <w:tc>
          <w:tcPr>
            <w:tcW w:type="dxa" w:w="6624"/>
            <w:vAlign w:val="center"/>
            <w:tcMar>
              <w:top w:w="70" w:type="dxa"/>
              <w:left w:w="70" w:type="dxa"/>
              <w:bottom w:w="70" w:type="dxa"/>
              <w:right w:w="70" w:type="dxa"/>
            </w:tcMar>
          </w:tcPr>
          <w:p>
            <w:pPr>
              <w:spacing w:after="40" w:before="40"/>
            </w:pPr>
            <w:r>
              <w:rPr>
                <w:b w:val="0"/>
                <w:sz w:val="19"/>
              </w:rPr>
              <w:t>20260926</w:t>
            </w:r>
          </w:p>
        </w:tc>
      </w:tr>
      <w:tr>
        <w:trPr>
          <w:cantSplit/>
        </w:trPr>
        <w:tc>
          <w:tcPr>
            <w:tcW w:type="dxa" w:w="3528"/>
            <w:vAlign w:val="center"/>
            <w:tcMar>
              <w:top w:w="70" w:type="dxa"/>
              <w:left w:w="70" w:type="dxa"/>
              <w:bottom w:w="70" w:type="dxa"/>
              <w:right w:w="70" w:type="dxa"/>
            </w:tcMar>
          </w:tcPr>
          <w:p>
            <w:pPr>
              <w:spacing w:after="40" w:before="40"/>
            </w:pPr>
            <w:r>
              <w:rPr>
                <w:b w:val="0"/>
                <w:sz w:val="19"/>
              </w:rPr>
              <w:t>Launch location</w:t>
            </w:r>
          </w:p>
        </w:tc>
        <w:tc>
          <w:tcPr>
            <w:tcW w:type="dxa" w:w="6624"/>
            <w:vAlign w:val="center"/>
            <w:tcMar>
              <w:top w:w="70" w:type="dxa"/>
              <w:left w:w="70" w:type="dxa"/>
              <w:bottom w:w="70" w:type="dxa"/>
              <w:right w:w="70" w:type="dxa"/>
            </w:tcMar>
          </w:tcPr>
          <w:p>
            <w:pPr>
              <w:spacing w:after="40" w:before="40"/>
            </w:pPr>
            <w:r>
              <w:rPr>
                <w:b w:val="0"/>
                <w:sz w:val="19"/>
              </w:rPr>
              <w:t>22.402° N, 114.322° E</w:t>
            </w:r>
          </w:p>
        </w:tc>
      </w:tr>
      <w:tr>
        <w:trPr>
          <w:cantSplit/>
        </w:trPr>
        <w:tc>
          <w:tcPr>
            <w:tcW w:type="dxa" w:w="3528"/>
            <w:vAlign w:val="center"/>
            <w:tcMar>
              <w:top w:w="70" w:type="dxa"/>
              <w:left w:w="70" w:type="dxa"/>
              <w:bottom w:w="70" w:type="dxa"/>
              <w:right w:w="70" w:type="dxa"/>
            </w:tcMar>
          </w:tcPr>
          <w:p>
            <w:pPr>
              <w:spacing w:after="40" w:before="40"/>
            </w:pPr>
            <w:r>
              <w:rPr>
                <w:b w:val="0"/>
                <w:sz w:val="19"/>
              </w:rPr>
              <w:t>Target location</w:t>
            </w:r>
          </w:p>
        </w:tc>
        <w:tc>
          <w:tcPr>
            <w:tcW w:type="dxa" w:w="6624"/>
            <w:vAlign w:val="center"/>
            <w:tcMar>
              <w:top w:w="70" w:type="dxa"/>
              <w:left w:w="70" w:type="dxa"/>
              <w:bottom w:w="70" w:type="dxa"/>
              <w:right w:w="70" w:type="dxa"/>
            </w:tcMar>
          </w:tcPr>
          <w:p>
            <w:pPr>
              <w:spacing w:after="40" w:before="40"/>
            </w:pPr>
            <w:r>
              <w:rPr>
                <w:b w:val="0"/>
                <w:sz w:val="19"/>
              </w:rPr>
              <w:t>22.40782761° N, 114.35687745° E</w:t>
            </w:r>
          </w:p>
        </w:tc>
      </w:tr>
      <w:tr>
        <w:trPr>
          <w:cantSplit/>
        </w:trPr>
        <w:tc>
          <w:tcPr>
            <w:tcW w:type="dxa" w:w="3528"/>
            <w:vAlign w:val="center"/>
            <w:tcMar>
              <w:top w:w="70" w:type="dxa"/>
              <w:left w:w="70" w:type="dxa"/>
              <w:bottom w:w="70" w:type="dxa"/>
              <w:right w:w="70" w:type="dxa"/>
            </w:tcMar>
          </w:tcPr>
          <w:p>
            <w:pPr>
              <w:spacing w:after="40" w:before="40"/>
            </w:pPr>
            <w:r>
              <w:rPr>
                <w:b w:val="0"/>
                <w:sz w:val="19"/>
              </w:rPr>
              <w:t>Target ground elevation</w:t>
            </w:r>
          </w:p>
        </w:tc>
        <w:tc>
          <w:tcPr>
            <w:tcW w:type="dxa" w:w="6624"/>
            <w:vAlign w:val="center"/>
            <w:tcMar>
              <w:top w:w="70" w:type="dxa"/>
              <w:left w:w="70" w:type="dxa"/>
              <w:bottom w:w="70" w:type="dxa"/>
              <w:right w:w="70" w:type="dxa"/>
            </w:tcMar>
          </w:tcPr>
          <w:p>
            <w:pPr>
              <w:spacing w:after="40" w:before="40"/>
            </w:pPr>
            <w:r>
              <w:rPr>
                <w:b w:val="0"/>
                <w:sz w:val="19"/>
              </w:rPr>
              <w:t>Approximately 177.44 m</w:t>
            </w:r>
          </w:p>
        </w:tc>
      </w:tr>
      <w:tr>
        <w:trPr>
          <w:cantSplit/>
        </w:trPr>
        <w:tc>
          <w:tcPr>
            <w:tcW w:type="dxa" w:w="3528"/>
            <w:vAlign w:val="center"/>
            <w:tcMar>
              <w:top w:w="70" w:type="dxa"/>
              <w:left w:w="70" w:type="dxa"/>
              <w:bottom w:w="70" w:type="dxa"/>
              <w:right w:w="70" w:type="dxa"/>
            </w:tcMar>
          </w:tcPr>
          <w:p>
            <w:pPr>
              <w:spacing w:after="40" w:before="40"/>
            </w:pPr>
            <w:r>
              <w:rPr>
                <w:b w:val="0"/>
                <w:sz w:val="19"/>
              </w:rPr>
              <w:t>Cruise altitude above ground</w:t>
            </w:r>
          </w:p>
        </w:tc>
        <w:tc>
          <w:tcPr>
            <w:tcW w:type="dxa" w:w="6624"/>
            <w:vAlign w:val="center"/>
            <w:tcMar>
              <w:top w:w="70" w:type="dxa"/>
              <w:left w:w="70" w:type="dxa"/>
              <w:bottom w:w="70" w:type="dxa"/>
              <w:right w:w="70" w:type="dxa"/>
            </w:tcMar>
          </w:tcPr>
          <w:p>
            <w:pPr>
              <w:spacing w:after="40" w:before="40"/>
            </w:pPr>
            <w:r>
              <w:rPr>
                <w:b w:val="0"/>
                <w:sz w:val="19"/>
              </w:rPr>
              <w:t>80 m, following the terrain</w:t>
            </w:r>
          </w:p>
        </w:tc>
      </w:tr>
      <w:tr>
        <w:trPr>
          <w:cantSplit/>
        </w:trPr>
        <w:tc>
          <w:tcPr>
            <w:tcW w:type="dxa" w:w="3528"/>
            <w:vAlign w:val="center"/>
            <w:tcMar>
              <w:top w:w="70" w:type="dxa"/>
              <w:left w:w="70" w:type="dxa"/>
              <w:bottom w:w="70" w:type="dxa"/>
              <w:right w:w="70" w:type="dxa"/>
            </w:tcMar>
          </w:tcPr>
          <w:p>
            <w:pPr>
              <w:spacing w:after="40" w:before="40"/>
            </w:pPr>
            <w:r>
              <w:rPr>
                <w:b w:val="0"/>
                <w:sz w:val="19"/>
              </w:rPr>
              <w:t>Speed limits</w:t>
            </w:r>
          </w:p>
        </w:tc>
        <w:tc>
          <w:tcPr>
            <w:tcW w:type="dxa" w:w="6624"/>
            <w:vAlign w:val="center"/>
            <w:tcMar>
              <w:top w:w="70" w:type="dxa"/>
              <w:left w:w="70" w:type="dxa"/>
              <w:bottom w:w="70" w:type="dxa"/>
              <w:right w:w="70" w:type="dxa"/>
            </w:tcMar>
          </w:tcPr>
          <w:p>
            <w:pPr>
              <w:spacing w:after="40" w:before="40"/>
            </w:pPr>
            <w:r>
              <w:rPr>
                <w:b w:val="0"/>
                <w:sz w:val="19"/>
              </w:rPr>
              <w:t>Horizontal: 15 m/s; vertical: 3 m/s</w:t>
            </w:r>
          </w:p>
        </w:tc>
      </w:tr>
      <w:tr>
        <w:trPr>
          <w:cantSplit/>
        </w:trPr>
        <w:tc>
          <w:tcPr>
            <w:tcW w:type="dxa" w:w="3528"/>
            <w:vAlign w:val="center"/>
            <w:tcMar>
              <w:top w:w="70" w:type="dxa"/>
              <w:left w:w="70" w:type="dxa"/>
              <w:bottom w:w="70" w:type="dxa"/>
              <w:right w:w="70" w:type="dxa"/>
            </w:tcMar>
          </w:tcPr>
          <w:p>
            <w:pPr>
              <w:spacing w:after="40" w:before="40"/>
            </w:pPr>
            <w:r>
              <w:rPr>
                <w:b w:val="0"/>
                <w:sz w:val="19"/>
              </w:rPr>
              <w:t>Waypoint hover duration</w:t>
            </w:r>
          </w:p>
        </w:tc>
        <w:tc>
          <w:tcPr>
            <w:tcW w:type="dxa" w:w="6624"/>
            <w:vAlign w:val="center"/>
            <w:tcMar>
              <w:top w:w="70" w:type="dxa"/>
              <w:left w:w="70" w:type="dxa"/>
              <w:bottom w:w="70" w:type="dxa"/>
              <w:right w:w="70" w:type="dxa"/>
            </w:tcMar>
          </w:tcPr>
          <w:p>
            <w:pPr>
              <w:spacing w:after="40" w:before="40"/>
            </w:pPr>
            <w:r>
              <w:rPr>
                <w:b w:val="0"/>
                <w:sz w:val="19"/>
              </w:rPr>
              <w:t>5 s</w:t>
            </w:r>
          </w:p>
        </w:tc>
      </w:tr>
      <w:tr>
        <w:trPr>
          <w:cantSplit/>
        </w:trPr>
        <w:tc>
          <w:tcPr>
            <w:tcW w:type="dxa" w:w="3528"/>
            <w:vAlign w:val="center"/>
            <w:tcMar>
              <w:top w:w="70" w:type="dxa"/>
              <w:left w:w="70" w:type="dxa"/>
              <w:bottom w:w="70" w:type="dxa"/>
              <w:right w:w="70" w:type="dxa"/>
            </w:tcMar>
          </w:tcPr>
          <w:p>
            <w:pPr>
              <w:spacing w:after="40" w:before="40"/>
            </w:pPr>
            <w:r>
              <w:rPr>
                <w:b w:val="0"/>
                <w:sz w:val="19"/>
              </w:rPr>
              <w:t>Mode 3 spiral</w:t>
            </w:r>
          </w:p>
        </w:tc>
        <w:tc>
          <w:tcPr>
            <w:tcW w:type="dxa" w:w="6624"/>
            <w:vAlign w:val="center"/>
            <w:tcMar>
              <w:top w:w="70" w:type="dxa"/>
              <w:left w:w="70" w:type="dxa"/>
              <w:bottom w:w="70" w:type="dxa"/>
              <w:right w:w="70" w:type="dxa"/>
            </w:tcMar>
          </w:tcPr>
          <w:p>
            <w:pPr>
              <w:spacing w:after="40" w:before="40"/>
            </w:pPr>
            <w:r>
              <w:rPr>
                <w:b w:val="0"/>
                <w:sz w:val="19"/>
              </w:rPr>
              <w:t>Initial side length: 30 m; increase by 30 m every two segments; stop at the first endpoint at least 200 m from the centre</w:t>
            </w:r>
          </w:p>
        </w:tc>
      </w:tr>
    </w:tbl>
    <w:p>
      <w:pPr>
        <w:keepLines/>
        <w:widowControl/>
        <w:spacing w:after="40" w:before="0" w:line="40" w:lineRule="exact"/>
      </w:pPr>
    </w:p>
    <w:p>
      <w:pPr>
        <w:pStyle w:val="Heading2"/>
        <w:keepNext/>
        <w:keepLines/>
        <w:widowControl/>
      </w:pPr>
      <w:r>
        <w:rPr>
          <w:b/>
          <w:color w:val="000000"/>
        </w:rPr>
        <w:t>Target selection and route inputs</w:t>
      </w:r>
    </w:p>
    <w:p>
      <w:pPr>
        <w:keepLines/>
        <w:widowControl/>
      </w:pPr>
      <w:r>
        <w:rPr/>
        <w:t>MATLAB uses the Twister generator with seed 20260926. It samples target candidates uniformly between 1,500 and 4,000 m east and between 500 and 4,000 m north of launch. Candidates must be 2,000 to 4,500 m from launch and at 100 to 500 m terrain elevation. A 17 by 17 grid extending 240 m in each direction must stay at or above 40 m elevation. Terrain along mission and return segments must stay at or above 2 m, sampled at intervals no greater than 5 m. The first accepted candidate is used; the saved study accepts candidate 6. Flight clearance is checked separately after trajectories are generated.</w:t>
      </w:r>
    </w:p>
    <w:p>
      <w:pPr>
        <w:keepLines/>
        <w:widowControl/>
      </w:pPr>
      <w:r>
        <w:rPr/>
        <w:t>Mode 1 places three waypoints at 27%, 63% and 100% of the launch-to-target baseline, with lateral offsets of 210 m left, 150 m right and 0 m. Mode 2 uses 15 equally spaced baseline fractions from 27% to 100%, interpolates these offsets and adds a 210 m half-sine detour. Mode 3 visits the target centre followed by all 18 square-spiral endpoints. Route construction is deterministic after the target is selected.</w:t>
      </w:r>
    </w:p>
    <w:p>
      <w:pPr>
        <w:pStyle w:val="Heading2"/>
        <w:keepNext/>
        <w:keepLines/>
        <w:widowControl/>
      </w:pPr>
      <w:r>
        <w:rPr>
          <w:b/>
          <w:color w:val="000000"/>
        </w:rPr>
        <w:t>Simulation timing</w:t>
      </w:r>
    </w:p>
    <w:p>
      <w:pPr>
        <w:keepLines/>
        <w:widowControl/>
      </w:pPr>
      <w:r>
        <w:rPr/>
        <w:t>The clock begins at takeoff. All input records are available before dispatch; overdue decisions, GPS update timeouts, SOS reception, operator verification and communication delays are outside the simulation clock. Each mission includes waypoint hovers, direct return, a final hover and landing. The model uses ideal terrain-following positions and speed limits, without aircraft dynamics, wind, radio coverage or automatic person detection.</w:t>
      </w:r>
    </w:p>
    <w:p>
      <w:pPr>
        <w:pStyle w:val="Heading2"/>
        <w:keepNext/>
        <w:keepLines/>
        <w:widowControl/>
      </w:pPr>
      <w:r>
        <w:rPr>
          <w:b/>
          <w:color w:val="000000"/>
        </w:rPr>
        <w:t>Run commands</w:t>
      </w:r>
    </w:p>
    <w:p>
      <w:pPr>
        <w:keepLines/>
        <w:widowControl/>
      </w:pPr>
      <w:r>
        <w:rPr/>
        <w:t>Set the MATLAB current folder to simulation and select the required entry point:</w:t>
      </w:r>
    </w:p>
    <w:p>
      <w:pPr>
        <w:pStyle w:val="NoSpacing"/>
        <w:keepLines/>
        <w:widowControl/>
        <w:spacing w:before="40" w:after="100"/>
      </w:pPr>
      <w:r>
        <w:rPr>
          <w:rFonts w:ascii="Courier New" w:hAnsi="Courier New"/>
          <w:sz w:val="18"/>
        </w:rPr>
        <w:t>run_all('paper')</w:t>
        <w:br/>
        <w:t>run_all('simulate', fullfile(pwd, '..', 'local-results', 'simulation-01'))</w:t>
        <w:br/>
        <w:t>run_all('video', fullfile(pwd, '..', 'local-results', 'video-01'))</w:t>
      </w:r>
    </w:p>
    <w:p>
      <w:pPr>
        <w:keepLines/>
        <w:widowControl/>
      </w:pPr>
      <w:r>
        <w:rPr/>
        <w:t>paper redraws the figure from saved trajectories into a new directory under simulation/regenerated. simulate recomputes all modes into the selected output directory. video renders the saved trajectories into its selected directory and requires ffmpeg. Each output directory must be new; simulation/output remains the saved input and result archive. The renderers use Event Booking, Quick Start and SOS.</w:t>
      </w:r>
    </w:p>
    <w:p>
      <w:pPr>
        <w:keepLines/>
        <w:widowControl/>
      </w:pPr>
      <w:r>
        <w:rPr/>
        <w:t xml:space="preserve">The saved study records MATLAB R2025b Update 4. Recomputing prints the seed, accepted candidate and mission summary, writes settings, input and execution tables, and saves figures and a MATLAB workspace. The paper figure is also written under the new result directory's paper subdirectory. The </w:t>
      </w:r>
      <w:hyperlink r:id="rId13">
        <w:r>
          <w:rPr>
            <w:color w:val="000000"/>
          </w:rPr>
          <w:t>simulation guide</w:t>
        </w:r>
      </w:hyperlink>
      <w:r>
        <w:rPr/>
        <w:t xml:space="preserve"> gives the full sampling rules, input construction, command outputs and result-file descriptions.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872"/>
        <w:gridCol w:w="3168"/>
        <w:gridCol w:w="3312"/>
      </w:tblGrid>
      <w:tr>
        <w:trPr>
          <w:cantSplit/>
          <w:tblHeader/>
        </w:trPr>
        <w:tc>
          <w:tcPr>
            <w:tcW w:type="dxa" w:w="1800"/>
            <w:vAlign w:val="center"/>
            <w:tcMar>
              <w:top w:w="70" w:type="dxa"/>
              <w:left w:w="70" w:type="dxa"/>
              <w:bottom w:w="70" w:type="dxa"/>
              <w:right w:w="70" w:type="dxa"/>
            </w:tcMar>
            <w:shd w:fill="F2F2F2"/>
          </w:tcPr>
          <w:p>
            <w:pPr>
              <w:spacing w:after="40" w:before="40"/>
            </w:pPr>
            <w:r>
              <w:rPr>
                <w:b/>
                <w:sz w:val="19"/>
              </w:rPr>
              <w:t>Mode</w:t>
            </w:r>
          </w:p>
        </w:tc>
        <w:tc>
          <w:tcPr>
            <w:tcW w:type="dxa" w:w="1872"/>
            <w:vAlign w:val="center"/>
            <w:tcMar>
              <w:top w:w="70" w:type="dxa"/>
              <w:left w:w="70" w:type="dxa"/>
              <w:bottom w:w="70" w:type="dxa"/>
              <w:right w:w="70" w:type="dxa"/>
            </w:tcMar>
            <w:shd w:fill="F2F2F2"/>
          </w:tcPr>
          <w:p>
            <w:pPr>
              <w:spacing w:after="40" w:before="40"/>
            </w:pPr>
            <w:r>
              <w:rPr>
                <w:b/>
                <w:sz w:val="19"/>
              </w:rPr>
              <w:t>Input waypoints</w:t>
            </w:r>
          </w:p>
        </w:tc>
        <w:tc>
          <w:tcPr>
            <w:tcW w:type="dxa" w:w="3168"/>
            <w:vAlign w:val="center"/>
            <w:tcMar>
              <w:top w:w="70" w:type="dxa"/>
              <w:left w:w="70" w:type="dxa"/>
              <w:bottom w:w="70" w:type="dxa"/>
              <w:right w:w="70" w:type="dxa"/>
            </w:tcMar>
            <w:shd w:fill="F2F2F2"/>
          </w:tcPr>
          <w:p>
            <w:pPr>
              <w:spacing w:after="40" w:before="40"/>
            </w:pPr>
            <w:r>
              <w:rPr>
                <w:b/>
                <w:sz w:val="19"/>
              </w:rPr>
              <w:t>Target arrival / s</w:t>
            </w:r>
          </w:p>
        </w:tc>
        <w:tc>
          <w:tcPr>
            <w:tcW w:type="dxa" w:w="3312"/>
            <w:vAlign w:val="center"/>
            <w:tcMar>
              <w:top w:w="70" w:type="dxa"/>
              <w:left w:w="70" w:type="dxa"/>
              <w:bottom w:w="70" w:type="dxa"/>
              <w:right w:w="70" w:type="dxa"/>
            </w:tcMar>
            <w:shd w:fill="F2F2F2"/>
          </w:tcPr>
          <w:p>
            <w:pPr>
              <w:spacing w:after="40" w:before="40"/>
            </w:pPr>
            <w:r>
              <w:rPr>
                <w:b/>
                <w:sz w:val="19"/>
              </w:rPr>
              <w:t>Landing complete / s</w:t>
            </w:r>
          </w:p>
        </w:tc>
      </w:tr>
      <w:tr>
        <w:trPr>
          <w:cantSplit/>
        </w:trPr>
        <w:tc>
          <w:tcPr>
            <w:tcW w:type="dxa" w:w="1800"/>
            <w:vAlign w:val="center"/>
            <w:tcMar>
              <w:top w:w="70" w:type="dxa"/>
              <w:left w:w="70" w:type="dxa"/>
              <w:bottom w:w="70" w:type="dxa"/>
              <w:right w:w="70" w:type="dxa"/>
            </w:tcMar>
          </w:tcPr>
          <w:p>
            <w:pPr>
              <w:spacing w:after="40" w:before="40"/>
            </w:pPr>
            <w:r>
              <w:rPr>
                <w:b w:val="0"/>
                <w:sz w:val="19"/>
              </w:rPr>
              <w:t>Mode 1</w:t>
            </w:r>
          </w:p>
        </w:tc>
        <w:tc>
          <w:tcPr>
            <w:tcW w:type="dxa" w:w="1872"/>
            <w:vAlign w:val="center"/>
            <w:tcMar>
              <w:top w:w="70" w:type="dxa"/>
              <w:left w:w="70" w:type="dxa"/>
              <w:bottom w:w="70" w:type="dxa"/>
              <w:right w:w="70" w:type="dxa"/>
            </w:tcMar>
          </w:tcPr>
          <w:p>
            <w:pPr>
              <w:spacing w:after="40" w:before="40"/>
            </w:pPr>
            <w:r>
              <w:rPr>
                <w:b w:val="0"/>
                <w:sz w:val="19"/>
              </w:rPr>
              <w:t>3</w:t>
            </w:r>
          </w:p>
        </w:tc>
        <w:tc>
          <w:tcPr>
            <w:tcW w:type="dxa" w:w="3168"/>
            <w:vAlign w:val="center"/>
            <w:tcMar>
              <w:top w:w="70" w:type="dxa"/>
              <w:left w:w="70" w:type="dxa"/>
              <w:bottom w:w="70" w:type="dxa"/>
              <w:right w:w="70" w:type="dxa"/>
            </w:tcMar>
          </w:tcPr>
          <w:p>
            <w:pPr>
              <w:spacing w:after="40" w:before="40"/>
            </w:pPr>
            <w:r>
              <w:rPr>
                <w:b w:val="0"/>
                <w:sz w:val="19"/>
              </w:rPr>
              <w:t>360.66</w:t>
            </w:r>
          </w:p>
        </w:tc>
        <w:tc>
          <w:tcPr>
            <w:tcW w:type="dxa" w:w="3312"/>
            <w:vAlign w:val="center"/>
            <w:tcMar>
              <w:top w:w="70" w:type="dxa"/>
              <w:left w:w="70" w:type="dxa"/>
              <w:bottom w:w="70" w:type="dxa"/>
              <w:right w:w="70" w:type="dxa"/>
            </w:tcMar>
          </w:tcPr>
          <w:p>
            <w:pPr>
              <w:spacing w:after="40" w:before="40"/>
            </w:pPr>
            <w:r>
              <w:rPr>
                <w:b w:val="0"/>
                <w:sz w:val="19"/>
              </w:rPr>
              <w:t>715.65</w:t>
            </w:r>
          </w:p>
        </w:tc>
      </w:tr>
      <w:tr>
        <w:trPr>
          <w:cantSplit/>
        </w:trPr>
        <w:tc>
          <w:tcPr>
            <w:tcW w:type="dxa" w:w="1800"/>
            <w:vAlign w:val="center"/>
            <w:tcMar>
              <w:top w:w="70" w:type="dxa"/>
              <w:left w:w="70" w:type="dxa"/>
              <w:bottom w:w="70" w:type="dxa"/>
              <w:right w:w="70" w:type="dxa"/>
            </w:tcMar>
          </w:tcPr>
          <w:p>
            <w:pPr>
              <w:spacing w:after="40" w:before="40"/>
            </w:pPr>
            <w:r>
              <w:rPr>
                <w:b w:val="0"/>
                <w:sz w:val="19"/>
              </w:rPr>
              <w:t>Mode 2</w:t>
            </w:r>
          </w:p>
        </w:tc>
        <w:tc>
          <w:tcPr>
            <w:tcW w:type="dxa" w:w="1872"/>
            <w:vAlign w:val="center"/>
            <w:tcMar>
              <w:top w:w="70" w:type="dxa"/>
              <w:left w:w="70" w:type="dxa"/>
              <w:bottom w:w="70" w:type="dxa"/>
              <w:right w:w="70" w:type="dxa"/>
            </w:tcMar>
          </w:tcPr>
          <w:p>
            <w:pPr>
              <w:spacing w:after="40" w:before="40"/>
            </w:pPr>
            <w:r>
              <w:rPr>
                <w:b w:val="0"/>
                <w:sz w:val="19"/>
              </w:rPr>
              <w:t>15</w:t>
            </w:r>
          </w:p>
        </w:tc>
        <w:tc>
          <w:tcPr>
            <w:tcW w:type="dxa" w:w="3168"/>
            <w:vAlign w:val="center"/>
            <w:tcMar>
              <w:top w:w="70" w:type="dxa"/>
              <w:left w:w="70" w:type="dxa"/>
              <w:bottom w:w="70" w:type="dxa"/>
              <w:right w:w="70" w:type="dxa"/>
            </w:tcMar>
          </w:tcPr>
          <w:p>
            <w:pPr>
              <w:spacing w:after="40" w:before="40"/>
            </w:pPr>
            <w:r>
              <w:rPr>
                <w:b w:val="0"/>
                <w:sz w:val="19"/>
              </w:rPr>
              <w:t>409.08</w:t>
            </w:r>
          </w:p>
        </w:tc>
        <w:tc>
          <w:tcPr>
            <w:tcW w:type="dxa" w:w="3312"/>
            <w:vAlign w:val="center"/>
            <w:tcMar>
              <w:top w:w="70" w:type="dxa"/>
              <w:left w:w="70" w:type="dxa"/>
              <w:bottom w:w="70" w:type="dxa"/>
              <w:right w:w="70" w:type="dxa"/>
            </w:tcMar>
          </w:tcPr>
          <w:p>
            <w:pPr>
              <w:spacing w:after="40" w:before="40"/>
            </w:pPr>
            <w:r>
              <w:rPr>
                <w:b w:val="0"/>
                <w:sz w:val="19"/>
              </w:rPr>
              <w:t>764.07</w:t>
            </w:r>
          </w:p>
        </w:tc>
      </w:tr>
      <w:tr>
        <w:trPr>
          <w:cantSplit/>
        </w:trPr>
        <w:tc>
          <w:tcPr>
            <w:tcW w:type="dxa" w:w="1800"/>
            <w:vAlign w:val="center"/>
            <w:tcMar>
              <w:top w:w="70" w:type="dxa"/>
              <w:left w:w="70" w:type="dxa"/>
              <w:bottom w:w="70" w:type="dxa"/>
              <w:right w:w="70" w:type="dxa"/>
            </w:tcMar>
          </w:tcPr>
          <w:p>
            <w:pPr>
              <w:spacing w:after="40" w:before="40"/>
            </w:pPr>
            <w:r>
              <w:rPr>
                <w:b w:val="0"/>
                <w:sz w:val="19"/>
              </w:rPr>
              <w:t>Mode 3</w:t>
            </w:r>
          </w:p>
        </w:tc>
        <w:tc>
          <w:tcPr>
            <w:tcW w:type="dxa" w:w="1872"/>
            <w:vAlign w:val="center"/>
            <w:tcMar>
              <w:top w:w="70" w:type="dxa"/>
              <w:left w:w="70" w:type="dxa"/>
              <w:bottom w:w="70" w:type="dxa"/>
              <w:right w:w="70" w:type="dxa"/>
            </w:tcMar>
          </w:tcPr>
          <w:p>
            <w:pPr>
              <w:spacing w:after="40" w:before="40"/>
            </w:pPr>
            <w:r>
              <w:rPr>
                <w:b w:val="0"/>
                <w:sz w:val="19"/>
              </w:rPr>
              <w:t>19</w:t>
            </w:r>
          </w:p>
        </w:tc>
        <w:tc>
          <w:tcPr>
            <w:tcW w:type="dxa" w:w="3168"/>
            <w:vAlign w:val="center"/>
            <w:tcMar>
              <w:top w:w="70" w:type="dxa"/>
              <w:left w:w="70" w:type="dxa"/>
              <w:bottom w:w="70" w:type="dxa"/>
              <w:right w:w="70" w:type="dxa"/>
            </w:tcMar>
          </w:tcPr>
          <w:p>
            <w:pPr>
              <w:spacing w:after="40" w:before="40"/>
            </w:pPr>
            <w:r>
              <w:rPr>
                <w:b w:val="0"/>
                <w:sz w:val="19"/>
              </w:rPr>
              <w:t>344.99</w:t>
            </w:r>
          </w:p>
        </w:tc>
        <w:tc>
          <w:tcPr>
            <w:tcW w:type="dxa" w:w="3312"/>
            <w:vAlign w:val="center"/>
            <w:tcMar>
              <w:top w:w="70" w:type="dxa"/>
              <w:left w:w="70" w:type="dxa"/>
              <w:bottom w:w="70" w:type="dxa"/>
              <w:right w:w="70" w:type="dxa"/>
            </w:tcMar>
          </w:tcPr>
          <w:p>
            <w:pPr>
              <w:spacing w:after="40" w:before="40"/>
            </w:pPr>
            <w:r>
              <w:rPr>
                <w:b w:val="0"/>
                <w:sz w:val="19"/>
              </w:rPr>
              <w:t>1008.53</w:t>
            </w:r>
          </w:p>
        </w:tc>
      </w:tr>
    </w:tbl>
    <w:p>
      <w:pPr>
        <w:keepLines/>
        <w:widowControl/>
        <w:spacing w:after="40" w:before="0" w:line="40" w:lineRule="exact"/>
      </w:pPr>
    </w:p>
    <w:p>
      <w:pPr>
        <w:keepLines/>
        <w:widowControl/>
      </w:pPr>
      <w:r>
        <w:rPr/>
        <w:t>Elevation comes from the Mapzen / Tilezen Skadi N22E114.hgt tile, with a 3601 × 3601 grid at 1 arc-second spacing and EGM96 elevations. Bilinear interpolation gives a 25 m plotting grid without increasing source resolution. Routes and GPS history are synthetic inputs generated with the fixed seed. Times start at simulated takeoff. Parameters, inputs and executed trajectories are in simulation/output/scenario_and_settings.json, the per-mode waypoint CSV files and the execution_trace.csv files.</w:t>
      </w:r>
    </w:p>
    <w:p>
      <w:pPr>
        <w:keepLines/>
        <w:widowControl/>
      </w:pPr>
      <w:r>
        <w:rPr/>
        <w:t>Mode 2 timestamps use 1 m/s to construct the synthetic walking history; this is separate from the mobile booking estimate of 4 km/h. All 15 samples exist before dispatch. Mode 3 visits the centre plus 18 spiral endpoints, completes the entire route and then returns; reaching the target does not terminate the search early.</w:t>
      </w:r>
    </w:p>
    <w:p>
      <w:pPr>
        <w:pStyle w:val="Heading1"/>
        <w:keepNext/>
        <w:keepLines/>
        <w:widowControl/>
      </w:pPr>
      <w:r>
        <w:rPr>
          <w:b/>
          <w:color w:val="000000"/>
        </w:rPr>
        <w:t>7  System Videos and Outdoor Materials</w:t>
      </w:r>
    </w:p>
    <w:p>
      <w:pPr>
        <w:pStyle w:val="Heading2"/>
        <w:keepNext/>
        <w:keepLines/>
        <w:widowControl/>
      </w:pPr>
      <w:r>
        <w:rPr>
          <w:b/>
          <w:color w:val="000000"/>
        </w:rPr>
        <w:t>Demo videos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624"/>
      </w:tblGrid>
      <w:tr>
        <w:trPr>
          <w:cantSplit/>
          <w:tblHeader/>
        </w:trPr>
        <w:tc>
          <w:tcPr>
            <w:tcW w:type="dxa" w:w="3528"/>
            <w:vAlign w:val="center"/>
            <w:tcMar>
              <w:top w:w="70" w:type="dxa"/>
              <w:left w:w="70" w:type="dxa"/>
              <w:bottom w:w="70" w:type="dxa"/>
              <w:right w:w="70" w:type="dxa"/>
            </w:tcMar>
            <w:shd w:fill="F2F2F2"/>
          </w:tcPr>
          <w:p>
            <w:pPr>
              <w:spacing w:after="40" w:before="40"/>
            </w:pPr>
            <w:r>
              <w:rPr>
                <w:b/>
                <w:sz w:val="19"/>
              </w:rPr>
              <w:t>System component</w:t>
            </w:r>
          </w:p>
        </w:tc>
        <w:tc>
          <w:tcPr>
            <w:tcW w:type="dxa" w:w="6624"/>
            <w:vAlign w:val="center"/>
            <w:tcMar>
              <w:top w:w="70" w:type="dxa"/>
              <w:left w:w="70" w:type="dxa"/>
              <w:bottom w:w="70" w:type="dxa"/>
              <w:right w:w="70" w:type="dxa"/>
            </w:tcMar>
            <w:shd w:fill="F2F2F2"/>
          </w:tcPr>
          <w:p>
            <w:pPr>
              <w:spacing w:after="40" w:before="40"/>
            </w:pPr>
            <w:r>
              <w:rPr>
                <w:b/>
                <w:sz w:val="19"/>
              </w:rPr>
              <w:t>Video</w:t>
            </w:r>
          </w:p>
        </w:tc>
      </w:tr>
      <w:tr>
        <w:trPr>
          <w:cantSplit/>
        </w:trPr>
        <w:tc>
          <w:tcPr>
            <w:tcW w:type="dxa" w:w="3528"/>
            <w:vAlign w:val="center"/>
            <w:tcMar>
              <w:top w:w="70" w:type="dxa"/>
              <w:left w:w="70" w:type="dxa"/>
              <w:bottom w:w="70" w:type="dxa"/>
              <w:right w:w="70" w:type="dxa"/>
            </w:tcMar>
          </w:tcPr>
          <w:p>
            <w:pPr>
              <w:spacing w:after="40" w:before="40"/>
            </w:pPr>
            <w:r>
              <w:rPr>
                <w:b w:val="0"/>
                <w:sz w:val="19"/>
              </w:rPr>
              <w:t>SOS search pattern and end-to-end pipeline</w:t>
            </w:r>
          </w:p>
        </w:tc>
        <w:tc>
          <w:tcPr>
            <w:tcW w:type="dxa" w:w="6624"/>
            <w:vAlign w:val="center"/>
            <w:tcMar>
              <w:top w:w="70" w:type="dxa"/>
              <w:left w:w="70" w:type="dxa"/>
              <w:bottom w:w="70" w:type="dxa"/>
              <w:right w:w="70" w:type="dxa"/>
            </w:tcMar>
          </w:tcPr>
          <w:p>
            <w:pPr>
              <w:spacing w:after="40" w:before="40"/>
            </w:pPr>
            <w:hyperlink r:id="rId14">
              <w:r>
                <w:rPr>
                  <w:color w:val="000000"/>
                </w:rPr>
                <w:t>DEMO — SOS Search Pattern  End to End Pipeline</w:t>
              </w:r>
            </w:hyperlink>
          </w:p>
        </w:tc>
      </w:tr>
      <w:tr>
        <w:trPr>
          <w:cantSplit/>
        </w:trPr>
        <w:tc>
          <w:tcPr>
            <w:tcW w:type="dxa" w:w="3528"/>
            <w:vAlign w:val="center"/>
            <w:tcMar>
              <w:top w:w="70" w:type="dxa"/>
              <w:left w:w="70" w:type="dxa"/>
              <w:bottom w:w="70" w:type="dxa"/>
              <w:right w:w="70" w:type="dxa"/>
            </w:tcMar>
          </w:tcPr>
          <w:p>
            <w:pPr>
              <w:spacing w:after="40" w:before="40"/>
            </w:pPr>
            <w:r>
              <w:rPr>
                <w:b w:val="0"/>
                <w:sz w:val="19"/>
              </w:rPr>
              <w:t>Onboard console and failsafe interface</w:t>
            </w:r>
          </w:p>
        </w:tc>
        <w:tc>
          <w:tcPr>
            <w:tcW w:type="dxa" w:w="6624"/>
            <w:vAlign w:val="center"/>
            <w:tcMar>
              <w:top w:w="70" w:type="dxa"/>
              <w:left w:w="70" w:type="dxa"/>
              <w:bottom w:w="70" w:type="dxa"/>
              <w:right w:w="70" w:type="dxa"/>
            </w:tcMar>
          </w:tcPr>
          <w:p>
            <w:pPr>
              <w:spacing w:after="40" w:before="40"/>
            </w:pPr>
            <w:hyperlink r:id="rId15">
              <w:r>
                <w:rPr>
                  <w:color w:val="000000"/>
                </w:rPr>
                <w:t>DEMO — Drone Console  On Board Failsafe GUI</w:t>
              </w:r>
            </w:hyperlink>
          </w:p>
        </w:tc>
      </w:tr>
      <w:tr>
        <w:trPr>
          <w:cantSplit/>
        </w:trPr>
        <w:tc>
          <w:tcPr>
            <w:tcW w:type="dxa" w:w="3528"/>
            <w:vAlign w:val="center"/>
            <w:tcMar>
              <w:top w:w="70" w:type="dxa"/>
              <w:left w:w="70" w:type="dxa"/>
              <w:bottom w:w="70" w:type="dxa"/>
              <w:right w:w="70" w:type="dxa"/>
            </w:tcMar>
          </w:tcPr>
          <w:p>
            <w:pPr>
              <w:spacing w:after="40" w:before="40"/>
            </w:pPr>
            <w:r>
              <w:rPr>
                <w:b w:val="0"/>
                <w:sz w:val="19"/>
              </w:rPr>
              <w:t>Real-world test footage</w:t>
            </w:r>
          </w:p>
        </w:tc>
        <w:tc>
          <w:tcPr>
            <w:tcW w:type="dxa" w:w="6624"/>
            <w:vAlign w:val="center"/>
            <w:tcMar>
              <w:top w:w="70" w:type="dxa"/>
              <w:left w:w="70" w:type="dxa"/>
              <w:bottom w:w="70" w:type="dxa"/>
              <w:right w:w="70" w:type="dxa"/>
            </w:tcMar>
          </w:tcPr>
          <w:p>
            <w:pPr>
              <w:spacing w:after="40" w:before="40"/>
            </w:pPr>
            <w:hyperlink r:id="rId16">
              <w:r>
                <w:rPr>
                  <w:color w:val="000000"/>
                </w:rPr>
                <w:t>DEMO — Real-World Test Footage</w:t>
              </w:r>
            </w:hyperlink>
          </w:p>
        </w:tc>
      </w:tr>
    </w:tbl>
    <w:p>
      <w:pPr>
        <w:keepLines/>
        <w:widowControl/>
        <w:spacing w:after="40" w:before="0" w:line="40" w:lineRule="exact"/>
      </w:pPr>
    </w:p>
    <w:p>
      <w:pPr>
        <w:keepLines/>
        <w:widowControl/>
      </w:pPr>
      <w:r>
        <w:rPr/>
        <w:t xml:space="preserve">See </w:t>
      </w:r>
      <w:hyperlink r:id="rId17">
        <w:r>
          <w:rPr>
            <w:color w:val="000000"/>
          </w:rPr>
          <w:t>System videos and outdoor materials</w:t>
        </w:r>
      </w:hyperlink>
      <w:r>
        <w:rPr/>
        <w:t xml:space="preserve"> for the video and material index.</w:t>
      </w:r>
    </w:p>
    <w:p>
      <w:pPr>
        <w:pStyle w:val="Heading2"/>
        <w:keepNext/>
        <w:keepLines/>
        <w:widowControl/>
      </w:pPr>
      <w:r>
        <w:rPr>
          <w:b/>
          <w:color w:val="000000"/>
        </w:rPr>
        <w:t>Outdoor evidence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624"/>
      </w:tblGrid>
      <w:tr>
        <w:trPr>
          <w:cantSplit/>
          <w:tblHeader/>
        </w:trPr>
        <w:tc>
          <w:tcPr>
            <w:tcW w:type="dxa" w:w="3528"/>
            <w:vAlign w:val="center"/>
            <w:tcMar>
              <w:top w:w="70" w:type="dxa"/>
              <w:left w:w="70" w:type="dxa"/>
              <w:bottom w:w="70" w:type="dxa"/>
              <w:right w:w="70" w:type="dxa"/>
            </w:tcMar>
            <w:shd w:fill="F2F2F2"/>
          </w:tcPr>
          <w:p>
            <w:pPr>
              <w:spacing w:after="40" w:before="40"/>
            </w:pPr>
            <w:r>
              <w:rPr>
                <w:b/>
                <w:sz w:val="19"/>
              </w:rPr>
              <w:t>File in docs/assets/outdoor/</w:t>
            </w:r>
          </w:p>
        </w:tc>
        <w:tc>
          <w:tcPr>
            <w:tcW w:type="dxa" w:w="6624"/>
            <w:vAlign w:val="center"/>
            <w:tcMar>
              <w:top w:w="70" w:type="dxa"/>
              <w:left w:w="70" w:type="dxa"/>
              <w:bottom w:w="70" w:type="dxa"/>
              <w:right w:w="70" w:type="dxa"/>
            </w:tcMar>
            <w:shd w:fill="F2F2F2"/>
          </w:tcPr>
          <w:p>
            <w:pPr>
              <w:spacing w:after="40" w:before="40"/>
            </w:pPr>
            <w:r>
              <w:rPr>
                <w:b/>
                <w:sz w:val="19"/>
              </w:rPr>
              <w:t>Contents</w:t>
            </w:r>
          </w:p>
        </w:tc>
      </w:tr>
      <w:tr>
        <w:trPr>
          <w:cantSplit/>
        </w:trPr>
        <w:tc>
          <w:tcPr>
            <w:tcW w:type="dxa" w:w="3528"/>
            <w:vAlign w:val="center"/>
            <w:tcMar>
              <w:top w:w="70" w:type="dxa"/>
              <w:left w:w="70" w:type="dxa"/>
              <w:bottom w:w="70" w:type="dxa"/>
              <w:right w:w="70" w:type="dxa"/>
            </w:tcMar>
          </w:tcPr>
          <w:p>
            <w:pPr>
              <w:spacing w:after="40" w:before="40"/>
            </w:pPr>
            <w:r>
              <w:rPr>
                <w:b w:val="0"/>
                <w:sz w:val="19"/>
              </w:rPr>
              <w:t>outdoor_flight.mp4</w:t>
            </w:r>
          </w:p>
        </w:tc>
        <w:tc>
          <w:tcPr>
            <w:tcW w:type="dxa" w:w="6624"/>
            <w:vAlign w:val="center"/>
            <w:tcMar>
              <w:top w:w="70" w:type="dxa"/>
              <w:left w:w="70" w:type="dxa"/>
              <w:bottom w:w="70" w:type="dxa"/>
              <w:right w:w="70" w:type="dxa"/>
            </w:tcMar>
          </w:tcPr>
          <w:p>
            <w:pPr>
              <w:spacing w:after="40" w:before="40"/>
            </w:pPr>
            <w:r>
              <w:rPr>
                <w:b w:val="0"/>
                <w:sz w:val="19"/>
              </w:rPr>
              <w:t>Original complete outdoor-test video</w:t>
            </w:r>
          </w:p>
        </w:tc>
      </w:tr>
      <w:tr>
        <w:trPr>
          <w:cantSplit/>
        </w:trPr>
        <w:tc>
          <w:tcPr>
            <w:tcW w:type="dxa" w:w="3528"/>
            <w:vAlign w:val="center"/>
            <w:tcMar>
              <w:top w:w="70" w:type="dxa"/>
              <w:left w:w="70" w:type="dxa"/>
              <w:bottom w:w="70" w:type="dxa"/>
              <w:right w:w="70" w:type="dxa"/>
            </w:tcMar>
          </w:tcPr>
          <w:p>
            <w:pPr>
              <w:spacing w:after="40" w:before="40"/>
            </w:pPr>
            <w:r>
              <w:rPr>
                <w:b w:val="0"/>
                <w:sz w:val="19"/>
              </w:rPr>
              <w:t>ground_station.mp4</w:t>
            </w:r>
          </w:p>
        </w:tc>
        <w:tc>
          <w:tcPr>
            <w:tcW w:type="dxa" w:w="6624"/>
            <w:vAlign w:val="center"/>
            <w:tcMar>
              <w:top w:w="70" w:type="dxa"/>
              <w:left w:w="70" w:type="dxa"/>
              <w:bottom w:w="70" w:type="dxa"/>
              <w:right w:w="70" w:type="dxa"/>
            </w:tcMar>
          </w:tcPr>
          <w:p>
            <w:pPr>
              <w:spacing w:after="40" w:before="40"/>
            </w:pPr>
            <w:r>
              <w:rPr>
                <w:b w:val="0"/>
                <w:sz w:val="19"/>
              </w:rPr>
              <w:t>Original ground-station operation video</w:t>
            </w:r>
          </w:p>
        </w:tc>
      </w:tr>
      <w:tr>
        <w:trPr>
          <w:cantSplit/>
        </w:trPr>
        <w:tc>
          <w:tcPr>
            <w:tcW w:type="dxa" w:w="3528"/>
            <w:vAlign w:val="center"/>
            <w:tcMar>
              <w:top w:w="70" w:type="dxa"/>
              <w:left w:w="70" w:type="dxa"/>
              <w:bottom w:w="70" w:type="dxa"/>
              <w:right w:w="70" w:type="dxa"/>
            </w:tcMar>
          </w:tcPr>
          <w:p>
            <w:pPr>
              <w:spacing w:after="40" w:before="40"/>
            </w:pPr>
            <w:r>
              <w:rPr>
                <w:b w:val="0"/>
                <w:sz w:val="19"/>
              </w:rPr>
              <w:t>airframe.jpg</w:t>
            </w:r>
          </w:p>
        </w:tc>
        <w:tc>
          <w:tcPr>
            <w:tcW w:type="dxa" w:w="6624"/>
            <w:vAlign w:val="center"/>
            <w:tcMar>
              <w:top w:w="70" w:type="dxa"/>
              <w:left w:w="70" w:type="dxa"/>
              <w:bottom w:w="70" w:type="dxa"/>
              <w:right w:w="70" w:type="dxa"/>
            </w:tcMar>
          </w:tcPr>
          <w:p>
            <w:pPr>
              <w:spacing w:after="40" w:before="40"/>
            </w:pPr>
            <w:r>
              <w:rPr>
                <w:b w:val="0"/>
                <w:sz w:val="19"/>
              </w:rPr>
              <w:t>UAV hardware photograph</w:t>
            </w:r>
          </w:p>
        </w:tc>
      </w:tr>
      <w:tr>
        <w:trPr>
          <w:cantSplit/>
        </w:trPr>
        <w:tc>
          <w:tcPr>
            <w:tcW w:type="dxa" w:w="3528"/>
            <w:vAlign w:val="center"/>
            <w:tcMar>
              <w:top w:w="70" w:type="dxa"/>
              <w:left w:w="70" w:type="dxa"/>
              <w:bottom w:w="70" w:type="dxa"/>
              <w:right w:w="70" w:type="dxa"/>
            </w:tcMar>
          </w:tcPr>
          <w:p>
            <w:pPr>
              <w:spacing w:after="40" w:before="40"/>
            </w:pPr>
            <w:r>
              <w:rPr>
                <w:b w:val="0"/>
                <w:sz w:val="19"/>
              </w:rPr>
              <w:t>launch_area.png</w:t>
            </w:r>
          </w:p>
        </w:tc>
        <w:tc>
          <w:tcPr>
            <w:tcW w:type="dxa" w:w="6624"/>
            <w:vAlign w:val="center"/>
            <w:tcMar>
              <w:top w:w="70" w:type="dxa"/>
              <w:left w:w="70" w:type="dxa"/>
              <w:bottom w:w="70" w:type="dxa"/>
              <w:right w:w="70" w:type="dxa"/>
            </w:tcMar>
          </w:tcPr>
          <w:p>
            <w:pPr>
              <w:spacing w:after="40" w:before="40"/>
            </w:pPr>
            <w:r>
              <w:rPr>
                <w:b w:val="0"/>
                <w:sz w:val="19"/>
              </w:rPr>
              <w:t>Original frame showing the launch area</w:t>
            </w:r>
          </w:p>
        </w:tc>
      </w:tr>
      <w:tr>
        <w:trPr>
          <w:cantSplit/>
        </w:trPr>
        <w:tc>
          <w:tcPr>
            <w:tcW w:type="dxa" w:w="3528"/>
            <w:vAlign w:val="center"/>
            <w:tcMar>
              <w:top w:w="70" w:type="dxa"/>
              <w:left w:w="70" w:type="dxa"/>
              <w:bottom w:w="70" w:type="dxa"/>
              <w:right w:w="70" w:type="dxa"/>
            </w:tcMar>
          </w:tcPr>
          <w:p>
            <w:pPr>
              <w:spacing w:after="40" w:before="40"/>
            </w:pPr>
            <w:r>
              <w:rPr>
                <w:b w:val="0"/>
                <w:sz w:val="19"/>
              </w:rPr>
              <w:t>search_area.png</w:t>
            </w:r>
          </w:p>
        </w:tc>
        <w:tc>
          <w:tcPr>
            <w:tcW w:type="dxa" w:w="6624"/>
            <w:vAlign w:val="center"/>
            <w:tcMar>
              <w:top w:w="70" w:type="dxa"/>
              <w:left w:w="70" w:type="dxa"/>
              <w:bottom w:w="70" w:type="dxa"/>
              <w:right w:w="70" w:type="dxa"/>
            </w:tcMar>
          </w:tcPr>
          <w:p>
            <w:pPr>
              <w:spacing w:after="40" w:before="40"/>
            </w:pPr>
            <w:r>
              <w:rPr>
                <w:b w:val="0"/>
                <w:sz w:val="19"/>
              </w:rPr>
              <w:t>Original frame showing the search area</w:t>
            </w:r>
          </w:p>
        </w:tc>
      </w:tr>
    </w:tbl>
    <w:p>
      <w:pPr>
        <w:keepLines/>
        <w:widowControl/>
        <w:spacing w:after="40" w:before="0" w:line="40" w:lineRule="exact"/>
      </w:pPr>
    </w:p>
    <w:p>
      <w:pPr>
        <w:keepLines/>
        <w:widowControl/>
      </w:pPr>
      <w:r>
        <w:rPr/>
        <w:t>The video files and images show the UAV, ground-station operation, launch site and search area. Numerical simulation trajectories and timestamps are stored in simulation/output.</w:t>
      </w:r>
    </w:p>
    <w:p>
      <w:pPr>
        <w:pStyle w:val="Heading2"/>
        <w:keepNext/>
        <w:keepLines/>
        <w:widowControl/>
      </w:pPr>
      <w:r>
        <w:rPr>
          <w:b/>
          <w:color w:val="000000"/>
        </w:rPr>
        <w:t>References</w:t>
      </w:r>
    </w:p>
    <w:p>
      <w:pPr>
        <w:keepLines/>
        <w:widowControl/>
      </w:pPr>
      <w:r>
        <w:rPr/>
        <w:t>Ordnance Survey's Map Reading guide provides the walking-time reference. Mapzen / Tilezen Skadi provides the elevation tile. The three original FYP GitHub repositories identify the upstream projects. Complete links are in docs/Sources.txt.</w:t>
      </w:r>
    </w:p>
    <w:p>
      <w:pPr>
        <w:pStyle w:val="Heading1"/>
        <w:keepNext/>
        <w:keepLines/>
        <w:pageBreakBefore/>
        <w:widowControl/>
      </w:pPr>
      <w:r>
        <w:rPr>
          <w:b/>
          <w:color w:val="000000"/>
        </w:rPr>
        <w:t>8 Implementation Index</w:t>
      </w:r>
    </w:p>
    <w:p>
      <w:pPr>
        <w:keepLines/>
        <w:widowControl/>
      </w:pPr>
      <w:r>
        <w:rPr/>
        <w:t>M, G and U use the component abbreviations in Section 1. The following paths identify the source files implementing each system function.</w:t>
      </w:r>
    </w:p>
    <w:p>
      <w:pPr>
        <w:pStyle w:val="Heading2"/>
        <w:keepNext/>
        <w:keepLines/>
        <w:widowControl/>
      </w:pPr>
      <w:r>
        <w:rPr>
          <w:b/>
          <w:color w:val="000000"/>
        </w:rPr>
        <w:t>User records and event creation</w:t>
      </w:r>
    </w:p>
    <w:p>
      <w:pPr>
        <w:keepLines/>
        <w:widowControl/>
      </w:pPr>
      <w:r>
        <w:rPr/>
        <w:t>Event Booking uses M/src/services/eventBookingRecord.ts and M/src/pages/EventBookingPage.tsx for planned routes and trip-time estimation. G/src/rescue_event_manager.py detects overdue records and manages the contact procedure.</w:t>
      </w:r>
    </w:p>
    <w:p>
      <w:pPr>
        <w:keepLines/>
        <w:widowControl/>
      </w:pPr>
      <w:r>
        <w:rPr/>
        <w:t>Quick Start uses M/src/pages/AndroidQuickStartPage.tsx and M/src/services/persistentTracking.ts. TrackingService, TrackingStore and TrackingCore in M/android/app/src/main/java/com/fypproject/tracking/ collect and persist samples. G/src/quick_start_freshness.py uses the latest valid sample time. Set GS_T_LOCATION_UPDATE_SECONDS for the deployment.</w:t>
      </w:r>
    </w:p>
    <w:p>
      <w:pPr>
        <w:keepLines/>
        <w:widowControl/>
      </w:pPr>
      <w:r>
        <w:rPr/>
        <w:t>SOS upload and dialing are implemented in M/src/pages/SosPage.tsx. G/src/rescue_event_manager.py enforces contact verification and explicit search confirmation.</w:t>
      </w:r>
    </w:p>
    <w:p>
      <w:pPr>
        <w:pStyle w:val="Heading2"/>
        <w:keepNext/>
        <w:keepLines/>
        <w:widowControl/>
      </w:pPr>
      <w:r>
        <w:rPr>
          <w:b/>
          <w:color w:val="000000"/>
        </w:rPr>
        <w:t>Route preparation and dispatch</w:t>
      </w:r>
    </w:p>
    <w:p>
      <w:pPr>
        <w:keepLines/>
        <w:widowControl/>
      </w:pPr>
      <w:r>
        <w:rPr/>
        <w:t>G/src/ground_station.py and G/src/active_event_queue.py implement event selection, route preparation, review and confirmed dispatch. G/src/sos_pattern.py generates the square spiral. GS_T_WAIT_SECONDS controls the common waiting-time rule. G/src/dispatch_journal.py preserves mission transfer state across retries and restarts.</w:t>
      </w:r>
    </w:p>
    <w:p>
      <w:pPr>
        <w:pStyle w:val="Heading2"/>
        <w:keepNext/>
        <w:keepLines/>
        <w:widowControl/>
      </w:pPr>
      <w:r>
        <w:rPr>
          <w:b/>
          <w:color w:val="000000"/>
        </w:rPr>
        <w:t>Mission execution and phone records</w:t>
      </w:r>
    </w:p>
    <w:p>
      <w:pPr>
        <w:keepLines/>
        <w:widowControl/>
      </w:pPr>
      <w:r>
        <w:rPr/>
        <w:t>U/catkin_ws/src/rescue_bridge/src/ contains the mission communication program and mission_commander.cpp, which advances navigation goals. A ROS build requires the environment in docs/Flight_Environment_Setup.txt.</w:t>
      </w:r>
    </w:p>
    <w:p>
      <w:pPr>
        <w:keepLines/>
        <w:widowControl/>
      </w:pPr>
      <w:r>
        <w:rPr/>
        <w:t>U/drone_system/receiver/phone_sos_receiver.py and G/src/rescue_record_protocol.py receive, persist, return and acknowledge phone records.</w:t>
      </w:r>
    </w:p>
    <w:p>
      <w:pPr>
        <w:pStyle w:val="Heading2"/>
        <w:keepNext/>
        <w:keepLines/>
        <w:widowControl/>
      </w:pPr>
      <w:r>
        <w:rPr>
          <w:b/>
          <w:color w:val="000000"/>
        </w:rPr>
        <w:t>Simulation</w:t>
      </w:r>
    </w:p>
    <w:p>
      <w:pPr>
        <w:keepLines/>
        <w:widowControl/>
      </w:pPr>
      <w:r>
        <w:rPr/>
        <w:t>simulation/run_three_mode_simulation.m constructs the fixed-seed scenario and full trajectories. simulation/output/ holds inputs, events, execution traces, mission_summary.csv and three_mode_study.mat. simulation/render_paper_terrain.m renders the manuscript's terrain figure from saved data.</w:t>
      </w:r>
    </w:p>
    <w:sectPr w:rsidR="00FC693F" w:rsidRPr="0006063C" w:rsidSect="00034616">
      <w:headerReference w:type="default" r:id="rId9"/>
      <w:footerReference w:type="default" r:id="rId10"/>
      <w:pgSz w:w="12240" w:h="15840"/>
      <w:pgMar w:top="979" w:right="1037" w:bottom="979"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UAV-SEARCH-20260928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USER-TRIGGERED UAV DISPATCHING SYSTEM  |  TECHNICAL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olor w:val="000000"/>
      <w:sz w:val="21"/>
    </w:rPr>
  </w:style>
  <w:style w:type="character" w:customStyle="1" w:styleId="HeaderChar">
    <w:name w:val="Header Char"/>
    <w:basedOn w:val="DefaultParagraphFont"/>
    <w:link w:val="Header"/>
    <w:uiPriority w:val="99"/>
    <w:rsid w:val="00E618BF"/>
    <w:rPr>
      <w:rFonts w:ascii="Arial" w:hAnsi="Arial" w:eastAsia="Arial"/>
      <w:color w:val="000000"/>
      <w:sz w:val="21"/>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olor w:val="000000"/>
      <w:sz w:val="21"/>
    </w:rPr>
  </w:style>
  <w:style w:type="character" w:customStyle="1" w:styleId="FooterChar">
    <w:name w:val="Footer Char"/>
    <w:basedOn w:val="DefaultParagraphFont"/>
    <w:link w:val="Footer"/>
    <w:uiPriority w:val="99"/>
    <w:rsid w:val="00E618BF"/>
    <w:rPr>
      <w:rFonts w:ascii="Arial" w:hAnsi="Arial" w:eastAsia="Arial"/>
      <w:color w:val="000000"/>
      <w:sz w:val="21"/>
    </w:rPr>
  </w:style>
  <w:style w:type="paragraph" w:styleId="Heading1">
    <w:name w:val="heading 1"/>
    <w:basedOn w:val="Normal"/>
    <w:next w:val="Normal"/>
    <w:link w:val="Heading1Char"/>
    <w:uiPriority w:val="9"/>
    <w:qFormat/>
    <w:rsid w:val="00FC693F"/>
    <w:pPr>
      <w:keepNext/>
      <w:keepLines/>
      <w:pageBreakBefore w:val="0"/>
      <w:spacing w:before="280" w:after="120"/>
      <w:outlineLvl w:val="0"/>
    </w:pPr>
    <w:rPr>
      <w:rFonts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180" w:after="120"/>
      <w:outlineLvl w:val="1"/>
    </w:pPr>
    <w:rPr>
      <w:rFonts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Arial" w:hAnsi="Arial" w:eastAsia="Arial"/>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Arial" w:hAnsi="Arial" w:eastAsia="Arial"/>
      <w:color w:val="000000"/>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Arial" w:hAnsi="Arial" w:eastAsia="Arial"/>
      <w:i/>
      <w:iCs/>
      <w:color w:val="000000"/>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Arial" w:hAnsi="Arial" w:eastAsia="Arial"/>
      <w:i/>
      <w:iCs/>
      <w:color w:val="000000"/>
      <w:sz w:val="21"/>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Arial" w:hAnsi="Arial" w:eastAsia="Arial"/>
      <w:color w:val="000000"/>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Arial" w:hAnsi="Arial" w:eastAsia="Arial"/>
      <w:i/>
      <w:iCs/>
      <w:color w:val="000000"/>
      <w:sz w:val="21"/>
      <w:szCs w:val="20"/>
    </w:rPr>
  </w:style>
  <w:style w:type="character" w:default="1" w:styleId="DefaultParagraphFont">
    <w:name w:val="Default Paragraph Font"/>
    <w:uiPriority w:val="1"/>
    <w:semiHidden/>
    <w:unhideWhenUsed/>
    <w:rPr>
      <w:rFonts w:ascii="Arial" w:hAnsi="Arial" w:eastAsia="Arial"/>
      <w:color w:val="000000"/>
      <w:sz w:val="21"/>
    </w:rPr>
  </w:style>
  <w:style w:type="table" w:default="1" w:styleId="TableNormal">
    <w:name w:val="Normal Table"/>
    <w:uiPriority w:val="99"/>
    <w:semiHidden/>
    <w:unhideWhenUsed/>
    <w:rPr>
      <w:rFonts w:ascii="Arial" w:hAnsi="Arial" w:eastAsia="Arial"/>
      <w:color w:val="000000"/>
      <w:sz w:val="21"/>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olor w:val="000000"/>
      <w:sz w:val="21"/>
    </w:rPr>
  </w:style>
  <w:style w:type="character" w:customStyle="1" w:styleId="Heading1Char">
    <w:name w:val="Heading 1 Char"/>
    <w:basedOn w:val="DefaultParagraphFont"/>
    <w:link w:val="Heading1"/>
    <w:uiPriority w:val="9"/>
    <w:rsid w:val="00FC693F"/>
    <w:rPr>
      <w:rFonts w:cstheme="majorBidi" w:ascii="Arial" w:hAnsi="Arial" w:eastAsia="Arial"/>
      <w:b/>
      <w:bCs/>
      <w:color w:val="000000"/>
      <w:sz w:val="21"/>
      <w:szCs w:val="28"/>
    </w:rPr>
  </w:style>
  <w:style w:type="character" w:customStyle="1" w:styleId="Heading2Char">
    <w:name w:val="Heading 2 Char"/>
    <w:basedOn w:val="DefaultParagraphFont"/>
    <w:link w:val="Heading2"/>
    <w:uiPriority w:val="9"/>
    <w:rsid w:val="00FC693F"/>
    <w:rPr>
      <w:rFonts w:cstheme="majorBidi" w:ascii="Arial" w:hAnsi="Arial" w:eastAsia="Arial"/>
      <w:b/>
      <w:bCs/>
      <w:color w:val="000000"/>
      <w:sz w:val="21"/>
      <w:szCs w:val="26"/>
    </w:rPr>
  </w:style>
  <w:style w:type="character" w:customStyle="1" w:styleId="Heading3Char">
    <w:name w:val="Heading 3 Char"/>
    <w:basedOn w:val="DefaultParagraphFont"/>
    <w:link w:val="Heading3"/>
    <w:uiPriority w:val="9"/>
    <w:rsid w:val="00FC693F"/>
    <w:rPr>
      <w:rFonts w:cstheme="majorBidi" w:ascii="Arial" w:hAnsi="Arial" w:eastAsia="Arial"/>
      <w:b/>
      <w:bCs/>
      <w:color w:val="000000"/>
      <w:sz w:val="21"/>
    </w:rPr>
  </w:style>
  <w:style w:type="paragraph" w:styleId="Title">
    <w:name w:val="Title"/>
    <w:basedOn w:val="Normal"/>
    <w:next w:val="Normal"/>
    <w:link w:val="TitleChar"/>
    <w:uiPriority w:val="10"/>
    <w:qFormat/>
    <w:rsid w:val="00FC693F"/>
    <w:pPr>
      <w:spacing w:after="120" w:line="240" w:lineRule="auto" w:before="0"/>
      <w:contextualSpacing/>
    </w:pPr>
    <w:rPr>
      <w:rFonts w:cstheme="majorBidi" w:ascii="Arial" w:hAnsi="Arial" w:eastAsia="Arial"/>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ascii="Arial" w:hAnsi="Arial" w:eastAsia="Arial"/>
      <w:color w:val="000000"/>
      <w:spacing w:val="5"/>
      <w:kern w:val="28"/>
      <w:sz w:val="21"/>
      <w:szCs w:val="52"/>
    </w:rPr>
  </w:style>
  <w:style w:type="paragraph" w:styleId="Subtitle">
    <w:name w:val="Subtitle"/>
    <w:basedOn w:val="Normal"/>
    <w:next w:val="Normal"/>
    <w:link w:val="SubtitleChar"/>
    <w:uiPriority w:val="11"/>
    <w:qFormat/>
    <w:rsid w:val="00FC693F"/>
    <w:pPr>
      <w:numPr>
        <w:ilvl w:val="1"/>
      </w:numPr>
    </w:pPr>
    <w:rPr>
      <w:rFonts w:cstheme="majorBidi" w:ascii="Arial" w:hAnsi="Arial" w:eastAsia="Arial"/>
      <w:i/>
      <w:iCs/>
      <w:color w:val="000000"/>
      <w:spacing w:val="15"/>
      <w:sz w:val="21"/>
      <w:szCs w:val="24"/>
    </w:rPr>
  </w:style>
  <w:style w:type="character" w:customStyle="1" w:styleId="SubtitleChar">
    <w:name w:val="Subtitle Char"/>
    <w:basedOn w:val="DefaultParagraphFont"/>
    <w:link w:val="Subtitle"/>
    <w:uiPriority w:val="11"/>
    <w:rsid w:val="00FC693F"/>
    <w:rPr>
      <w:rFonts w:cstheme="majorBidi" w:ascii="Arial" w:hAnsi="Arial" w:eastAsia="Arial"/>
      <w:i/>
      <w:iCs/>
      <w:color w:val="000000"/>
      <w:spacing w:val="15"/>
      <w:sz w:val="21"/>
      <w:szCs w:val="24"/>
    </w:rPr>
  </w:style>
  <w:style w:type="paragraph" w:styleId="ListParagraph">
    <w:name w:val="List Paragraph"/>
    <w:basedOn w:val="Normal"/>
    <w:uiPriority w:val="34"/>
    <w:qFormat/>
    <w:rsid w:val="00FC693F"/>
    <w:pPr>
      <w:ind w:left="720"/>
      <w:contextualSpacing/>
    </w:pPr>
    <w:rPr>
      <w:rFonts w:ascii="Arial" w:hAnsi="Arial" w:eastAsia="Arial"/>
      <w:color w:val="000000"/>
      <w:sz w:val="21"/>
    </w:rPr>
  </w:style>
  <w:style w:type="paragraph" w:styleId="BodyText">
    <w:name w:val="Body Text"/>
    <w:basedOn w:val="Normal"/>
    <w:link w:val="BodyTextChar"/>
    <w:uiPriority w:val="99"/>
    <w:unhideWhenUsed/>
    <w:rsid w:val="00AA1D8D"/>
    <w:pPr>
      <w:spacing w:after="120"/>
    </w:pPr>
    <w:rPr>
      <w:rFonts w:ascii="Arial" w:hAnsi="Arial" w:eastAsia="Arial"/>
      <w:color w:val="000000"/>
      <w:sz w:val="21"/>
    </w:rPr>
  </w:style>
  <w:style w:type="character" w:customStyle="1" w:styleId="BodyTextChar">
    <w:name w:val="Body Text Char"/>
    <w:basedOn w:val="DefaultParagraphFont"/>
    <w:link w:val="BodyText"/>
    <w:uiPriority w:val="99"/>
    <w:rsid w:val="00AA1D8D"/>
    <w:rPr>
      <w:rFonts w:ascii="Arial" w:hAnsi="Arial" w:eastAsia="Arial"/>
      <w:color w:val="000000"/>
      <w:sz w:val="21"/>
    </w:rPr>
  </w:style>
  <w:style w:type="paragraph" w:styleId="BodyText2">
    <w:name w:val="Body Text 2"/>
    <w:basedOn w:val="Normal"/>
    <w:link w:val="BodyText2Char"/>
    <w:uiPriority w:val="99"/>
    <w:unhideWhenUsed/>
    <w:rsid w:val="00AA1D8D"/>
    <w:pPr>
      <w:spacing w:after="120" w:line="480" w:lineRule="auto"/>
    </w:pPr>
    <w:rPr>
      <w:rFonts w:ascii="Arial" w:hAnsi="Arial" w:eastAsia="Arial"/>
      <w:color w:val="000000"/>
      <w:sz w:val="21"/>
    </w:rPr>
  </w:style>
  <w:style w:type="character" w:customStyle="1" w:styleId="BodyText2Char">
    <w:name w:val="Body Text 2 Char"/>
    <w:basedOn w:val="DefaultParagraphFont"/>
    <w:link w:val="BodyText2"/>
    <w:uiPriority w:val="99"/>
    <w:rsid w:val="00AA1D8D"/>
    <w:rPr>
      <w:rFonts w:ascii="Arial" w:hAnsi="Arial" w:eastAsia="Arial"/>
      <w:color w:val="000000"/>
      <w:sz w:val="21"/>
    </w:rPr>
  </w:style>
  <w:style w:type="paragraph" w:styleId="BodyText3">
    <w:name w:val="Body Text 3"/>
    <w:basedOn w:val="Normal"/>
    <w:link w:val="BodyText3Char"/>
    <w:uiPriority w:val="99"/>
    <w:unhideWhenUsed/>
    <w:rsid w:val="00AA1D8D"/>
    <w:pPr>
      <w:spacing w:after="120"/>
    </w:pPr>
    <w:rPr>
      <w:rFonts w:ascii="Arial" w:hAnsi="Arial" w:eastAsia="Arial"/>
      <w:color w:val="000000"/>
      <w:sz w:val="21"/>
      <w:szCs w:val="16"/>
    </w:rPr>
  </w:style>
  <w:style w:type="character" w:customStyle="1" w:styleId="BodyText3Char">
    <w:name w:val="Body Text 3 Char"/>
    <w:basedOn w:val="DefaultParagraphFont"/>
    <w:link w:val="BodyText3"/>
    <w:uiPriority w:val="99"/>
    <w:rsid w:val="00AA1D8D"/>
    <w:rPr>
      <w:rFonts w:ascii="Arial" w:hAnsi="Arial" w:eastAsia="Arial"/>
      <w:color w:val="000000"/>
      <w:sz w:val="21"/>
      <w:szCs w:val="16"/>
    </w:rPr>
  </w:style>
  <w:style w:type="paragraph" w:styleId="List">
    <w:name w:val="List"/>
    <w:basedOn w:val="Normal"/>
    <w:uiPriority w:val="99"/>
    <w:unhideWhenUsed/>
    <w:rsid w:val="00AA1D8D"/>
    <w:pPr>
      <w:ind w:left="360" w:hanging="360"/>
      <w:contextualSpacing/>
    </w:pPr>
    <w:rPr>
      <w:rFonts w:ascii="Arial" w:hAnsi="Arial" w:eastAsia="Arial"/>
      <w:color w:val="000000"/>
      <w:sz w:val="21"/>
    </w:rPr>
  </w:style>
  <w:style w:type="paragraph" w:styleId="List2">
    <w:name w:val="List 2"/>
    <w:basedOn w:val="Normal"/>
    <w:uiPriority w:val="99"/>
    <w:unhideWhenUsed/>
    <w:rsid w:val="00326F90"/>
    <w:pPr>
      <w:ind w:left="720" w:hanging="360"/>
      <w:contextualSpacing/>
    </w:pPr>
    <w:rPr>
      <w:rFonts w:ascii="Arial" w:hAnsi="Arial" w:eastAsia="Arial"/>
      <w:color w:val="000000"/>
      <w:sz w:val="21"/>
    </w:rPr>
  </w:style>
  <w:style w:type="paragraph" w:styleId="List3">
    <w:name w:val="List 3"/>
    <w:basedOn w:val="Normal"/>
    <w:uiPriority w:val="99"/>
    <w:unhideWhenUsed/>
    <w:rsid w:val="00326F90"/>
    <w:pPr>
      <w:ind w:left="1080" w:hanging="360"/>
      <w:contextualSpacing/>
    </w:pPr>
    <w:rPr>
      <w:rFonts w:ascii="Arial" w:hAnsi="Arial" w:eastAsia="Arial"/>
      <w:color w:val="000000"/>
      <w:sz w:val="21"/>
    </w:rPr>
  </w:style>
  <w:style w:type="paragraph" w:styleId="ListBullet">
    <w:name w:val="List Bullet"/>
    <w:basedOn w:val="Normal"/>
    <w:uiPriority w:val="99"/>
    <w:unhideWhenUsed/>
    <w:rsid w:val="00326F90"/>
    <w:pPr>
      <w:numPr>
        <w:numId w:val="1"/>
      </w:numPr>
      <w:contextualSpacing/>
    </w:pPr>
    <w:rPr>
      <w:rFonts w:ascii="Arial" w:hAnsi="Arial" w:eastAsia="Arial"/>
      <w:color w:val="000000"/>
      <w:sz w:val="21"/>
    </w:rPr>
  </w:style>
  <w:style w:type="paragraph" w:styleId="ListBullet2">
    <w:name w:val="List Bullet 2"/>
    <w:basedOn w:val="Normal"/>
    <w:uiPriority w:val="99"/>
    <w:unhideWhenUsed/>
    <w:rsid w:val="00326F90"/>
    <w:pPr>
      <w:numPr>
        <w:numId w:val="2"/>
      </w:numPr>
      <w:contextualSpacing/>
    </w:pPr>
    <w:rPr>
      <w:rFonts w:ascii="Arial" w:hAnsi="Arial" w:eastAsia="Arial"/>
      <w:color w:val="000000"/>
      <w:sz w:val="21"/>
    </w:rPr>
  </w:style>
  <w:style w:type="paragraph" w:styleId="ListBullet3">
    <w:name w:val="List Bullet 3"/>
    <w:basedOn w:val="Normal"/>
    <w:uiPriority w:val="99"/>
    <w:unhideWhenUsed/>
    <w:rsid w:val="00326F90"/>
    <w:pPr>
      <w:numPr>
        <w:numId w:val="3"/>
      </w:numPr>
      <w:contextualSpacing/>
    </w:pPr>
    <w:rPr>
      <w:rFonts w:ascii="Arial" w:hAnsi="Arial" w:eastAsia="Arial"/>
      <w:color w:val="000000"/>
      <w:sz w:val="21"/>
    </w:rPr>
  </w:style>
  <w:style w:type="paragraph" w:styleId="ListNumber">
    <w:name w:val="List Number"/>
    <w:basedOn w:val="Normal"/>
    <w:uiPriority w:val="99"/>
    <w:unhideWhenUsed/>
    <w:rsid w:val="00326F90"/>
    <w:pPr>
      <w:numPr>
        <w:numId w:val="5"/>
      </w:numPr>
      <w:contextualSpacing/>
    </w:pPr>
    <w:rPr>
      <w:rFonts w:ascii="Arial" w:hAnsi="Arial" w:eastAsia="Arial"/>
      <w:color w:val="000000"/>
      <w:sz w:val="21"/>
    </w:rPr>
  </w:style>
  <w:style w:type="paragraph" w:styleId="ListNumber2">
    <w:name w:val="List Number 2"/>
    <w:basedOn w:val="Normal"/>
    <w:uiPriority w:val="99"/>
    <w:unhideWhenUsed/>
    <w:rsid w:val="0029639D"/>
    <w:pPr>
      <w:numPr>
        <w:numId w:val="6"/>
      </w:numPr>
      <w:contextualSpacing/>
    </w:pPr>
    <w:rPr>
      <w:rFonts w:ascii="Arial" w:hAnsi="Arial" w:eastAsia="Arial"/>
      <w:color w:val="000000"/>
      <w:sz w:val="21"/>
    </w:rPr>
  </w:style>
  <w:style w:type="paragraph" w:styleId="ListNumber3">
    <w:name w:val="List Number 3"/>
    <w:basedOn w:val="Normal"/>
    <w:uiPriority w:val="99"/>
    <w:unhideWhenUsed/>
    <w:rsid w:val="0029639D"/>
    <w:pPr>
      <w:numPr>
        <w:numId w:val="7"/>
      </w:numPr>
      <w:contextualSpacing/>
    </w:pPr>
    <w:rPr>
      <w:rFonts w:ascii="Arial" w:hAnsi="Arial" w:eastAsia="Arial"/>
      <w:color w:val="000000"/>
      <w:sz w:val="21"/>
    </w:rPr>
  </w:style>
  <w:style w:type="paragraph" w:styleId="ListContinue">
    <w:name w:val="List Continue"/>
    <w:basedOn w:val="Normal"/>
    <w:uiPriority w:val="99"/>
    <w:unhideWhenUsed/>
    <w:rsid w:val="0029639D"/>
    <w:pPr>
      <w:spacing w:after="120"/>
      <w:ind w:left="360"/>
      <w:contextualSpacing/>
    </w:pPr>
    <w:rPr>
      <w:rFonts w:ascii="Arial" w:hAnsi="Arial" w:eastAsia="Arial"/>
      <w:color w:val="000000"/>
      <w:sz w:val="21"/>
    </w:rPr>
  </w:style>
  <w:style w:type="paragraph" w:styleId="ListContinue2">
    <w:name w:val="List Continue 2"/>
    <w:basedOn w:val="Normal"/>
    <w:uiPriority w:val="99"/>
    <w:unhideWhenUsed/>
    <w:rsid w:val="0029639D"/>
    <w:pPr>
      <w:spacing w:after="120"/>
      <w:ind w:left="720"/>
      <w:contextualSpacing/>
    </w:pPr>
    <w:rPr>
      <w:rFonts w:ascii="Arial" w:hAnsi="Arial" w:eastAsia="Arial"/>
      <w:color w:val="000000"/>
      <w:sz w:val="21"/>
    </w:rPr>
  </w:style>
  <w:style w:type="paragraph" w:styleId="ListContinue3">
    <w:name w:val="List Continue 3"/>
    <w:basedOn w:val="Normal"/>
    <w:uiPriority w:val="99"/>
    <w:unhideWhenUsed/>
    <w:rsid w:val="0029639D"/>
    <w:pPr>
      <w:spacing w:after="120"/>
      <w:ind w:left="1080"/>
      <w:contextualSpacing/>
    </w:pPr>
    <w:rPr>
      <w:rFonts w:ascii="Arial" w:hAnsi="Arial" w:eastAsia="Arial"/>
      <w:color w:val="000000"/>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olor w:val="000000"/>
      <w:sz w:val="21"/>
      <w:szCs w:val="20"/>
    </w:rPr>
  </w:style>
  <w:style w:type="character" w:customStyle="1" w:styleId="MacroTextChar">
    <w:name w:val="Macro Text Char"/>
    <w:basedOn w:val="DefaultParagraphFont"/>
    <w:link w:val="MacroText"/>
    <w:uiPriority w:val="99"/>
    <w:rsid w:val="0029639D"/>
    <w:rPr>
      <w:rFonts w:ascii="Arial" w:hAnsi="Arial" w:eastAsia="Arial"/>
      <w:color w:val="000000"/>
      <w:sz w:val="21"/>
      <w:szCs w:val="20"/>
    </w:rPr>
  </w:style>
  <w:style w:type="paragraph" w:styleId="Quote">
    <w:name w:val="Quote"/>
    <w:basedOn w:val="Normal"/>
    <w:next w:val="Normal"/>
    <w:link w:val="QuoteChar"/>
    <w:uiPriority w:val="29"/>
    <w:qFormat/>
    <w:rsid w:val="00FC693F"/>
    <w:rPr>
      <w:rFonts w:ascii="Arial" w:hAnsi="Arial" w:eastAsia="Arial"/>
      <w:i/>
      <w:iCs/>
      <w:color w:val="000000"/>
      <w:sz w:val="21"/>
    </w:rPr>
  </w:style>
  <w:style w:type="character" w:customStyle="1" w:styleId="QuoteChar">
    <w:name w:val="Quote Char"/>
    <w:basedOn w:val="DefaultParagraphFont"/>
    <w:link w:val="Quote"/>
    <w:uiPriority w:val="29"/>
    <w:rsid w:val="00FC693F"/>
    <w:rPr>
      <w:rFonts w:ascii="Arial" w:hAnsi="Arial" w:eastAsia="Arial"/>
      <w:i/>
      <w:iCs/>
      <w:color w:val="000000"/>
      <w:sz w:val="21"/>
    </w:rPr>
  </w:style>
  <w:style w:type="character" w:customStyle="1" w:styleId="Heading4Char">
    <w:name w:val="Heading 4 Char"/>
    <w:basedOn w:val="DefaultParagraphFont"/>
    <w:link w:val="Heading4"/>
    <w:uiPriority w:val="9"/>
    <w:semiHidden/>
    <w:rsid w:val="00FC693F"/>
    <w:rPr>
      <w:rFonts w:cstheme="majorBidi" w:ascii="Arial" w:hAnsi="Arial" w:eastAsia="Arial"/>
      <w:b/>
      <w:bCs/>
      <w:i/>
      <w:iCs/>
      <w:color w:val="000000"/>
      <w:sz w:val="21"/>
    </w:rPr>
  </w:style>
  <w:style w:type="character" w:customStyle="1" w:styleId="Heading5Char">
    <w:name w:val="Heading 5 Char"/>
    <w:basedOn w:val="DefaultParagraphFont"/>
    <w:link w:val="Heading5"/>
    <w:uiPriority w:val="9"/>
    <w:semiHidden/>
    <w:rsid w:val="00FC693F"/>
    <w:rPr>
      <w:rFonts w:cstheme="majorBidi" w:ascii="Arial" w:hAnsi="Arial" w:eastAsia="Arial"/>
      <w:color w:val="000000"/>
      <w:sz w:val="21"/>
    </w:rPr>
  </w:style>
  <w:style w:type="character" w:customStyle="1" w:styleId="Heading6Char">
    <w:name w:val="Heading 6 Char"/>
    <w:basedOn w:val="DefaultParagraphFont"/>
    <w:link w:val="Heading6"/>
    <w:uiPriority w:val="9"/>
    <w:semiHidden/>
    <w:rsid w:val="00FC693F"/>
    <w:rPr>
      <w:rFonts w:cstheme="majorBidi" w:ascii="Arial" w:hAnsi="Arial" w:eastAsia="Arial"/>
      <w:i/>
      <w:iCs/>
      <w:color w:val="000000"/>
      <w:sz w:val="21"/>
    </w:rPr>
  </w:style>
  <w:style w:type="character" w:customStyle="1" w:styleId="Heading7Char">
    <w:name w:val="Heading 7 Char"/>
    <w:basedOn w:val="DefaultParagraphFont"/>
    <w:link w:val="Heading7"/>
    <w:uiPriority w:val="9"/>
    <w:semiHidden/>
    <w:rsid w:val="00FC693F"/>
    <w:rPr>
      <w:rFonts w:cstheme="majorBidi" w:ascii="Arial" w:hAnsi="Arial" w:eastAsia="Arial"/>
      <w:i/>
      <w:iCs/>
      <w:color w:val="000000"/>
      <w:sz w:val="21"/>
    </w:rPr>
  </w:style>
  <w:style w:type="character" w:customStyle="1" w:styleId="Heading8Char">
    <w:name w:val="Heading 8 Char"/>
    <w:basedOn w:val="DefaultParagraphFont"/>
    <w:link w:val="Heading8"/>
    <w:uiPriority w:val="9"/>
    <w:semiHidden/>
    <w:rsid w:val="00FC693F"/>
    <w:rPr>
      <w:rFonts w:cstheme="majorBidi" w:ascii="Arial" w:hAnsi="Arial" w:eastAsia="Arial"/>
      <w:color w:val="000000"/>
      <w:sz w:val="21"/>
      <w:szCs w:val="20"/>
    </w:rPr>
  </w:style>
  <w:style w:type="character" w:customStyle="1" w:styleId="Heading9Char">
    <w:name w:val="Heading 9 Char"/>
    <w:basedOn w:val="DefaultParagraphFont"/>
    <w:link w:val="Heading9"/>
    <w:uiPriority w:val="9"/>
    <w:semiHidden/>
    <w:rsid w:val="00FC693F"/>
    <w:rPr>
      <w:rFonts w:cstheme="majorBidi" w:ascii="Arial" w:hAnsi="Arial" w:eastAsia="Arial"/>
      <w:i/>
      <w:iCs/>
      <w:color w:val="000000"/>
      <w:sz w:val="21"/>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000000"/>
      <w:sz w:val="21"/>
      <w:szCs w:val="18"/>
    </w:rPr>
  </w:style>
  <w:style w:type="character" w:styleId="Strong">
    <w:name w:val="Strong"/>
    <w:basedOn w:val="DefaultParagraphFont"/>
    <w:uiPriority w:val="22"/>
    <w:qFormat/>
    <w:rsid w:val="00FC693F"/>
    <w:rPr>
      <w:rFonts w:ascii="Arial" w:hAnsi="Arial" w:eastAsia="Arial"/>
      <w:b/>
      <w:bCs/>
      <w:color w:val="000000"/>
      <w:sz w:val="21"/>
    </w:rPr>
  </w:style>
  <w:style w:type="character" w:styleId="Emphasis">
    <w:name w:val="Emphasis"/>
    <w:basedOn w:val="DefaultParagraphFont"/>
    <w:uiPriority w:val="20"/>
    <w:qFormat/>
    <w:rsid w:val="00FC693F"/>
    <w:rPr>
      <w:rFonts w:ascii="Arial" w:hAnsi="Arial" w:eastAsia="Arial"/>
      <w:i/>
      <w:iCs/>
      <w:color w:val="000000"/>
      <w:sz w:val="21"/>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b/>
      <w:bCs/>
      <w:i/>
      <w:iCs/>
      <w:color w:val="000000"/>
      <w:sz w:val="21"/>
    </w:rPr>
  </w:style>
  <w:style w:type="character" w:customStyle="1" w:styleId="IntenseQuoteChar">
    <w:name w:val="Intense Quote Char"/>
    <w:basedOn w:val="DefaultParagraphFont"/>
    <w:link w:val="IntenseQuote"/>
    <w:uiPriority w:val="30"/>
    <w:rsid w:val="00FC693F"/>
    <w:rPr>
      <w:rFonts w:ascii="Arial" w:hAnsi="Arial" w:eastAsia="Arial"/>
      <w:b/>
      <w:bCs/>
      <w:i/>
      <w:iCs/>
      <w:color w:val="000000"/>
      <w:sz w:val="21"/>
    </w:rPr>
  </w:style>
  <w:style w:type="character" w:styleId="SubtleEmphasis">
    <w:name w:val="Subtle Emphasis"/>
    <w:basedOn w:val="DefaultParagraphFont"/>
    <w:uiPriority w:val="19"/>
    <w:qFormat/>
    <w:rsid w:val="00FC693F"/>
    <w:rPr>
      <w:rFonts w:ascii="Arial" w:hAnsi="Arial" w:eastAsia="Arial"/>
      <w:i/>
      <w:iCs/>
      <w:color w:val="000000"/>
      <w:sz w:val="21"/>
    </w:rPr>
  </w:style>
  <w:style w:type="character" w:styleId="IntenseEmphasis">
    <w:name w:val="Intense Emphasis"/>
    <w:basedOn w:val="DefaultParagraphFont"/>
    <w:uiPriority w:val="21"/>
    <w:qFormat/>
    <w:rsid w:val="00FC693F"/>
    <w:rPr>
      <w:rFonts w:ascii="Arial" w:hAnsi="Arial" w:eastAsia="Arial"/>
      <w:b/>
      <w:bCs/>
      <w:i/>
      <w:iCs/>
      <w:color w:val="000000"/>
      <w:sz w:val="21"/>
    </w:rPr>
  </w:style>
  <w:style w:type="character" w:styleId="SubtleReference">
    <w:name w:val="Subtle Reference"/>
    <w:basedOn w:val="DefaultParagraphFont"/>
    <w:uiPriority w:val="31"/>
    <w:qFormat/>
    <w:rsid w:val="00FC693F"/>
    <w:rPr>
      <w:rFonts w:ascii="Arial" w:hAnsi="Arial" w:eastAsia="Arial"/>
      <w:smallCaps/>
      <w:color w:val="000000"/>
      <w:sz w:val="21"/>
      <w:u w:val="single"/>
    </w:rPr>
  </w:style>
  <w:style w:type="character" w:styleId="IntenseReference">
    <w:name w:val="Intense Reference"/>
    <w:basedOn w:val="DefaultParagraphFont"/>
    <w:uiPriority w:val="32"/>
    <w:qFormat/>
    <w:rsid w:val="00FC693F"/>
    <w:rPr>
      <w:rFonts w:ascii="Arial" w:hAnsi="Arial" w:eastAsia="Arial"/>
      <w:b/>
      <w:bCs/>
      <w:smallCaps/>
      <w:color w:val="000000"/>
      <w:spacing w:val="5"/>
      <w:sz w:val="21"/>
      <w:u w:val="single"/>
    </w:rPr>
  </w:style>
  <w:style w:type="character" w:styleId="BookTitle">
    <w:name w:val="Book Title"/>
    <w:basedOn w:val="DefaultParagraphFont"/>
    <w:uiPriority w:val="33"/>
    <w:qFormat/>
    <w:rsid w:val="00FC693F"/>
    <w:rPr>
      <w:rFonts w:ascii="Arial" w:hAnsi="Arial" w:eastAsia="Arial"/>
      <w:b/>
      <w:bCs/>
      <w:smallCaps/>
      <w:color w:val="000000"/>
      <w:spacing w:val="5"/>
      <w:sz w:val="21"/>
    </w:rPr>
  </w:style>
  <w:style w:type="paragraph" w:styleId="TOCHeading">
    <w:name w:val="TOC Heading"/>
    <w:basedOn w:val="Heading1"/>
    <w:next w:val="Normal"/>
    <w:uiPriority w:val="39"/>
    <w:semiHidden/>
    <w:unhideWhenUsed/>
    <w:qFormat/>
    <w:rsid w:val="00FC693F"/>
    <w:pPr>
      <w:outlineLvl w:val="9"/>
    </w:pPr>
    <w:rPr>
      <w:rFonts w:ascii="Arial" w:hAnsi="Arial" w:eastAsia="Arial"/>
      <w:color w:val="000000"/>
      <w:sz w:val="21"/>
    </w:rPr>
  </w:style>
  <w:style w:type="table" w:styleId="TableGrid">
    <w:name w:val="Table Grid"/>
    <w:basedOn w:val="TableNormal"/>
    <w:uiPriority w:val="59"/>
    <w:rsid w:val="00FC693F"/>
    <w:pPr>
      <w:spacing w:after="0" w:line="240" w:lineRule="auto"/>
    </w:pPr>
    <w:rPr>
      <w:rFonts w:ascii="Arial" w:hAnsi="Arial" w:eastAsia="Arial"/>
      <w:color w:val="000000"/>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eastAsia="Arial"/>
      <w:color w:val="000000"/>
      <w:sz w:val="2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olor w:val="000000"/>
      <w:sz w:val="2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olor w:val="000000"/>
      <w:sz w:val="2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olor w:val="000000"/>
      <w:sz w:val="2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olor w:val="000000"/>
      <w:sz w:val="2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olor w:val="000000"/>
      <w:sz w:val="2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olor w:val="000000"/>
      <w:sz w:val="2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eastAsia="Arial"/>
      <w:color w:val="000000"/>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eastAsia="Arial"/>
      <w:color w:val="000000"/>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eastAsia="Arial"/>
      <w:color w:val="000000"/>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eastAsia="Arial"/>
      <w:color w:val="000000"/>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eastAsia="Arial"/>
      <w:color w:val="000000"/>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eastAsia="Arial"/>
      <w:color w:val="000000"/>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eastAsia="Arial"/>
      <w:color w:val="000000"/>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eastAsia="Arial"/>
      <w:color w:val="000000"/>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eastAsia="Arial"/>
      <w:color w:val="000000"/>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Arial" w:hAnsi="Arial" w:eastAsia="Arial"/>
      <w:color w:val="000000"/>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Arial" w:hAnsi="Arial" w:eastAsia="Arial"/>
      <w:color w:val="000000"/>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Arial" w:hAnsi="Arial" w:eastAsia="Arial"/>
      <w:color w:val="000000"/>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Arial" w:hAnsi="Arial" w:eastAsia="Arial"/>
      <w:color w:val="000000"/>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Arial" w:hAnsi="Arial" w:eastAsia="Arial"/>
      <w:color w:val="000000"/>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Arial" w:hAnsi="Arial" w:eastAsia="Arial"/>
      <w:color w:val="000000"/>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Arial" w:hAnsi="Arial" w:eastAsia="Arial"/>
      <w:color w:val="000000"/>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Arial" w:hAnsi="Arial" w:eastAsia="Arial"/>
      <w:color w:val="000000"/>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Arial" w:hAnsi="Arial" w:eastAsia="Arial"/>
      <w:color w:val="000000"/>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Arial" w:hAnsi="Arial" w:eastAsia="Arial"/>
      <w:color w:val="000000"/>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Arial" w:hAnsi="Arial" w:eastAsia="Arial"/>
      <w:color w:val="000000"/>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Arial" w:hAnsi="Arial" w:eastAsia="Arial"/>
      <w:color w:val="000000"/>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Arial" w:hAnsi="Arial" w:eastAsia="Arial"/>
      <w:color w:val="000000"/>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Arial" w:hAnsi="Arial" w:eastAsia="Arial"/>
      <w:color w:val="000000"/>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eastAsia="Arial"/>
      <w:color w:val="000000"/>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eastAsia="Arial"/>
      <w:color w:val="000000"/>
      <w:sz w:val="2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olor w:val="000000"/>
      <w:sz w:val="2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olor w:val="000000"/>
      <w:sz w:val="2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olor w:val="000000"/>
      <w:sz w:val="2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olor w:val="000000"/>
      <w:sz w:val="2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olor w:val="000000"/>
      <w:sz w:val="2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olor w:val="000000"/>
      <w:sz w:val="2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olor w:val="000000"/>
      <w:sz w:val="2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Arial" w:hAnsi="Arial" w:eastAsia="Arial"/>
      <w:color w:val="000000"/>
      <w:sz w:val="2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Arial" w:hAnsi="Arial" w:eastAsia="Arial"/>
      <w:color w:val="000000"/>
      <w:sz w:val="2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Arial" w:hAnsi="Arial" w:eastAsia="Arial"/>
      <w:color w:val="000000"/>
      <w:sz w:val="2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olor w:val="000000"/>
      <w:sz w:val="2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Arial" w:hAnsi="Arial" w:eastAsia="Arial"/>
      <w:color w:val="000000"/>
      <w:sz w:val="2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Arial" w:hAnsi="Arial" w:eastAsia="Arial"/>
      <w:color w:val="000000"/>
      <w:sz w:val="2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Arial" w:hAnsi="Arial" w:eastAsia="Arial"/>
      <w:color w:val="000000"/>
      <w:sz w:val="2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olor w:val="000000"/>
      <w:sz w:val="2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olor w:val="000000"/>
      <w:sz w:val="2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olor w:val="000000"/>
      <w:sz w:val="2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olor w:val="000000"/>
      <w:sz w:val="2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olor w:val="000000"/>
      <w:sz w:val="2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olor w:val="000000"/>
      <w:sz w:val="2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olor w:val="000000"/>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olor w:val="000000"/>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olor w:val="000000"/>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olor w:val="000000"/>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olor w:val="000000"/>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olor w:val="000000"/>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olor w:val="000000"/>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hyperlink" Target="Flight_Environment_Setup.txt" TargetMode="External"/><Relationship Id="rId11" Type="http://schemas.openxmlformats.org/officeDocument/2006/relationships/hyperlink" Target="../implementation/mobile_application/README.md#getting-started" TargetMode="External"/><Relationship Id="rId13" Type="http://schemas.openxmlformats.org/officeDocument/2006/relationships/hyperlink" Target="../simulation/README.md" TargetMode="External"/><Relationship Id="rId14" Type="http://schemas.openxmlformats.org/officeDocument/2006/relationships/hyperlink" Target="https://www.youtube.com/watch?v=oQvX7AQdywA" TargetMode="External"/><Relationship Id="rId15" Type="http://schemas.openxmlformats.org/officeDocument/2006/relationships/hyperlink" Target="https://www.youtube.com/watch?v=A7RMnk3LN9k" TargetMode="External"/><Relationship Id="rId16" Type="http://schemas.openxmlformats.org/officeDocument/2006/relationships/hyperlink" Target="https://www.youtube.com/watch?v=Zf9cXaNFMGM" TargetMode="External"/><Relationship Id="rId17" Type="http://schemas.openxmlformats.org/officeDocument/2006/relationships/hyperlink" Target="Demo_Video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User-Triggered UAV Dispatching System Technical Guide</dc:title>
  <dc:subject>System setup implementation and supporting evidence</dc:subject>
  <cp:keywords/>
  <dc:description/>
  <cp:category>Technical Guide</cp:category>
</cp:coreProperties>
</file>