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1  Archive Contents and Version</w:t>
      </w:r>
    </w:p>
    <w:p>
      <w:pPr>
        <w:widowControl/>
      </w:pPr>
      <w:r>
        <w:t>Mountain Search UAV System | Technical Guide | 28 September 2026</w:t>
        <w:br/>
        <w:t>Source revision: UAV-SEARCH-20260928</w:t>
      </w:r>
    </w:p>
    <w:p>
      <w:pPr>
        <w:widowControl/>
      </w:pPr>
      <w:r>
        <w:t>This archive contains the mobile application, ground station and UAV source code, together with MATLAB simulations of the three search modes, software verification records and outdoor footage. All paths in this guide are relative to the archive root.</w:t>
      </w:r>
    </w:p>
    <w:p>
      <w:pPr>
        <w:pStyle w:val="Heading2"/>
        <w:widowControl/>
      </w:pPr>
      <w:r>
        <w:t>File locations</w:t>
      </w: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672"/>
        <w:gridCol w:w="6466"/>
      </w:tblGrid>
      <w:tr>
        <w:trPr>
          <w:tblHeader/>
          <w:cantSplit/>
        </w:trPr>
        <w:tc>
          <w:tcPr>
            <w:tcW w:type="dxa" w:w="3672"/>
            <w:vAlign w:val="center"/>
          </w:tcPr>
          <w:p>
            <w:pPr>
              <w:spacing w:before="60" w:after="60" w:line="245" w:lineRule="auto"/>
            </w:pPr>
            <w:r>
              <w:rPr>
                <w:b/>
                <w:color w:val="000000"/>
                <w:sz w:val="19"/>
              </w:rPr>
              <w:t>Directory</w:t>
            </w:r>
          </w:p>
        </w:tc>
        <w:tc>
          <w:tcPr>
            <w:tcW w:type="dxa" w:w="6466"/>
            <w:vAlign w:val="center"/>
          </w:tcPr>
          <w:p>
            <w:pPr>
              <w:spacing w:before="60" w:after="60" w:line="245" w:lineRule="auto"/>
            </w:pPr>
            <w:r>
              <w:rPr>
                <w:b/>
                <w:color w:val="000000"/>
                <w:sz w:val="19"/>
              </w:rPr>
              <w:t>Contents</w:t>
            </w:r>
          </w:p>
        </w:tc>
      </w:tr>
      <w:tr>
        <w:trPr>
          <w:cantSplit/>
        </w:trPr>
        <w:tc>
          <w:tcPr>
            <w:tcW w:type="dxa" w:w="3672"/>
            <w:vAlign w:val="center"/>
          </w:tcPr>
          <w:p>
            <w:pPr>
              <w:spacing w:before="60" w:after="60" w:line="245" w:lineRule="auto"/>
            </w:pPr>
            <w:r>
              <w:rPr>
                <w:b w:val="0"/>
                <w:color w:val="000000"/>
                <w:sz w:val="19"/>
              </w:rPr>
              <w:t>code/</w:t>
            </w:r>
          </w:p>
        </w:tc>
        <w:tc>
          <w:tcPr>
            <w:tcW w:type="dxa" w:w="6466"/>
            <w:vAlign w:val="center"/>
          </w:tcPr>
          <w:p>
            <w:pPr>
              <w:spacing w:before="60" w:after="60" w:line="245" w:lineRule="auto"/>
            </w:pPr>
            <w:r>
              <w:rPr>
                <w:b w:val="0"/>
                <w:color w:val="000000"/>
                <w:sz w:val="19"/>
              </w:rPr>
              <w:t>Three software components, integration tests and configuration checks</w:t>
            </w:r>
          </w:p>
        </w:tc>
      </w:tr>
      <w:tr>
        <w:trPr>
          <w:cantSplit/>
        </w:trPr>
        <w:tc>
          <w:tcPr>
            <w:tcW w:type="dxa" w:w="3672"/>
            <w:vAlign w:val="center"/>
          </w:tcPr>
          <w:p>
            <w:pPr>
              <w:spacing w:before="60" w:after="60" w:line="245" w:lineRule="auto"/>
            </w:pPr>
            <w:r>
              <w:rPr>
                <w:b w:val="0"/>
                <w:color w:val="000000"/>
                <w:sz w:val="19"/>
              </w:rPr>
              <w:t>simulation/</w:t>
            </w:r>
          </w:p>
        </w:tc>
        <w:tc>
          <w:tcPr>
            <w:tcW w:type="dxa" w:w="6466"/>
            <w:vAlign w:val="center"/>
          </w:tcPr>
          <w:p>
            <w:pPr>
              <w:spacing w:before="60" w:after="60" w:line="245" w:lineRule="auto"/>
            </w:pPr>
            <w:r>
              <w:rPr>
                <w:b w:val="0"/>
                <w:color w:val="000000"/>
                <w:sz w:val="19"/>
              </w:rPr>
              <w:t>MATLAB scripts, elevation data, trajectories, figures and animation</w:t>
            </w:r>
          </w:p>
        </w:tc>
      </w:tr>
      <w:tr>
        <w:trPr>
          <w:cantSplit/>
        </w:trPr>
        <w:tc>
          <w:tcPr>
            <w:tcW w:type="dxa" w:w="3672"/>
            <w:vAlign w:val="center"/>
          </w:tcPr>
          <w:p>
            <w:pPr>
              <w:spacing w:before="60" w:after="60" w:line="245" w:lineRule="auto"/>
            </w:pPr>
            <w:r>
              <w:rPr>
                <w:b w:val="0"/>
                <w:color w:val="000000"/>
                <w:sz w:val="19"/>
              </w:rPr>
              <w:t>experiments/phone_relay_20260928/</w:t>
            </w:r>
          </w:p>
        </w:tc>
        <w:tc>
          <w:tcPr>
            <w:tcW w:type="dxa" w:w="6466"/>
            <w:vAlign w:val="center"/>
          </w:tcPr>
          <w:p>
            <w:pPr>
              <w:spacing w:before="60" w:after="60" w:line="245" w:lineRule="auto"/>
            </w:pPr>
            <w:r>
              <w:rPr>
                <w:b w:val="0"/>
                <w:color w:val="000000"/>
                <w:sz w:val="19"/>
              </w:rPr>
              <w:t>Inputs and results from the local phone-record relay test</w:t>
            </w:r>
          </w:p>
        </w:tc>
      </w:tr>
      <w:tr>
        <w:trPr>
          <w:cantSplit/>
        </w:trPr>
        <w:tc>
          <w:tcPr>
            <w:tcW w:type="dxa" w:w="3672"/>
            <w:vAlign w:val="center"/>
          </w:tcPr>
          <w:p>
            <w:pPr>
              <w:spacing w:before="60" w:after="60" w:line="245" w:lineRule="auto"/>
            </w:pPr>
            <w:r>
              <w:rPr>
                <w:b w:val="0"/>
                <w:color w:val="000000"/>
                <w:sz w:val="19"/>
              </w:rPr>
              <w:t>experiments/outdoor/</w:t>
            </w:r>
          </w:p>
        </w:tc>
        <w:tc>
          <w:tcPr>
            <w:tcW w:type="dxa" w:w="6466"/>
            <w:vAlign w:val="center"/>
          </w:tcPr>
          <w:p>
            <w:pPr>
              <w:spacing w:before="60" w:after="60" w:line="245" w:lineRule="auto"/>
            </w:pPr>
            <w:r>
              <w:rPr>
                <w:b w:val="0"/>
                <w:color w:val="000000"/>
                <w:sz w:val="19"/>
              </w:rPr>
              <w:t>Original outdoor footage, ground-station footage and images</w:t>
            </w:r>
          </w:p>
        </w:tc>
      </w:tr>
      <w:tr>
        <w:trPr>
          <w:cantSplit/>
        </w:trPr>
        <w:tc>
          <w:tcPr>
            <w:tcW w:type="dxa" w:w="3672"/>
            <w:vAlign w:val="center"/>
          </w:tcPr>
          <w:p>
            <w:pPr>
              <w:spacing w:before="60" w:after="60" w:line="245" w:lineRule="auto"/>
            </w:pPr>
            <w:r>
              <w:rPr>
                <w:b w:val="0"/>
                <w:color w:val="000000"/>
                <w:sz w:val="19"/>
              </w:rPr>
              <w:t>records/</w:t>
            </w:r>
          </w:p>
        </w:tc>
        <w:tc>
          <w:tcPr>
            <w:tcW w:type="dxa" w:w="6466"/>
            <w:vAlign w:val="center"/>
          </w:tcPr>
          <w:p>
            <w:pPr>
              <w:spacing w:before="60" w:after="60" w:line="245" w:lineRule="auto"/>
            </w:pPr>
            <w:r>
              <w:rPr>
                <w:b w:val="0"/>
                <w:color w:val="000000"/>
                <w:sz w:val="19"/>
              </w:rPr>
              <w:t>Verification logs, source provenance and file checksums</w:t>
            </w:r>
          </w:p>
        </w:tc>
      </w:tr>
      <w:tr>
        <w:trPr>
          <w:cantSplit/>
        </w:trPr>
        <w:tc>
          <w:tcPr>
            <w:tcW w:type="dxa" w:w="3672"/>
            <w:vAlign w:val="center"/>
          </w:tcPr>
          <w:p>
            <w:pPr>
              <w:spacing w:before="60" w:after="60" w:line="245" w:lineRule="auto"/>
            </w:pPr>
            <w:r>
              <w:rPr>
                <w:b w:val="0"/>
                <w:color w:val="000000"/>
                <w:sz w:val="19"/>
              </w:rPr>
              <w:t>docs/</w:t>
            </w:r>
          </w:p>
        </w:tc>
        <w:tc>
          <w:tcPr>
            <w:tcW w:type="dxa" w:w="6466"/>
            <w:vAlign w:val="center"/>
          </w:tcPr>
          <w:p>
            <w:pPr>
              <w:spacing w:before="60" w:after="60" w:line="245" w:lineRule="auto"/>
            </w:pPr>
            <w:r>
              <w:rPr>
                <w:b w:val="0"/>
                <w:color w:val="000000"/>
                <w:sz w:val="19"/>
              </w:rPr>
              <w:t>This guide in Word, PDF and Markdown formats</w:t>
            </w:r>
          </w:p>
        </w:tc>
      </w:tr>
      <w:tr>
        <w:trPr>
          <w:cantSplit/>
        </w:trPr>
        <w:tc>
          <w:tcPr>
            <w:tcW w:type="dxa" w:w="3672"/>
            <w:vAlign w:val="center"/>
          </w:tcPr>
          <w:p>
            <w:pPr>
              <w:spacing w:before="60" w:after="60" w:line="245" w:lineRule="auto"/>
            </w:pPr>
            <w:r>
              <w:rPr>
                <w:b w:val="0"/>
                <w:color w:val="000000"/>
                <w:sz w:val="19"/>
              </w:rPr>
              <w:t>LICENSES/</w:t>
            </w:r>
          </w:p>
        </w:tc>
        <w:tc>
          <w:tcPr>
            <w:tcW w:type="dxa" w:w="6466"/>
            <w:vAlign w:val="center"/>
          </w:tcPr>
          <w:p>
            <w:pPr>
              <w:spacing w:before="60" w:after="60" w:line="245" w:lineRule="auto"/>
            </w:pPr>
            <w:r>
              <w:rPr>
                <w:b w:val="0"/>
                <w:color w:val="000000"/>
                <w:sz w:val="19"/>
              </w:rPr>
              <w:t>Source licenses and third-party copyright notices</w:t>
            </w:r>
          </w:p>
        </w:tc>
      </w:tr>
    </w:tbl>
    <w:p>
      <w:pPr>
        <w:spacing w:after="0" w:before="0" w:line="240" w:lineRule="auto"/>
      </w:pPr>
      <w:r>
        <w:rPr>
          <w:sz w:val="6"/>
        </w:rPr>
      </w:r>
    </w:p>
    <w:p>
      <w:pPr>
        <w:pStyle w:val="Heading2"/>
        <w:widowControl/>
      </w:pPr>
      <w:r>
        <w:t>Component directory abbreviations</w:t>
      </w:r>
    </w:p>
    <w:p>
      <w:pPr>
        <w:widowControl/>
      </w:pPr>
      <w:r>
        <w:t>M, G and U refer to the mobile, ground-station and UAV directories, respectively:</w:t>
      </w:r>
    </w:p>
    <w:p>
      <w:pPr>
        <w:keepLines/>
        <w:spacing w:before="60" w:after="140" w:line="252" w:lineRule="auto"/>
      </w:pPr>
      <w:r>
        <w:rPr>
          <w:rFonts w:ascii="Liberation Mono" w:hAnsi="Liberation Mono" w:eastAsia="Arial"/>
          <w:color w:val="000000"/>
          <w:sz w:val="16"/>
        </w:rPr>
        <w:t>code/mobile_application</w:t>
      </w:r>
      <w:r>
        <w:rPr>
          <w:rFonts w:ascii="Liberation Mono" w:hAnsi="Liberation Mono" w:eastAsia="Arial"/>
          <w:color w:val="000000"/>
          <w:sz w:val="16"/>
        </w:rPr>
        <w:br/>
        <w:t>code/ground_station</w:t>
      </w:r>
      <w:r>
        <w:rPr>
          <w:rFonts w:ascii="Liberation Mono" w:hAnsi="Liberation Mono" w:eastAsia="Arial"/>
          <w:color w:val="000000"/>
          <w:sz w:val="16"/>
        </w:rPr>
        <w:br/>
        <w:t>code/search_uav</w:t>
      </w:r>
    </w:p>
    <w:p>
      <w:pPr>
        <w:pStyle w:val="Heading2"/>
        <w:widowControl/>
      </w:pPr>
      <w:r>
        <w:t>Current behavior</w:t>
      </w:r>
    </w:p>
    <w:p>
      <w:pPr>
        <w:widowControl/>
      </w:pPr>
      <w:r>
        <w:t>Mode 1 estimates the trip end time from the planned route and a fixed walking speed. Mode 2 checks whether the latest valid GPS sample exceeds the configured update timeout. Mode 3 places an SOS request in the verification queue. In all three modes, the operator verifies the situation and confirms a search before creating an event, reviewing its route and dispatching the mission.</w:t>
      </w:r>
    </w:p>
    <w:p>
      <w:pPr>
        <w:widowControl/>
      </w:pPr>
      <w:r>
        <w:t>Application and protocol version numbers are retained. The archive revision is recorded separately in code/source_revision.json. The software retains its existing language options.</w:t>
      </w:r>
    </w:p>
    <w:p>
      <w:r>
        <w:br w:type="page"/>
      </w:r>
    </w:p>
    <w:p>
      <w:pPr>
        <w:pStyle w:val="Heading1"/>
      </w:pPr>
      <w:r>
        <w:t>2  Local Setup and Verification</w:t>
      </w:r>
    </w:p>
    <w:p>
      <w:pPr>
        <w:widowControl/>
      </w:pPr>
      <w:r>
        <w:t>Software verification used Python 3.12, Node.js 24 and a C++14 compiler. Simulation recomputation used MATLAB R2025b. Run the following commands from the archive root.</w:t>
      </w:r>
    </w:p>
    <w:p>
      <w:pPr>
        <w:pStyle w:val="Heading2"/>
        <w:widowControl/>
      </w:pPr>
      <w:r>
        <w:t>Create the Python environment</w:t>
      </w:r>
    </w:p>
    <w:p>
      <w:pPr>
        <w:keepLines/>
        <w:spacing w:before="60" w:after="140" w:line="252" w:lineRule="auto"/>
      </w:pPr>
      <w:r>
        <w:rPr>
          <w:rFonts w:ascii="Liberation Mono" w:hAnsi="Liberation Mono" w:eastAsia="Arial"/>
          <w:color w:val="000000"/>
          <w:sz w:val="16"/>
        </w:rPr>
        <w:t>python3 -m venv .venv</w:t>
      </w:r>
      <w:r>
        <w:rPr>
          <w:rFonts w:ascii="Liberation Mono" w:hAnsi="Liberation Mono" w:eastAsia="Arial"/>
          <w:color w:val="000000"/>
          <w:sz w:val="16"/>
        </w:rPr>
        <w:br/>
        <w:t>source .venv/bin/activate</w:t>
      </w:r>
      <w:r>
        <w:rPr>
          <w:rFonts w:ascii="Liberation Mono" w:hAnsi="Liberation Mono" w:eastAsia="Arial"/>
          <w:color w:val="000000"/>
          <w:sz w:val="16"/>
        </w:rPr>
        <w:br/>
        <w:t>python -m pip install -r requirements-verification.txt</w:t>
      </w:r>
      <w:r>
        <w:rPr>
          <w:rFonts w:ascii="Liberation Mono" w:hAnsi="Liberation Mono" w:eastAsia="Arial"/>
          <w:color w:val="000000"/>
          <w:sz w:val="16"/>
        </w:rPr>
        <w:br/>
        <w:t>python scripts/prepare_local.py</w:t>
      </w:r>
    </w:p>
    <w:p>
      <w:pPr>
        <w:pStyle w:val="Heading2"/>
        <w:widowControl/>
      </w:pPr>
      <w:r>
        <w:t>Install mobile dependencies</w:t>
      </w:r>
    </w:p>
    <w:p>
      <w:pPr>
        <w:keepLines/>
        <w:spacing w:before="60" w:after="140" w:line="252" w:lineRule="auto"/>
      </w:pPr>
      <w:r>
        <w:rPr>
          <w:rFonts w:ascii="Liberation Mono" w:hAnsi="Liberation Mono" w:eastAsia="Arial"/>
          <w:color w:val="000000"/>
          <w:sz w:val="16"/>
        </w:rPr>
        <w:t>cd code/mobile_application</w:t>
      </w:r>
      <w:r>
        <w:rPr>
          <w:rFonts w:ascii="Liberation Mono" w:hAnsi="Liberation Mono" w:eastAsia="Arial"/>
          <w:color w:val="000000"/>
          <w:sz w:val="16"/>
        </w:rPr>
        <w:br/>
        <w:t>npm ci</w:t>
      </w:r>
      <w:r>
        <w:rPr>
          <w:rFonts w:ascii="Liberation Mono" w:hAnsi="Liberation Mono" w:eastAsia="Arial"/>
          <w:color w:val="000000"/>
          <w:sz w:val="16"/>
        </w:rPr>
        <w:br/>
        <w:t>cd ../..</w:t>
      </w:r>
    </w:p>
    <w:p>
      <w:pPr>
        <w:pStyle w:val="Heading2"/>
        <w:widowControl/>
      </w:pPr>
      <w:r>
        <w:t>Run the complete verification sequence</w:t>
      </w:r>
    </w:p>
    <w:p>
      <w:pPr>
        <w:keepLines/>
        <w:spacing w:before="60" w:after="140" w:line="252" w:lineRule="auto"/>
      </w:pPr>
      <w:r>
        <w:rPr>
          <w:rFonts w:ascii="Liberation Mono" w:hAnsi="Liberation Mono" w:eastAsia="Arial"/>
          <w:color w:val="000000"/>
          <w:sz w:val="16"/>
        </w:rPr>
        <w:t>python scripts/verify.py --output local-results/verification</w:t>
      </w:r>
    </w:p>
    <w:p>
      <w:pPr>
        <w:widowControl/>
      </w:pPr>
      <w:r>
        <w:t>Use a new output directory for each run. The sequence checks lint rules, TypeScript types, version alignment, mobile tests, Python syntax, ground-station and UAV tests, C++ target-state handling and cross-component protocols. It then checks the saved MATLAB trajectories and figure axes. An all_passed value of true in summary.json means that all listed checks passed.</w:t>
      </w:r>
    </w:p>
    <w:p>
      <w:pPr>
        <w:pStyle w:val="Heading2"/>
        <w:widowControl/>
      </w:pPr>
      <w:r>
        <w:t>Repeat the local relay test</w:t>
      </w:r>
    </w:p>
    <w:p>
      <w:pPr>
        <w:widowControl/>
      </w:pPr>
      <w:r>
        <w:t>Install Mosquitto and make the mosquitto executable available on the command path. The test starts a temporary broker that listens only on the local loopback address and stops it when the test finishes.</w:t>
      </w:r>
    </w:p>
    <w:p>
      <w:pPr>
        <w:keepLines/>
        <w:spacing w:before="60" w:after="140" w:line="252" w:lineRule="auto"/>
      </w:pPr>
      <w:r>
        <w:rPr>
          <w:rFonts w:ascii="Liberation Mono" w:hAnsi="Liberation Mono" w:eastAsia="Arial"/>
          <w:color w:val="000000"/>
          <w:sz w:val="16"/>
        </w:rPr>
        <w:t>python code/integration_tests/run_phone_uav_gs_bench.py \</w:t>
      </w:r>
      <w:r>
        <w:rPr>
          <w:rFonts w:ascii="Liberation Mono" w:hAnsi="Liberation Mono" w:eastAsia="Arial"/>
          <w:color w:val="000000"/>
          <w:sz w:val="16"/>
        </w:rPr>
        <w:br/>
        <w:t xml:space="preserve">  --output local-results/phone-relay</w:t>
      </w:r>
    </w:p>
    <w:p>
      <w:pPr>
        <w:widowControl/>
      </w:pPr>
      <w:r>
        <w:t>The test sends a synthetic phone record through a local HTTP interface and uses a running Mosquitto broker for relay and acknowledgement. Its output includes nine key records, the broker log and file checksums.</w:t>
      </w:r>
    </w:p>
    <w:p>
      <w:pPr>
        <w:widowControl/>
      </w:pPr>
      <w:r>
        <w:t>On Windows, activate Python with .venv\Scripts\Activate.ps1 in PowerShell. The complete shell-based verification entry point requires Git Bash or a compatible shell. Configure ROS programs on Ubuntu as described in Section 5.</w:t>
      </w:r>
    </w:p>
    <w:p>
      <w:r>
        <w:br w:type="page"/>
      </w:r>
    </w:p>
    <w:p>
      <w:pPr>
        <w:pStyle w:val="Heading1"/>
      </w:pPr>
      <w:r>
        <w:t>3  Mobile Records and Trip-Time Estimation</w:t>
      </w:r>
    </w:p>
    <w:p>
      <w:pPr>
        <w:pStyle w:val="Heading2"/>
        <w:widowControl/>
      </w:pPr>
      <w:r>
        <w:t>Mode 1: trip booking</w:t>
      </w:r>
    </w:p>
    <w:p>
      <w:pPr>
        <w:widowControl/>
      </w:pPr>
      <w:r>
        <w:t>The user enters a trip name, departure date and departure time, then selects successive locations along the planned route on the map. The interface displays the estimated end date and time automatically. Editing the route, departure date or departure time recalculates the estimate.</w:t>
      </w:r>
    </w:p>
    <w:p>
      <w:pPr>
        <w:widowControl/>
      </w:pPr>
      <w:r>
        <w:t>The application uses the Haversine formula between consecutive coordinates and sums these distances. It uses a fixed walking speed of 4 km/h and rounds the estimated duration up to a whole minute. The end timestamp is the departure timestamp plus that duration. Dates spanning midnight, a year boundary or a leap day retain the complete end timestamp.</w:t>
      </w:r>
    </w:p>
    <w:p>
      <w:pPr>
        <w:keepLines/>
        <w:spacing w:before="60" w:after="140" w:line="252" w:lineRule="auto"/>
      </w:pPr>
      <w:r>
        <w:rPr>
          <w:rFonts w:ascii="Liberation Mono" w:hAnsi="Liberation Mono" w:eastAsia="Arial"/>
          <w:color w:val="000000"/>
          <w:sz w:val="16"/>
        </w:rPr>
        <w:t>duration_minutes = ceil(route_distance_m / 4000 * 60)</w:t>
      </w:r>
      <w:r>
        <w:rPr>
          <w:rFonts w:ascii="Liberation Mono" w:hAnsi="Liberation Mono" w:eastAsia="Arial"/>
          <w:color w:val="000000"/>
          <w:sz w:val="16"/>
        </w:rPr>
        <w:br/>
        <w:t>end_time = departure_time + duration_minutes * 60 seconds</w:t>
      </w:r>
    </w:p>
    <w:p>
      <w:pPr>
        <w:widowControl/>
      </w:pPr>
      <w:r>
        <w:t>The 4 km/h value follows the general walking-time reference in Ordnance Survey's Map Reading guide. This estimate uses horizontal route distance; selected points should represent the planned route turns. Gradient, ground conditions and stops affect actual duration, so an overdue record still requires operator contact and verification.</w:t>
      </w: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672"/>
        <w:gridCol w:w="6466"/>
      </w:tblGrid>
      <w:tr>
        <w:trPr>
          <w:tblHeader/>
          <w:cantSplit/>
        </w:trPr>
        <w:tc>
          <w:tcPr>
            <w:tcW w:type="dxa" w:w="3672"/>
            <w:vAlign w:val="center"/>
          </w:tcPr>
          <w:p>
            <w:pPr>
              <w:spacing w:before="60" w:after="60" w:line="245" w:lineRule="auto"/>
            </w:pPr>
            <w:r>
              <w:rPr>
                <w:b/>
                <w:color w:val="000000"/>
                <w:sz w:val="19"/>
              </w:rPr>
              <w:t>Stored field</w:t>
            </w:r>
          </w:p>
        </w:tc>
        <w:tc>
          <w:tcPr>
            <w:tcW w:type="dxa" w:w="6466"/>
            <w:vAlign w:val="center"/>
          </w:tcPr>
          <w:p>
            <w:pPr>
              <w:spacing w:before="60" w:after="60" w:line="245" w:lineRule="auto"/>
            </w:pPr>
            <w:r>
              <w:rPr>
                <w:b/>
                <w:color w:val="000000"/>
                <w:sz w:val="19"/>
              </w:rPr>
              <w:t>Meaning</w:t>
            </w:r>
          </w:p>
        </w:tc>
      </w:tr>
      <w:tr>
        <w:trPr>
          <w:cantSplit/>
        </w:trPr>
        <w:tc>
          <w:tcPr>
            <w:tcW w:type="dxa" w:w="3672"/>
            <w:vAlign w:val="center"/>
          </w:tcPr>
          <w:p>
            <w:pPr>
              <w:spacing w:before="60" w:after="60" w:line="245" w:lineRule="auto"/>
            </w:pPr>
            <w:r>
              <w:rPr>
                <w:b w:val="0"/>
                <w:color w:val="000000"/>
                <w:sz w:val="19"/>
              </w:rPr>
              <w:t>waypoints</w:t>
            </w:r>
          </w:p>
        </w:tc>
        <w:tc>
          <w:tcPr>
            <w:tcW w:type="dxa" w:w="6466"/>
            <w:vAlign w:val="center"/>
          </w:tcPr>
          <w:p>
            <w:pPr>
              <w:spacing w:before="60" w:after="60" w:line="245" w:lineRule="auto"/>
            </w:pPr>
            <w:r>
              <w:rPr>
                <w:b w:val="0"/>
                <w:color w:val="000000"/>
                <w:sz w:val="19"/>
              </w:rPr>
              <w:t>Planned route positions in the order selected by the user</w:t>
            </w:r>
          </w:p>
        </w:tc>
      </w:tr>
      <w:tr>
        <w:trPr>
          <w:cantSplit/>
        </w:trPr>
        <w:tc>
          <w:tcPr>
            <w:tcW w:type="dxa" w:w="3672"/>
            <w:vAlign w:val="center"/>
          </w:tcPr>
          <w:p>
            <w:pPr>
              <w:spacing w:before="60" w:after="60" w:line="245" w:lineRule="auto"/>
            </w:pPr>
            <w:r>
              <w:rPr>
                <w:b w:val="0"/>
                <w:color w:val="000000"/>
                <w:sz w:val="19"/>
              </w:rPr>
              <w:t>expectedEndAtMs</w:t>
            </w:r>
          </w:p>
        </w:tc>
        <w:tc>
          <w:tcPr>
            <w:tcW w:type="dxa" w:w="6466"/>
            <w:vAlign w:val="center"/>
          </w:tcPr>
          <w:p>
            <w:pPr>
              <w:spacing w:before="60" w:after="60" w:line="245" w:lineRule="auto"/>
            </w:pPr>
            <w:r>
              <w:rPr>
                <w:b w:val="0"/>
                <w:color w:val="000000"/>
                <w:sz w:val="19"/>
              </w:rPr>
              <w:t>Estimated end timestamp in Unix milliseconds</w:t>
            </w:r>
          </w:p>
        </w:tc>
      </w:tr>
      <w:tr>
        <w:trPr>
          <w:cantSplit/>
        </w:trPr>
        <w:tc>
          <w:tcPr>
            <w:tcW w:type="dxa" w:w="3672"/>
            <w:vAlign w:val="center"/>
          </w:tcPr>
          <w:p>
            <w:pPr>
              <w:spacing w:before="60" w:after="60" w:line="245" w:lineRule="auto"/>
            </w:pPr>
            <w:r>
              <w:rPr>
                <w:b w:val="0"/>
                <w:color w:val="000000"/>
                <w:sz w:val="19"/>
              </w:rPr>
              <w:t>endDate / endTime</w:t>
            </w:r>
          </w:p>
        </w:tc>
        <w:tc>
          <w:tcPr>
            <w:tcW w:type="dxa" w:w="6466"/>
            <w:vAlign w:val="center"/>
          </w:tcPr>
          <w:p>
            <w:pPr>
              <w:spacing w:before="60" w:after="60" w:line="245" w:lineRule="auto"/>
            </w:pPr>
            <w:r>
              <w:rPr>
                <w:b w:val="0"/>
                <w:color w:val="000000"/>
                <w:sz w:val="19"/>
              </w:rPr>
              <w:t>End date and time displayed by the interface</w:t>
            </w:r>
          </w:p>
        </w:tc>
      </w:tr>
      <w:tr>
        <w:trPr>
          <w:cantSplit/>
        </w:trPr>
        <w:tc>
          <w:tcPr>
            <w:tcW w:type="dxa" w:w="3672"/>
            <w:vAlign w:val="center"/>
          </w:tcPr>
          <w:p>
            <w:pPr>
              <w:spacing w:before="60" w:after="60" w:line="245" w:lineRule="auto"/>
            </w:pPr>
            <w:r>
              <w:rPr>
                <w:b w:val="0"/>
                <w:color w:val="000000"/>
                <w:sz w:val="19"/>
              </w:rPr>
              <w:t>routeDistanceM</w:t>
            </w:r>
          </w:p>
        </w:tc>
        <w:tc>
          <w:tcPr>
            <w:tcW w:type="dxa" w:w="6466"/>
            <w:vAlign w:val="center"/>
          </w:tcPr>
          <w:p>
            <w:pPr>
              <w:spacing w:before="60" w:after="60" w:line="245" w:lineRule="auto"/>
            </w:pPr>
            <w:r>
              <w:rPr>
                <w:b w:val="0"/>
                <w:color w:val="000000"/>
                <w:sz w:val="19"/>
              </w:rPr>
              <w:t>Total route distance in metres</w:t>
            </w:r>
          </w:p>
        </w:tc>
      </w:tr>
      <w:tr>
        <w:trPr>
          <w:cantSplit/>
        </w:trPr>
        <w:tc>
          <w:tcPr>
            <w:tcW w:type="dxa" w:w="3672"/>
            <w:vAlign w:val="center"/>
          </w:tcPr>
          <w:p>
            <w:pPr>
              <w:spacing w:before="60" w:after="60" w:line="245" w:lineRule="auto"/>
            </w:pPr>
            <w:r>
              <w:rPr>
                <w:b w:val="0"/>
                <w:color w:val="000000"/>
                <w:sz w:val="19"/>
              </w:rPr>
              <w:t>estimatedDurationMinutes</w:t>
            </w:r>
          </w:p>
        </w:tc>
        <w:tc>
          <w:tcPr>
            <w:tcW w:type="dxa" w:w="6466"/>
            <w:vAlign w:val="center"/>
          </w:tcPr>
          <w:p>
            <w:pPr>
              <w:spacing w:before="60" w:after="60" w:line="245" w:lineRule="auto"/>
            </w:pPr>
            <w:r>
              <w:rPr>
                <w:b w:val="0"/>
                <w:color w:val="000000"/>
                <w:sz w:val="19"/>
              </w:rPr>
              <w:t>Estimated duration, rounded up to whole minutes</w:t>
            </w:r>
          </w:p>
        </w:tc>
      </w:tr>
      <w:tr>
        <w:trPr>
          <w:cantSplit/>
        </w:trPr>
        <w:tc>
          <w:tcPr>
            <w:tcW w:type="dxa" w:w="3672"/>
            <w:vAlign w:val="center"/>
          </w:tcPr>
          <w:p>
            <w:pPr>
              <w:spacing w:before="60" w:after="60" w:line="245" w:lineRule="auto"/>
            </w:pPr>
            <w:r>
              <w:rPr>
                <w:b w:val="0"/>
                <w:color w:val="000000"/>
                <w:sz w:val="19"/>
              </w:rPr>
              <w:t>walkingSpeedKmh</w:t>
            </w:r>
          </w:p>
        </w:tc>
        <w:tc>
          <w:tcPr>
            <w:tcW w:type="dxa" w:w="6466"/>
            <w:vAlign w:val="center"/>
          </w:tcPr>
          <w:p>
            <w:pPr>
              <w:spacing w:before="60" w:after="60" w:line="245" w:lineRule="auto"/>
            </w:pPr>
            <w:r>
              <w:rPr>
                <w:b w:val="0"/>
                <w:color w:val="000000"/>
                <w:sz w:val="19"/>
              </w:rPr>
              <w:t>Fixed value: 4</w:t>
            </w:r>
          </w:p>
        </w:tc>
      </w:tr>
      <w:tr>
        <w:trPr>
          <w:cantSplit/>
        </w:trPr>
        <w:tc>
          <w:tcPr>
            <w:tcW w:type="dxa" w:w="3672"/>
            <w:vAlign w:val="center"/>
          </w:tcPr>
          <w:p>
            <w:pPr>
              <w:spacing w:before="60" w:after="60" w:line="245" w:lineRule="auto"/>
            </w:pPr>
            <w:r>
              <w:rPr>
                <w:b w:val="0"/>
                <w:color w:val="000000"/>
                <w:sz w:val="19"/>
              </w:rPr>
              <w:t>estimationMethod</w:t>
            </w:r>
          </w:p>
        </w:tc>
        <w:tc>
          <w:tcPr>
            <w:tcW w:type="dxa" w:w="6466"/>
            <w:vAlign w:val="center"/>
          </w:tcPr>
          <w:p>
            <w:pPr>
              <w:spacing w:before="60" w:after="60" w:line="245" w:lineRule="auto"/>
            </w:pPr>
            <w:r>
              <w:rPr>
                <w:b w:val="0"/>
                <w:color w:val="000000"/>
                <w:sz w:val="19"/>
              </w:rPr>
              <w:t>route_distance_fixed_speed_v1</w:t>
            </w:r>
          </w:p>
        </w:tc>
      </w:tr>
    </w:tbl>
    <w:p>
      <w:pPr>
        <w:spacing w:after="0" w:before="0" w:line="240" w:lineRule="auto"/>
      </w:pPr>
      <w:r>
        <w:rPr>
          <w:sz w:val="6"/>
        </w:rPr>
      </w:r>
    </w:p>
    <w:p>
      <w:pPr>
        <w:pStyle w:val="Heading2"/>
        <w:widowControl/>
      </w:pPr>
      <w:r>
        <w:t>Modes 2 and 3</w:t>
      </w:r>
    </w:p>
    <w:p>
      <w:pPr>
        <w:widowControl/>
      </w:pPr>
      <w:r>
        <w:t>Mode 2 uploads GPS positions and sample timestamps during the hike. The ground station checks the latest valid sample for a timeout and uses the uploaded position history when preparing a flight. Mode 3 stores the location and request information recorded when the user activates SOS, for operator verification and square-spiral route generation.</w:t>
      </w:r>
    </w:p>
    <w:p>
      <w:pPr>
        <w:widowControl/>
      </w:pPr>
      <w:r>
        <w:t>Implementation: M/services/eventBookingRecord.ts. Booking interface: M/pages/EventBookingPage.tsx. Tests: M/__tests__/eventBookingRecord.test.ts.</w:t>
      </w:r>
    </w:p>
    <w:p>
      <w:pPr>
        <w:widowControl/>
      </w:pPr>
      <w:r>
        <w:t>Reference: Ordnance Survey, Map Reading, “Timing”, printed page 23. The complete source link is in docs/Sources.txt.</w:t>
      </w:r>
    </w:p>
    <w:p>
      <w:r>
        <w:br w:type="page"/>
      </w:r>
    </w:p>
    <w:p>
      <w:pPr>
        <w:pStyle w:val="Heading1"/>
      </w:pPr>
      <w:r>
        <w:t>4  Ground-Station Verification and Dispatch</w:t>
      </w:r>
    </w:p>
    <w:p>
      <w:pPr>
        <w:pStyle w:val="Heading2"/>
        <w:widowControl/>
      </w:pPr>
      <w:r>
        <w:t>Common verification procedure</w:t>
      </w:r>
    </w:p>
    <w:p>
      <w:pPr>
        <w:widowControl/>
      </w:pPr>
      <w:r>
        <w:t>Overdue bookings, GPS update timeouts and new SOS requests enter the verification queue. The operator reads the user and emergency-contact details, contacts them and records the outcome. A confirmed safe status closes the alert. If safety cannot be confirmed, the operator contacts the available emergency contacts. After completing these records, the operator explicitly confirms a search before the platform creates a search event.</w:t>
      </w:r>
    </w:p>
    <w:p>
      <w:pPr>
        <w:widowControl/>
      </w:pPr>
      <w:r>
        <w:t>An SOS request no longer creates a dispatchable event directly. Repeated scans or confirmations do not create duplicates. A cancelled SOS cannot be confirmed through a stale alert. An unverified SOS event from the earlier implementation must complete contact verification before route preparation, provided it has not already entered execution.</w:t>
      </w:r>
    </w:p>
    <w:p>
      <w:pPr>
        <w:pStyle w:val="Heading2"/>
        <w:widowControl/>
      </w:pPr>
      <w:r>
        <w:t>Select an event, review its route and dispatch</w:t>
      </w:r>
    </w:p>
    <w:p>
      <w:pPr>
        <w:widowControl/>
      </w:pPr>
      <w:r>
        <w:t>After the operator selects an event, the ground station reads the associated user records and generates a route. Mode 1 uses the planned route; Mode 2 uses GPS history ordered by sample time; Mode 3 generates a square spiral around the SOS location. The operator reviews the route and settings before dispatch. Changes to the relevant records or operation state require the mission to be prepared again.</w:t>
      </w:r>
    </w:p>
    <w:p>
      <w:pPr>
        <w:widowControl/>
      </w:pPr>
      <w:r>
        <w:t>All three modes have the same initial event priority and the same waiting-time rule. SOS mode alone does not assign the highest priority. The operator selects and dispatches the mission.</w:t>
      </w:r>
    </w:p>
    <w:p>
      <w:pPr>
        <w:pStyle w:val="Heading2"/>
        <w:widowControl/>
      </w:pPr>
      <w:r>
        <w:t>Runtime configuration</w:t>
      </w: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680"/>
        <w:gridCol w:w="5458"/>
      </w:tblGrid>
      <w:tr>
        <w:trPr>
          <w:tblHeader/>
          <w:cantSplit/>
        </w:trPr>
        <w:tc>
          <w:tcPr>
            <w:tcW w:type="dxa" w:w="4680"/>
            <w:vAlign w:val="center"/>
          </w:tcPr>
          <w:p>
            <w:pPr>
              <w:spacing w:before="60" w:after="60" w:line="245" w:lineRule="auto"/>
            </w:pPr>
            <w:r>
              <w:rPr>
                <w:b/>
                <w:color w:val="000000"/>
                <w:sz w:val="19"/>
              </w:rPr>
              <w:t>Environment variable</w:t>
            </w:r>
          </w:p>
        </w:tc>
        <w:tc>
          <w:tcPr>
            <w:tcW w:type="dxa" w:w="5458"/>
            <w:vAlign w:val="center"/>
          </w:tcPr>
          <w:p>
            <w:pPr>
              <w:spacing w:before="60" w:after="60" w:line="245" w:lineRule="auto"/>
            </w:pPr>
            <w:r>
              <w:rPr>
                <w:b/>
                <w:color w:val="000000"/>
                <w:sz w:val="19"/>
              </w:rPr>
              <w:t>Purpose</w:t>
            </w:r>
          </w:p>
        </w:tc>
      </w:tr>
      <w:tr>
        <w:trPr>
          <w:cantSplit/>
        </w:trPr>
        <w:tc>
          <w:tcPr>
            <w:tcW w:type="dxa" w:w="4680"/>
            <w:vAlign w:val="center"/>
          </w:tcPr>
          <w:p>
            <w:pPr>
              <w:spacing w:before="60" w:after="60" w:line="245" w:lineRule="auto"/>
            </w:pPr>
            <w:r>
              <w:rPr>
                <w:b w:val="0"/>
                <w:color w:val="000000"/>
                <w:sz w:val="19"/>
              </w:rPr>
              <w:t>GS_FIREBASE_DATABASE_URL</w:t>
            </w:r>
          </w:p>
        </w:tc>
        <w:tc>
          <w:tcPr>
            <w:tcW w:type="dxa" w:w="5458"/>
            <w:vAlign w:val="center"/>
          </w:tcPr>
          <w:p>
            <w:pPr>
              <w:spacing w:before="60" w:after="60" w:line="245" w:lineRule="auto"/>
            </w:pPr>
            <w:r>
              <w:rPr>
                <w:b w:val="0"/>
                <w:color w:val="000000"/>
                <w:sz w:val="19"/>
              </w:rPr>
              <w:t>Database URL shared with the mobile application</w:t>
            </w:r>
          </w:p>
        </w:tc>
      </w:tr>
      <w:tr>
        <w:trPr>
          <w:cantSplit/>
        </w:trPr>
        <w:tc>
          <w:tcPr>
            <w:tcW w:type="dxa" w:w="4680"/>
            <w:vAlign w:val="center"/>
          </w:tcPr>
          <w:p>
            <w:pPr>
              <w:spacing w:before="60" w:after="60" w:line="245" w:lineRule="auto"/>
            </w:pPr>
            <w:r>
              <w:rPr>
                <w:b w:val="0"/>
                <w:color w:val="000000"/>
                <w:sz w:val="19"/>
              </w:rPr>
              <w:t>GS_FIREBASE_CREDENTIALS</w:t>
            </w:r>
          </w:p>
        </w:tc>
        <w:tc>
          <w:tcPr>
            <w:tcW w:type="dxa" w:w="5458"/>
            <w:vAlign w:val="center"/>
          </w:tcPr>
          <w:p>
            <w:pPr>
              <w:spacing w:before="60" w:after="60" w:line="245" w:lineRule="auto"/>
            </w:pPr>
            <w:r>
              <w:rPr>
                <w:b w:val="0"/>
                <w:color w:val="000000"/>
                <w:sz w:val="19"/>
              </w:rPr>
              <w:t>Local service-account file path</w:t>
            </w:r>
          </w:p>
        </w:tc>
      </w:tr>
      <w:tr>
        <w:trPr>
          <w:cantSplit/>
        </w:trPr>
        <w:tc>
          <w:tcPr>
            <w:tcW w:type="dxa" w:w="4680"/>
            <w:vAlign w:val="center"/>
          </w:tcPr>
          <w:p>
            <w:pPr>
              <w:spacing w:before="60" w:after="60" w:line="245" w:lineRule="auto"/>
            </w:pPr>
            <w:r>
              <w:rPr>
                <w:b w:val="0"/>
                <w:color w:val="000000"/>
                <w:sz w:val="19"/>
              </w:rPr>
              <w:t>GS_T_LOCATION_UPDATE_SECONDS</w:t>
            </w:r>
          </w:p>
        </w:tc>
        <w:tc>
          <w:tcPr>
            <w:tcW w:type="dxa" w:w="5458"/>
            <w:vAlign w:val="center"/>
          </w:tcPr>
          <w:p>
            <w:pPr>
              <w:spacing w:before="60" w:after="60" w:line="245" w:lineRule="auto"/>
            </w:pPr>
            <w:r>
              <w:rPr>
                <w:b w:val="0"/>
                <w:color w:val="000000"/>
                <w:sz w:val="19"/>
              </w:rPr>
              <w:t>Positive Mode 2 update timeout, in seconds</w:t>
            </w:r>
          </w:p>
        </w:tc>
      </w:tr>
      <w:tr>
        <w:trPr>
          <w:cantSplit/>
        </w:trPr>
        <w:tc>
          <w:tcPr>
            <w:tcW w:type="dxa" w:w="4680"/>
            <w:vAlign w:val="center"/>
          </w:tcPr>
          <w:p>
            <w:pPr>
              <w:spacing w:before="60" w:after="60" w:line="245" w:lineRule="auto"/>
            </w:pPr>
            <w:r>
              <w:rPr>
                <w:b w:val="0"/>
                <w:color w:val="000000"/>
                <w:sz w:val="19"/>
              </w:rPr>
              <w:t>GS_T_WAIT_SECONDS</w:t>
            </w:r>
          </w:p>
        </w:tc>
        <w:tc>
          <w:tcPr>
            <w:tcW w:type="dxa" w:w="5458"/>
            <w:vAlign w:val="center"/>
          </w:tcPr>
          <w:p>
            <w:pPr>
              <w:spacing w:before="60" w:after="60" w:line="245" w:lineRule="auto"/>
            </w:pPr>
            <w:r>
              <w:rPr>
                <w:b w:val="0"/>
                <w:color w:val="000000"/>
                <w:sz w:val="19"/>
              </w:rPr>
              <w:t>Positive queue waiting-time threshold, in seconds</w:t>
            </w:r>
          </w:p>
        </w:tc>
      </w:tr>
      <w:tr>
        <w:trPr>
          <w:cantSplit/>
        </w:trPr>
        <w:tc>
          <w:tcPr>
            <w:tcW w:type="dxa" w:w="4680"/>
            <w:vAlign w:val="center"/>
          </w:tcPr>
          <w:p>
            <w:pPr>
              <w:spacing w:before="60" w:after="60" w:line="245" w:lineRule="auto"/>
            </w:pPr>
            <w:r>
              <w:rPr>
                <w:b w:val="0"/>
                <w:color w:val="000000"/>
                <w:sz w:val="19"/>
              </w:rPr>
              <w:t>GS_EVENT_TIMEZONE</w:t>
            </w:r>
          </w:p>
        </w:tc>
        <w:tc>
          <w:tcPr>
            <w:tcW w:type="dxa" w:w="5458"/>
            <w:vAlign w:val="center"/>
          </w:tcPr>
          <w:p>
            <w:pPr>
              <w:spacing w:before="60" w:after="60" w:line="245" w:lineRule="auto"/>
            </w:pPr>
            <w:r>
              <w:rPr>
                <w:b w:val="0"/>
                <w:color w:val="000000"/>
                <w:sz w:val="19"/>
              </w:rPr>
              <w:t>Time zone for legacy bookings; template: Asia/Hong_Kong</w:t>
            </w:r>
          </w:p>
        </w:tc>
      </w:tr>
      <w:tr>
        <w:trPr>
          <w:cantSplit/>
        </w:trPr>
        <w:tc>
          <w:tcPr>
            <w:tcW w:type="dxa" w:w="4680"/>
            <w:vAlign w:val="center"/>
          </w:tcPr>
          <w:p>
            <w:pPr>
              <w:spacing w:before="60" w:after="60" w:line="245" w:lineRule="auto"/>
            </w:pPr>
            <w:r>
              <w:rPr>
                <w:b w:val="0"/>
                <w:color w:val="000000"/>
                <w:sz w:val="19"/>
              </w:rPr>
              <w:t>GS_STATE_DIR</w:t>
            </w:r>
          </w:p>
        </w:tc>
        <w:tc>
          <w:tcPr>
            <w:tcW w:type="dxa" w:w="5458"/>
            <w:vAlign w:val="center"/>
          </w:tcPr>
          <w:p>
            <w:pPr>
              <w:spacing w:before="60" w:after="60" w:line="245" w:lineRule="auto"/>
            </w:pPr>
            <w:r>
              <w:rPr>
                <w:b w:val="0"/>
                <w:color w:val="000000"/>
                <w:sz w:val="19"/>
              </w:rPr>
              <w:t>Local directory for dispatch journal files</w:t>
            </w:r>
          </w:p>
        </w:tc>
      </w:tr>
      <w:tr>
        <w:trPr>
          <w:cantSplit/>
        </w:trPr>
        <w:tc>
          <w:tcPr>
            <w:tcW w:type="dxa" w:w="4680"/>
            <w:vAlign w:val="center"/>
          </w:tcPr>
          <w:p>
            <w:pPr>
              <w:spacing w:before="60" w:after="60" w:line="245" w:lineRule="auto"/>
            </w:pPr>
            <w:r>
              <w:rPr>
                <w:b w:val="0"/>
                <w:color w:val="000000"/>
                <w:sz w:val="19"/>
              </w:rPr>
              <w:t>MQTT_BROKER / MQTT_PORT</w:t>
            </w:r>
          </w:p>
        </w:tc>
        <w:tc>
          <w:tcPr>
            <w:tcW w:type="dxa" w:w="5458"/>
            <w:vAlign w:val="center"/>
          </w:tcPr>
          <w:p>
            <w:pPr>
              <w:spacing w:before="60" w:after="60" w:line="245" w:lineRule="auto"/>
            </w:pPr>
            <w:r>
              <w:rPr>
                <w:b w:val="0"/>
                <w:color w:val="000000"/>
                <w:sz w:val="19"/>
              </w:rPr>
              <w:t>Message broker address shared with the UAV</w:t>
            </w:r>
          </w:p>
        </w:tc>
      </w:tr>
    </w:tbl>
    <w:p>
      <w:pPr>
        <w:spacing w:after="0" w:before="0" w:line="240" w:lineRule="auto"/>
      </w:pPr>
      <w:r>
        <w:rPr>
          <w:sz w:val="6"/>
        </w:rPr>
      </w:r>
    </w:p>
    <w:p>
      <w:pPr>
        <w:widowControl/>
      </w:pPr>
      <w:r>
        <w:t>Use G/runtime.env.example as the template. Supply and export the actual values, then run python ground_station.py from G. Both threshold fields are blank in the template. The 1-second GPS threshold in the tests checks time-boundary behavior.</w:t>
      </w:r>
    </w:p>
    <w:p>
      <w:pPr>
        <w:widowControl/>
      </w:pPr>
      <w:r>
        <w:t>Verification logic: G/rescue_event_manager.py. Persistence and mission preparation: G/rescue_repository.py, G/active_event_queue.py and G/ground_station.py.</w:t>
      </w:r>
    </w:p>
    <w:p>
      <w:r>
        <w:br w:type="page"/>
      </w:r>
    </w:p>
    <w:p>
      <w:pPr>
        <w:pStyle w:val="Heading1"/>
      </w:pPr>
      <w:r>
        <w:t>5  UAV Software and External Flight Stack</w:t>
      </w:r>
    </w:p>
    <w:p>
      <w:pPr>
        <w:pStyle w:val="Heading2"/>
        <w:widowControl/>
      </w:pPr>
      <w:r>
        <w:t>Mission reception and execution status</w:t>
      </w:r>
    </w:p>
    <w:p>
      <w:pPr>
        <w:widowControl/>
      </w:pPr>
      <w:r>
        <w:t>The ground station and UAV exchange missions and status over Wi-Fi using MQTT messages. A mission contains event and execution identifiers, a waypoint sequence, flight altitude, hover duration and return settings. The bridge validates the mission, passes it to the flight program and reports waypoint arrivals and mission stages to the ground station.</w:t>
      </w:r>
    </w:p>
    <w:p>
      <w:pPr>
        <w:widowControl/>
      </w:pPr>
      <w:r>
        <w:t>The phone-record receiver saves uploads received through its HTTP interface. When the forwarding condition is met, it sends the record to the ground station. The ground station saves the record and returns an acknowledgement matching its identifier and content hash. The UAV then marks that transfer as complete. The recording program saves downward-facing video on the onboard computer.</w:t>
      </w: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672"/>
        <w:gridCol w:w="6466"/>
      </w:tblGrid>
      <w:tr>
        <w:trPr>
          <w:tblHeader/>
          <w:cantSplit/>
        </w:trPr>
        <w:tc>
          <w:tcPr>
            <w:tcW w:type="dxa" w:w="3672"/>
            <w:vAlign w:val="center"/>
          </w:tcPr>
          <w:p>
            <w:pPr>
              <w:spacing w:before="60" w:after="60" w:line="245" w:lineRule="auto"/>
            </w:pPr>
            <w:r>
              <w:rPr>
                <w:b/>
                <w:color w:val="000000"/>
                <w:sz w:val="19"/>
              </w:rPr>
              <w:t>File within U</w:t>
            </w:r>
          </w:p>
        </w:tc>
        <w:tc>
          <w:tcPr>
            <w:tcW w:type="dxa" w:w="6466"/>
            <w:vAlign w:val="center"/>
          </w:tcPr>
          <w:p>
            <w:pPr>
              <w:spacing w:before="60" w:after="60" w:line="245" w:lineRule="auto"/>
            </w:pPr>
            <w:r>
              <w:rPr>
                <w:b/>
                <w:color w:val="000000"/>
                <w:sz w:val="19"/>
              </w:rPr>
              <w:t>Purpose</w:t>
            </w:r>
          </w:p>
        </w:tc>
      </w:tr>
      <w:tr>
        <w:trPr>
          <w:cantSplit/>
        </w:trPr>
        <w:tc>
          <w:tcPr>
            <w:tcW w:type="dxa" w:w="3672"/>
            <w:vAlign w:val="center"/>
          </w:tcPr>
          <w:p>
            <w:pPr>
              <w:spacing w:before="60" w:after="60" w:line="245" w:lineRule="auto"/>
            </w:pPr>
            <w:r>
              <w:rPr>
                <w:b w:val="0"/>
                <w:color w:val="000000"/>
                <w:sz w:val="19"/>
              </w:rPr>
              <w:t>catkin_ws/src/rescue_bridge/src/mqtt_bridge.py</w:t>
            </w:r>
          </w:p>
        </w:tc>
        <w:tc>
          <w:tcPr>
            <w:tcW w:type="dxa" w:w="6466"/>
            <w:vAlign w:val="center"/>
          </w:tcPr>
          <w:p>
            <w:pPr>
              <w:spacing w:before="60" w:after="60" w:line="245" w:lineRule="auto"/>
            </w:pPr>
            <w:r>
              <w:rPr>
                <w:b w:val="0"/>
                <w:color w:val="000000"/>
                <w:sz w:val="19"/>
              </w:rPr>
              <w:t>Mission reception and execution-status exchange</w:t>
            </w:r>
          </w:p>
        </w:tc>
      </w:tr>
      <w:tr>
        <w:trPr>
          <w:cantSplit/>
        </w:trPr>
        <w:tc>
          <w:tcPr>
            <w:tcW w:type="dxa" w:w="3672"/>
            <w:vAlign w:val="center"/>
          </w:tcPr>
          <w:p>
            <w:pPr>
              <w:spacing w:before="60" w:after="60" w:line="245" w:lineRule="auto"/>
            </w:pPr>
            <w:r>
              <w:rPr>
                <w:b w:val="0"/>
                <w:color w:val="000000"/>
                <w:sz w:val="19"/>
              </w:rPr>
              <w:t>catkin_ws/src/rescue_bridge/src/mission_commander.cpp</w:t>
            </w:r>
          </w:p>
        </w:tc>
        <w:tc>
          <w:tcPr>
            <w:tcW w:type="dxa" w:w="6466"/>
            <w:vAlign w:val="center"/>
          </w:tcPr>
          <w:p>
            <w:pPr>
              <w:spacing w:before="60" w:after="60" w:line="245" w:lineRule="auto"/>
            </w:pPr>
            <w:r>
              <w:rPr>
                <w:b w:val="0"/>
                <w:color w:val="000000"/>
                <w:sz w:val="19"/>
              </w:rPr>
              <w:t>Waypoint and return-stage execution</w:t>
            </w:r>
          </w:p>
        </w:tc>
      </w:tr>
      <w:tr>
        <w:trPr>
          <w:cantSplit/>
        </w:trPr>
        <w:tc>
          <w:tcPr>
            <w:tcW w:type="dxa" w:w="3672"/>
            <w:vAlign w:val="center"/>
          </w:tcPr>
          <w:p>
            <w:pPr>
              <w:spacing w:before="60" w:after="60" w:line="245" w:lineRule="auto"/>
            </w:pPr>
            <w:r>
              <w:rPr>
                <w:b w:val="0"/>
                <w:color w:val="000000"/>
                <w:sz w:val="19"/>
              </w:rPr>
              <w:t>drone_system/receiver/phone_sos_receiver.py</w:t>
            </w:r>
          </w:p>
        </w:tc>
        <w:tc>
          <w:tcPr>
            <w:tcW w:type="dxa" w:w="6466"/>
            <w:vAlign w:val="center"/>
          </w:tcPr>
          <w:p>
            <w:pPr>
              <w:spacing w:before="60" w:after="60" w:line="245" w:lineRule="auto"/>
            </w:pPr>
            <w:r>
              <w:rPr>
                <w:b w:val="0"/>
                <w:color w:val="000000"/>
                <w:sz w:val="19"/>
              </w:rPr>
              <w:t>Phone-record reception, storage and forwarding</w:t>
            </w:r>
          </w:p>
        </w:tc>
      </w:tr>
      <w:tr>
        <w:trPr>
          <w:cantSplit/>
        </w:trPr>
        <w:tc>
          <w:tcPr>
            <w:tcW w:type="dxa" w:w="3672"/>
            <w:vAlign w:val="center"/>
          </w:tcPr>
          <w:p>
            <w:pPr>
              <w:spacing w:before="60" w:after="60" w:line="245" w:lineRule="auto"/>
            </w:pPr>
            <w:r>
              <w:rPr>
                <w:b w:val="0"/>
                <w:color w:val="000000"/>
                <w:sz w:val="19"/>
              </w:rPr>
              <w:t>drone_system/launcher/cam_recorder.py</w:t>
            </w:r>
          </w:p>
        </w:tc>
        <w:tc>
          <w:tcPr>
            <w:tcW w:type="dxa" w:w="6466"/>
            <w:vAlign w:val="center"/>
          </w:tcPr>
          <w:p>
            <w:pPr>
              <w:spacing w:before="60" w:after="60" w:line="245" w:lineRule="auto"/>
            </w:pPr>
            <w:r>
              <w:rPr>
                <w:b w:val="0"/>
                <w:color w:val="000000"/>
                <w:sz w:val="19"/>
              </w:rPr>
              <w:t>Onboard video recording</w:t>
            </w:r>
          </w:p>
        </w:tc>
      </w:tr>
      <w:tr>
        <w:trPr>
          <w:cantSplit/>
        </w:trPr>
        <w:tc>
          <w:tcPr>
            <w:tcW w:type="dxa" w:w="3672"/>
            <w:vAlign w:val="center"/>
          </w:tcPr>
          <w:p>
            <w:pPr>
              <w:spacing w:before="60" w:after="60" w:line="245" w:lineRule="auto"/>
            </w:pPr>
            <w:r>
              <w:rPr>
                <w:b w:val="0"/>
                <w:color w:val="000000"/>
                <w:sz w:val="19"/>
              </w:rPr>
              <w:t>drone_system/launcher/drone_console.py</w:t>
            </w:r>
          </w:p>
        </w:tc>
        <w:tc>
          <w:tcPr>
            <w:tcW w:type="dxa" w:w="6466"/>
            <w:vAlign w:val="center"/>
          </w:tcPr>
          <w:p>
            <w:pPr>
              <w:spacing w:before="60" w:after="60" w:line="245" w:lineRule="auto"/>
            </w:pPr>
            <w:r>
              <w:rPr>
                <w:b w:val="0"/>
                <w:color w:val="000000"/>
                <w:sz w:val="19"/>
              </w:rPr>
              <w:t>Onboard program status and settings interface</w:t>
            </w:r>
          </w:p>
        </w:tc>
      </w:tr>
    </w:tbl>
    <w:p>
      <w:pPr>
        <w:spacing w:after="0" w:before="0" w:line="240" w:lineRule="auto"/>
      </w:pPr>
      <w:r>
        <w:rPr>
          <w:sz w:val="6"/>
        </w:rPr>
      </w:r>
    </w:p>
    <w:p>
      <w:pPr>
        <w:pStyle w:val="Heading2"/>
        <w:widowControl/>
      </w:pPr>
      <w:r>
        <w:t>Pinned external dependency</w:t>
      </w:r>
    </w:p>
    <w:p>
      <w:pPr>
        <w:widowControl/>
      </w:pPr>
      <w:r>
        <w:t>The flight stack uses Fast-Drone-250 from the original Drone repository at the commit below. Its 979 regular files were compared with the original local copy and matched. The external dependency retains its own licenses and documentation.</w:t>
      </w:r>
    </w:p>
    <w:p>
      <w:pPr>
        <w:keepLines/>
        <w:spacing w:before="60" w:after="140" w:line="252" w:lineRule="auto"/>
      </w:pPr>
      <w:r>
        <w:rPr>
          <w:rFonts w:ascii="Liberation Mono" w:hAnsi="Liberation Mono" w:eastAsia="Arial"/>
          <w:color w:val="000000"/>
          <w:sz w:val="16"/>
        </w:rPr>
        <w:t>b3ac1591b63d15270c9856e7b664da0cf9d3ea48</w:t>
      </w:r>
    </w:p>
    <w:p>
      <w:pPr>
        <w:widowControl/>
      </w:pPr>
      <w:r>
        <w:t>Download and placement commands are in docs/Flight_Environment_Setup.txt. The original onboard directories are /home/mike/Fast-Drone-250, /home/mike/catkin_ws and /home/mike/drone_system. On a different machine, check directory paths, camera indices, serial ports and sensor calibration.</w:t>
      </w:r>
    </w:p>
    <w:p>
      <w:pPr>
        <w:widowControl/>
      </w:pPr>
      <w:r>
        <w:t>The ROS environment uses Noetic and catkin. Build the external flight workspace before the rescue_bridge workspace. The default flight altitude in rescue_bridge.launch is the original project setting of 5 m. The 80 m above-ground setting in Section 6 belongs to the separate MATLAB simulation.</w:t>
      </w:r>
    </w:p>
    <w:p>
      <w:pPr>
        <w:widowControl/>
      </w:pPr>
      <w:r>
        <w:t>Phone-receiver settings are in U/drone_system/config/rescue_receiver.env.example. Set UAV_RESCUE_TOKEN when exposing the interface on the local network. Keep database credentials, runtime tokens and actual user records in their respective deployment environments.</w:t>
      </w:r>
    </w:p>
    <w:p>
      <w:r>
        <w:br w:type="page"/>
      </w:r>
    </w:p>
    <w:p>
      <w:pPr>
        <w:pStyle w:val="Heading1"/>
      </w:pPr>
      <w:r>
        <w:t>6  Three-Mode MATLAB Terrain Simulation</w:t>
      </w:r>
    </w:p>
    <w:p>
      <w:pPr>
        <w:widowControl/>
      </w:pPr>
      <w:r>
        <w:t>The simulation uses terrain near Pak Tam Chung, Sai Kung. The three modes share a launch location and a target in the hills, using a planned route, pre-dispatch GPS history and a square spiral around the target, respectively. Each mission includes takeoff, cruise, target-area activity, return and landing.</w:t>
      </w: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672"/>
        <w:gridCol w:w="6466"/>
      </w:tblGrid>
      <w:tr>
        <w:trPr>
          <w:tblHeader/>
          <w:cantSplit/>
        </w:trPr>
        <w:tc>
          <w:tcPr>
            <w:tcW w:type="dxa" w:w="3672"/>
            <w:vAlign w:val="center"/>
          </w:tcPr>
          <w:p>
            <w:pPr>
              <w:spacing w:before="60" w:after="60" w:line="245" w:lineRule="auto"/>
            </w:pPr>
            <w:r>
              <w:rPr>
                <w:b/>
                <w:color w:val="000000"/>
                <w:sz w:val="19"/>
              </w:rPr>
              <w:t>Setting</w:t>
            </w:r>
          </w:p>
        </w:tc>
        <w:tc>
          <w:tcPr>
            <w:tcW w:type="dxa" w:w="6466"/>
            <w:vAlign w:val="center"/>
          </w:tcPr>
          <w:p>
            <w:pPr>
              <w:spacing w:before="60" w:after="60" w:line="245" w:lineRule="auto"/>
            </w:pPr>
            <w:r>
              <w:rPr>
                <w:b/>
                <w:color w:val="000000"/>
                <w:sz w:val="19"/>
              </w:rPr>
              <w:t>Value</w:t>
            </w:r>
          </w:p>
        </w:tc>
      </w:tr>
      <w:tr>
        <w:trPr>
          <w:cantSplit/>
        </w:trPr>
        <w:tc>
          <w:tcPr>
            <w:tcW w:type="dxa" w:w="3672"/>
            <w:vAlign w:val="center"/>
          </w:tcPr>
          <w:p>
            <w:pPr>
              <w:spacing w:before="60" w:after="60" w:line="245" w:lineRule="auto"/>
            </w:pPr>
            <w:r>
              <w:rPr>
                <w:b w:val="0"/>
                <w:color w:val="000000"/>
                <w:sz w:val="19"/>
              </w:rPr>
              <w:t>Random seed</w:t>
            </w:r>
          </w:p>
        </w:tc>
        <w:tc>
          <w:tcPr>
            <w:tcW w:type="dxa" w:w="6466"/>
            <w:vAlign w:val="center"/>
          </w:tcPr>
          <w:p>
            <w:pPr>
              <w:spacing w:before="60" w:after="60" w:line="245" w:lineRule="auto"/>
            </w:pPr>
            <w:r>
              <w:rPr>
                <w:b w:val="0"/>
                <w:color w:val="000000"/>
                <w:sz w:val="19"/>
              </w:rPr>
              <w:t>20260926</w:t>
            </w:r>
          </w:p>
        </w:tc>
      </w:tr>
      <w:tr>
        <w:trPr>
          <w:cantSplit/>
        </w:trPr>
        <w:tc>
          <w:tcPr>
            <w:tcW w:type="dxa" w:w="3672"/>
            <w:vAlign w:val="center"/>
          </w:tcPr>
          <w:p>
            <w:pPr>
              <w:spacing w:before="60" w:after="60" w:line="245" w:lineRule="auto"/>
            </w:pPr>
            <w:r>
              <w:rPr>
                <w:b w:val="0"/>
                <w:color w:val="000000"/>
                <w:sz w:val="19"/>
              </w:rPr>
              <w:t>Launch location</w:t>
            </w:r>
          </w:p>
        </w:tc>
        <w:tc>
          <w:tcPr>
            <w:tcW w:type="dxa" w:w="6466"/>
            <w:vAlign w:val="center"/>
          </w:tcPr>
          <w:p>
            <w:pPr>
              <w:spacing w:before="60" w:after="60" w:line="245" w:lineRule="auto"/>
            </w:pPr>
            <w:r>
              <w:rPr>
                <w:b w:val="0"/>
                <w:color w:val="000000"/>
                <w:sz w:val="19"/>
              </w:rPr>
              <w:t>22.402° N, 114.322° E</w:t>
            </w:r>
          </w:p>
        </w:tc>
      </w:tr>
      <w:tr>
        <w:trPr>
          <w:cantSplit/>
        </w:trPr>
        <w:tc>
          <w:tcPr>
            <w:tcW w:type="dxa" w:w="3672"/>
            <w:vAlign w:val="center"/>
          </w:tcPr>
          <w:p>
            <w:pPr>
              <w:spacing w:before="60" w:after="60" w:line="245" w:lineRule="auto"/>
            </w:pPr>
            <w:r>
              <w:rPr>
                <w:b w:val="0"/>
                <w:color w:val="000000"/>
                <w:sz w:val="19"/>
              </w:rPr>
              <w:t>Target location</w:t>
            </w:r>
          </w:p>
        </w:tc>
        <w:tc>
          <w:tcPr>
            <w:tcW w:type="dxa" w:w="6466"/>
            <w:vAlign w:val="center"/>
          </w:tcPr>
          <w:p>
            <w:pPr>
              <w:spacing w:before="60" w:after="60" w:line="245" w:lineRule="auto"/>
            </w:pPr>
            <w:r>
              <w:rPr>
                <w:b w:val="0"/>
                <w:color w:val="000000"/>
                <w:sz w:val="19"/>
              </w:rPr>
              <w:t>22.40782761° N, 114.35687745° E</w:t>
            </w:r>
          </w:p>
        </w:tc>
      </w:tr>
      <w:tr>
        <w:trPr>
          <w:cantSplit/>
        </w:trPr>
        <w:tc>
          <w:tcPr>
            <w:tcW w:type="dxa" w:w="3672"/>
            <w:vAlign w:val="center"/>
          </w:tcPr>
          <w:p>
            <w:pPr>
              <w:spacing w:before="60" w:after="60" w:line="245" w:lineRule="auto"/>
            </w:pPr>
            <w:r>
              <w:rPr>
                <w:b w:val="0"/>
                <w:color w:val="000000"/>
                <w:sz w:val="19"/>
              </w:rPr>
              <w:t>Target ground elevation</w:t>
            </w:r>
          </w:p>
        </w:tc>
        <w:tc>
          <w:tcPr>
            <w:tcW w:type="dxa" w:w="6466"/>
            <w:vAlign w:val="center"/>
          </w:tcPr>
          <w:p>
            <w:pPr>
              <w:spacing w:before="60" w:after="60" w:line="245" w:lineRule="auto"/>
            </w:pPr>
            <w:r>
              <w:rPr>
                <w:b w:val="0"/>
                <w:color w:val="000000"/>
                <w:sz w:val="19"/>
              </w:rPr>
              <w:t>Approximately 177.44 m</w:t>
            </w:r>
          </w:p>
        </w:tc>
      </w:tr>
      <w:tr>
        <w:trPr>
          <w:cantSplit/>
        </w:trPr>
        <w:tc>
          <w:tcPr>
            <w:tcW w:type="dxa" w:w="3672"/>
            <w:vAlign w:val="center"/>
          </w:tcPr>
          <w:p>
            <w:pPr>
              <w:spacing w:before="60" w:after="60" w:line="245" w:lineRule="auto"/>
            </w:pPr>
            <w:r>
              <w:rPr>
                <w:b w:val="0"/>
                <w:color w:val="000000"/>
                <w:sz w:val="19"/>
              </w:rPr>
              <w:t>Cruise altitude above ground</w:t>
            </w:r>
          </w:p>
        </w:tc>
        <w:tc>
          <w:tcPr>
            <w:tcW w:type="dxa" w:w="6466"/>
            <w:vAlign w:val="center"/>
          </w:tcPr>
          <w:p>
            <w:pPr>
              <w:spacing w:before="60" w:after="60" w:line="245" w:lineRule="auto"/>
            </w:pPr>
            <w:r>
              <w:rPr>
                <w:b w:val="0"/>
                <w:color w:val="000000"/>
                <w:sz w:val="19"/>
              </w:rPr>
              <w:t>80 m, following the terrain</w:t>
            </w:r>
          </w:p>
        </w:tc>
      </w:tr>
      <w:tr>
        <w:trPr>
          <w:cantSplit/>
        </w:trPr>
        <w:tc>
          <w:tcPr>
            <w:tcW w:type="dxa" w:w="3672"/>
            <w:vAlign w:val="center"/>
          </w:tcPr>
          <w:p>
            <w:pPr>
              <w:spacing w:before="60" w:after="60" w:line="245" w:lineRule="auto"/>
            </w:pPr>
            <w:r>
              <w:rPr>
                <w:b w:val="0"/>
                <w:color w:val="000000"/>
                <w:sz w:val="19"/>
              </w:rPr>
              <w:t>Speed limits</w:t>
            </w:r>
          </w:p>
        </w:tc>
        <w:tc>
          <w:tcPr>
            <w:tcW w:type="dxa" w:w="6466"/>
            <w:vAlign w:val="center"/>
          </w:tcPr>
          <w:p>
            <w:pPr>
              <w:spacing w:before="60" w:after="60" w:line="245" w:lineRule="auto"/>
            </w:pPr>
            <w:r>
              <w:rPr>
                <w:b w:val="0"/>
                <w:color w:val="000000"/>
                <w:sz w:val="19"/>
              </w:rPr>
              <w:t>Horizontal: 15 m/s; vertical: 3 m/s</w:t>
            </w:r>
          </w:p>
        </w:tc>
      </w:tr>
      <w:tr>
        <w:trPr>
          <w:cantSplit/>
        </w:trPr>
        <w:tc>
          <w:tcPr>
            <w:tcW w:type="dxa" w:w="3672"/>
            <w:vAlign w:val="center"/>
          </w:tcPr>
          <w:p>
            <w:pPr>
              <w:spacing w:before="60" w:after="60" w:line="245" w:lineRule="auto"/>
            </w:pPr>
            <w:r>
              <w:rPr>
                <w:b w:val="0"/>
                <w:color w:val="000000"/>
                <w:sz w:val="19"/>
              </w:rPr>
              <w:t>Waypoint hover duration</w:t>
            </w:r>
          </w:p>
        </w:tc>
        <w:tc>
          <w:tcPr>
            <w:tcW w:type="dxa" w:w="6466"/>
            <w:vAlign w:val="center"/>
          </w:tcPr>
          <w:p>
            <w:pPr>
              <w:spacing w:before="60" w:after="60" w:line="245" w:lineRule="auto"/>
            </w:pPr>
            <w:r>
              <w:rPr>
                <w:b w:val="0"/>
                <w:color w:val="000000"/>
                <w:sz w:val="19"/>
              </w:rPr>
              <w:t>5 s</w:t>
            </w:r>
          </w:p>
        </w:tc>
      </w:tr>
      <w:tr>
        <w:trPr>
          <w:cantSplit/>
        </w:trPr>
        <w:tc>
          <w:tcPr>
            <w:tcW w:type="dxa" w:w="3672"/>
            <w:vAlign w:val="center"/>
          </w:tcPr>
          <w:p>
            <w:pPr>
              <w:spacing w:before="60" w:after="60" w:line="245" w:lineRule="auto"/>
            </w:pPr>
            <w:r>
              <w:rPr>
                <w:b w:val="0"/>
                <w:color w:val="000000"/>
                <w:sz w:val="19"/>
              </w:rPr>
              <w:t>Mode 3 spiral</w:t>
            </w:r>
          </w:p>
        </w:tc>
        <w:tc>
          <w:tcPr>
            <w:tcW w:type="dxa" w:w="6466"/>
            <w:vAlign w:val="center"/>
          </w:tcPr>
          <w:p>
            <w:pPr>
              <w:spacing w:before="60" w:after="60" w:line="245" w:lineRule="auto"/>
            </w:pPr>
            <w:r>
              <w:rPr>
                <w:b w:val="0"/>
                <w:color w:val="000000"/>
                <w:sz w:val="19"/>
              </w:rPr>
              <w:t>Initial side length: 30 m; increase by 30 m every two segments; stop at the first endpoint at least 200 m from the centre</w:t>
            </w:r>
          </w:p>
        </w:tc>
      </w:tr>
    </w:tbl>
    <w:p>
      <w:pPr>
        <w:spacing w:after="0" w:before="0" w:line="240" w:lineRule="auto"/>
      </w:pPr>
      <w:r>
        <w:rPr>
          <w:sz w:val="6"/>
        </w:rPr>
      </w:r>
    </w:p>
    <w:p>
      <w:pPr>
        <w:pStyle w:val="Heading2"/>
        <w:widowControl/>
      </w:pPr>
      <w:r>
        <w:t>Run commands</w:t>
      </w:r>
    </w:p>
    <w:p>
      <w:pPr>
        <w:widowControl/>
      </w:pPr>
      <w:r>
        <w:t>Set the MATLAB current folder to simulation and select the required entry point:</w:t>
      </w:r>
    </w:p>
    <w:p>
      <w:pPr>
        <w:keepLines/>
        <w:spacing w:before="60" w:after="140" w:line="252" w:lineRule="auto"/>
      </w:pPr>
      <w:r>
        <w:rPr>
          <w:rFonts w:ascii="Liberation Mono" w:hAnsi="Liberation Mono" w:eastAsia="Arial"/>
          <w:color w:val="000000"/>
          <w:sz w:val="16"/>
        </w:rPr>
        <w:t>run_all('paper')</w:t>
      </w:r>
      <w:r>
        <w:rPr>
          <w:rFonts w:ascii="Liberation Mono" w:hAnsi="Liberation Mono" w:eastAsia="Arial"/>
          <w:color w:val="000000"/>
          <w:sz w:val="16"/>
        </w:rPr>
        <w:br/>
        <w:t>run_all('simulate')</w:t>
      </w:r>
      <w:r>
        <w:rPr>
          <w:rFonts w:ascii="Liberation Mono" w:hAnsi="Liberation Mono" w:eastAsia="Arial"/>
          <w:color w:val="000000"/>
          <w:sz w:val="16"/>
        </w:rPr>
        <w:br/>
        <w:t>run_all('video')</w:t>
      </w:r>
    </w:p>
    <w:p>
      <w:pPr>
        <w:widowControl/>
      </w:pPr>
      <w:r>
        <w:t>paper redraws the paper figure from saved trajectories. simulate recomputes all modes and exports figures. video creates the animation and requires ffmpeg for video assembly. The paper figure is written to regenerated/paper; complete trajectories, statistics and animation are stored in output.</w:t>
      </w: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872"/>
        <w:gridCol w:w="1800"/>
        <w:gridCol w:w="3168"/>
        <w:gridCol w:w="3298"/>
      </w:tblGrid>
      <w:tr>
        <w:trPr>
          <w:tblHeader/>
          <w:cantSplit/>
        </w:trPr>
        <w:tc>
          <w:tcPr>
            <w:tcW w:type="dxa" w:w="1872"/>
            <w:vAlign w:val="center"/>
          </w:tcPr>
          <w:p>
            <w:pPr>
              <w:spacing w:before="60" w:after="60" w:line="245" w:lineRule="auto"/>
            </w:pPr>
            <w:r>
              <w:rPr>
                <w:b/>
                <w:color w:val="000000"/>
                <w:sz w:val="19"/>
              </w:rPr>
              <w:t>Mode</w:t>
            </w:r>
          </w:p>
        </w:tc>
        <w:tc>
          <w:tcPr>
            <w:tcW w:type="dxa" w:w="1800"/>
            <w:vAlign w:val="center"/>
          </w:tcPr>
          <w:p>
            <w:pPr>
              <w:spacing w:before="60" w:after="60" w:line="245" w:lineRule="auto"/>
            </w:pPr>
            <w:r>
              <w:rPr>
                <w:b/>
                <w:color w:val="000000"/>
                <w:sz w:val="19"/>
              </w:rPr>
              <w:t>Input waypoints</w:t>
            </w:r>
          </w:p>
        </w:tc>
        <w:tc>
          <w:tcPr>
            <w:tcW w:type="dxa" w:w="3168"/>
            <w:vAlign w:val="center"/>
          </w:tcPr>
          <w:p>
            <w:pPr>
              <w:spacing w:before="60" w:after="60" w:line="245" w:lineRule="auto"/>
            </w:pPr>
            <w:r>
              <w:rPr>
                <w:b/>
                <w:color w:val="000000"/>
                <w:sz w:val="19"/>
              </w:rPr>
              <w:t>Target arrival / s</w:t>
            </w:r>
          </w:p>
        </w:tc>
        <w:tc>
          <w:tcPr>
            <w:tcW w:type="dxa" w:w="3298"/>
            <w:vAlign w:val="center"/>
          </w:tcPr>
          <w:p>
            <w:pPr>
              <w:spacing w:before="60" w:after="60" w:line="245" w:lineRule="auto"/>
            </w:pPr>
            <w:r>
              <w:rPr>
                <w:b/>
                <w:color w:val="000000"/>
                <w:sz w:val="19"/>
              </w:rPr>
              <w:t>Landing complete / s</w:t>
            </w:r>
          </w:p>
        </w:tc>
      </w:tr>
      <w:tr>
        <w:trPr>
          <w:cantSplit/>
        </w:trPr>
        <w:tc>
          <w:tcPr>
            <w:tcW w:type="dxa" w:w="1872"/>
            <w:vAlign w:val="center"/>
          </w:tcPr>
          <w:p>
            <w:pPr>
              <w:spacing w:before="60" w:after="60" w:line="245" w:lineRule="auto"/>
            </w:pPr>
            <w:r>
              <w:rPr>
                <w:b w:val="0"/>
                <w:color w:val="000000"/>
                <w:sz w:val="19"/>
              </w:rPr>
              <w:t>Mode 1</w:t>
            </w:r>
          </w:p>
        </w:tc>
        <w:tc>
          <w:tcPr>
            <w:tcW w:type="dxa" w:w="1800"/>
            <w:vAlign w:val="center"/>
          </w:tcPr>
          <w:p>
            <w:pPr>
              <w:spacing w:before="60" w:after="60" w:line="245" w:lineRule="auto"/>
            </w:pPr>
            <w:r>
              <w:rPr>
                <w:b w:val="0"/>
                <w:color w:val="000000"/>
                <w:sz w:val="19"/>
              </w:rPr>
              <w:t>3</w:t>
            </w:r>
          </w:p>
        </w:tc>
        <w:tc>
          <w:tcPr>
            <w:tcW w:type="dxa" w:w="3168"/>
            <w:vAlign w:val="center"/>
          </w:tcPr>
          <w:p>
            <w:pPr>
              <w:spacing w:before="60" w:after="60" w:line="245" w:lineRule="auto"/>
            </w:pPr>
            <w:r>
              <w:rPr>
                <w:b w:val="0"/>
                <w:color w:val="000000"/>
                <w:sz w:val="19"/>
              </w:rPr>
              <w:t>360.66</w:t>
            </w:r>
          </w:p>
        </w:tc>
        <w:tc>
          <w:tcPr>
            <w:tcW w:type="dxa" w:w="3298"/>
            <w:vAlign w:val="center"/>
          </w:tcPr>
          <w:p>
            <w:pPr>
              <w:spacing w:before="60" w:after="60" w:line="245" w:lineRule="auto"/>
            </w:pPr>
            <w:r>
              <w:rPr>
                <w:b w:val="0"/>
                <w:color w:val="000000"/>
                <w:sz w:val="19"/>
              </w:rPr>
              <w:t>715.65</w:t>
            </w:r>
          </w:p>
        </w:tc>
      </w:tr>
      <w:tr>
        <w:trPr>
          <w:cantSplit/>
        </w:trPr>
        <w:tc>
          <w:tcPr>
            <w:tcW w:type="dxa" w:w="1872"/>
            <w:vAlign w:val="center"/>
          </w:tcPr>
          <w:p>
            <w:pPr>
              <w:spacing w:before="60" w:after="60" w:line="245" w:lineRule="auto"/>
            </w:pPr>
            <w:r>
              <w:rPr>
                <w:b w:val="0"/>
                <w:color w:val="000000"/>
                <w:sz w:val="19"/>
              </w:rPr>
              <w:t>Mode 2</w:t>
            </w:r>
          </w:p>
        </w:tc>
        <w:tc>
          <w:tcPr>
            <w:tcW w:type="dxa" w:w="1800"/>
            <w:vAlign w:val="center"/>
          </w:tcPr>
          <w:p>
            <w:pPr>
              <w:spacing w:before="60" w:after="60" w:line="245" w:lineRule="auto"/>
            </w:pPr>
            <w:r>
              <w:rPr>
                <w:b w:val="0"/>
                <w:color w:val="000000"/>
                <w:sz w:val="19"/>
              </w:rPr>
              <w:t>15</w:t>
            </w:r>
          </w:p>
        </w:tc>
        <w:tc>
          <w:tcPr>
            <w:tcW w:type="dxa" w:w="3168"/>
            <w:vAlign w:val="center"/>
          </w:tcPr>
          <w:p>
            <w:pPr>
              <w:spacing w:before="60" w:after="60" w:line="245" w:lineRule="auto"/>
            </w:pPr>
            <w:r>
              <w:rPr>
                <w:b w:val="0"/>
                <w:color w:val="000000"/>
                <w:sz w:val="19"/>
              </w:rPr>
              <w:t>409.08</w:t>
            </w:r>
          </w:p>
        </w:tc>
        <w:tc>
          <w:tcPr>
            <w:tcW w:type="dxa" w:w="3298"/>
            <w:vAlign w:val="center"/>
          </w:tcPr>
          <w:p>
            <w:pPr>
              <w:spacing w:before="60" w:after="60" w:line="245" w:lineRule="auto"/>
            </w:pPr>
            <w:r>
              <w:rPr>
                <w:b w:val="0"/>
                <w:color w:val="000000"/>
                <w:sz w:val="19"/>
              </w:rPr>
              <w:t>764.07</w:t>
            </w:r>
          </w:p>
        </w:tc>
      </w:tr>
      <w:tr>
        <w:trPr>
          <w:cantSplit/>
        </w:trPr>
        <w:tc>
          <w:tcPr>
            <w:tcW w:type="dxa" w:w="1872"/>
            <w:vAlign w:val="center"/>
          </w:tcPr>
          <w:p>
            <w:pPr>
              <w:spacing w:before="60" w:after="60" w:line="245" w:lineRule="auto"/>
            </w:pPr>
            <w:r>
              <w:rPr>
                <w:b w:val="0"/>
                <w:color w:val="000000"/>
                <w:sz w:val="19"/>
              </w:rPr>
              <w:t>Mode 3</w:t>
            </w:r>
          </w:p>
        </w:tc>
        <w:tc>
          <w:tcPr>
            <w:tcW w:type="dxa" w:w="1800"/>
            <w:vAlign w:val="center"/>
          </w:tcPr>
          <w:p>
            <w:pPr>
              <w:spacing w:before="60" w:after="60" w:line="245" w:lineRule="auto"/>
            </w:pPr>
            <w:r>
              <w:rPr>
                <w:b w:val="0"/>
                <w:color w:val="000000"/>
                <w:sz w:val="19"/>
              </w:rPr>
              <w:t>19</w:t>
            </w:r>
          </w:p>
        </w:tc>
        <w:tc>
          <w:tcPr>
            <w:tcW w:type="dxa" w:w="3168"/>
            <w:vAlign w:val="center"/>
          </w:tcPr>
          <w:p>
            <w:pPr>
              <w:spacing w:before="60" w:after="60" w:line="245" w:lineRule="auto"/>
            </w:pPr>
            <w:r>
              <w:rPr>
                <w:b w:val="0"/>
                <w:color w:val="000000"/>
                <w:sz w:val="19"/>
              </w:rPr>
              <w:t>344.99</w:t>
            </w:r>
          </w:p>
        </w:tc>
        <w:tc>
          <w:tcPr>
            <w:tcW w:type="dxa" w:w="3298"/>
            <w:vAlign w:val="center"/>
          </w:tcPr>
          <w:p>
            <w:pPr>
              <w:spacing w:before="60" w:after="60" w:line="245" w:lineRule="auto"/>
            </w:pPr>
            <w:r>
              <w:rPr>
                <w:b w:val="0"/>
                <w:color w:val="000000"/>
                <w:sz w:val="19"/>
              </w:rPr>
              <w:t>1008.53</w:t>
            </w:r>
          </w:p>
        </w:tc>
      </w:tr>
    </w:tbl>
    <w:p>
      <w:pPr>
        <w:spacing w:after="0" w:before="0" w:line="240" w:lineRule="auto"/>
      </w:pPr>
      <w:r>
        <w:rPr>
          <w:sz w:val="6"/>
        </w:rPr>
      </w:r>
    </w:p>
    <w:p>
      <w:pPr>
        <w:widowControl/>
      </w:pPr>
      <w:r>
        <w:t>Elevation comes from the Mapzen / Tilezen Skadi N22E114.hgt tile, with a 3601 × 3601 grid at 1 arc-second spacing. Routes and GPS history are synthetic simulation inputs generated with the fixed seed. Times start at simulated takeoff. Parameters, inputs and executed trajectories are in scenario_and_settings.json, the per-mode waypoint CSV files and the per-mode execution_trace.csv files.</w:t>
      </w:r>
    </w:p>
    <w:p>
      <w:pPr>
        <w:widowControl/>
      </w:pPr>
      <w:r>
        <w:t>The MATLAB run includes 30 assertions. A separate Python verification contains 53 checks covering terrain interpolation, 80 m ground clearance, speed limits, waypoint order, return and landing, and fully boxed axes.</w:t>
      </w:r>
    </w:p>
    <w:p>
      <w:r>
        <w:br w:type="page"/>
      </w:r>
    </w:p>
    <w:p>
      <w:pPr>
        <w:pStyle w:val="Heading1"/>
      </w:pPr>
      <w:r>
        <w:t>7  Software Verification and Relay Records</w:t>
      </w:r>
    </w:p>
    <w:p>
      <w:pPr>
        <w:widowControl/>
      </w:pPr>
      <w:r>
        <w:t>Verification ran on 28 September 2026 using macOS arm64, Python 3.12.14 and Node.js 24.19.0. Detailed results are in records/software.log and records/verification_summary.json.</w:t>
      </w: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672"/>
        <w:gridCol w:w="6466"/>
      </w:tblGrid>
      <w:tr>
        <w:trPr>
          <w:tblHeader/>
          <w:cantSplit/>
        </w:trPr>
        <w:tc>
          <w:tcPr>
            <w:tcW w:type="dxa" w:w="3672"/>
            <w:vAlign w:val="center"/>
          </w:tcPr>
          <w:p>
            <w:pPr>
              <w:spacing w:before="60" w:after="60" w:line="245" w:lineRule="auto"/>
            </w:pPr>
            <w:r>
              <w:rPr>
                <w:b/>
                <w:color w:val="000000"/>
                <w:sz w:val="19"/>
              </w:rPr>
              <w:t>Test group</w:t>
            </w:r>
          </w:p>
        </w:tc>
        <w:tc>
          <w:tcPr>
            <w:tcW w:type="dxa" w:w="6466"/>
            <w:vAlign w:val="center"/>
          </w:tcPr>
          <w:p>
            <w:pPr>
              <w:spacing w:before="60" w:after="60" w:line="245" w:lineRule="auto"/>
            </w:pPr>
            <w:r>
              <w:rPr>
                <w:b/>
                <w:color w:val="000000"/>
                <w:sz w:val="19"/>
              </w:rPr>
              <w:t>Tests passed</w:t>
            </w:r>
          </w:p>
        </w:tc>
      </w:tr>
      <w:tr>
        <w:trPr>
          <w:cantSplit/>
        </w:trPr>
        <w:tc>
          <w:tcPr>
            <w:tcW w:type="dxa" w:w="3672"/>
            <w:vAlign w:val="center"/>
          </w:tcPr>
          <w:p>
            <w:pPr>
              <w:spacing w:before="60" w:after="60" w:line="245" w:lineRule="auto"/>
            </w:pPr>
            <w:r>
              <w:rPr>
                <w:b w:val="0"/>
                <w:color w:val="000000"/>
                <w:sz w:val="19"/>
              </w:rPr>
              <w:t>Mobile application: Jest</w:t>
            </w:r>
          </w:p>
        </w:tc>
        <w:tc>
          <w:tcPr>
            <w:tcW w:type="dxa" w:w="6466"/>
            <w:vAlign w:val="center"/>
          </w:tcPr>
          <w:p>
            <w:pPr>
              <w:spacing w:before="60" w:after="60" w:line="245" w:lineRule="auto"/>
            </w:pPr>
            <w:r>
              <w:rPr>
                <w:b w:val="0"/>
                <w:color w:val="000000"/>
                <w:sz w:val="19"/>
              </w:rPr>
              <w:t>229</w:t>
            </w:r>
          </w:p>
        </w:tc>
      </w:tr>
      <w:tr>
        <w:trPr>
          <w:cantSplit/>
        </w:trPr>
        <w:tc>
          <w:tcPr>
            <w:tcW w:type="dxa" w:w="3672"/>
            <w:vAlign w:val="center"/>
          </w:tcPr>
          <w:p>
            <w:pPr>
              <w:spacing w:before="60" w:after="60" w:line="245" w:lineRule="auto"/>
            </w:pPr>
            <w:r>
              <w:rPr>
                <w:b w:val="0"/>
                <w:color w:val="000000"/>
                <w:sz w:val="19"/>
              </w:rPr>
              <w:t>Ground station</w:t>
            </w:r>
          </w:p>
        </w:tc>
        <w:tc>
          <w:tcPr>
            <w:tcW w:type="dxa" w:w="6466"/>
            <w:vAlign w:val="center"/>
          </w:tcPr>
          <w:p>
            <w:pPr>
              <w:spacing w:before="60" w:after="60" w:line="245" w:lineRule="auto"/>
            </w:pPr>
            <w:r>
              <w:rPr>
                <w:b w:val="0"/>
                <w:color w:val="000000"/>
                <w:sz w:val="19"/>
              </w:rPr>
              <w:t>233</w:t>
            </w:r>
          </w:p>
        </w:tc>
      </w:tr>
      <w:tr>
        <w:trPr>
          <w:cantSplit/>
        </w:trPr>
        <w:tc>
          <w:tcPr>
            <w:tcW w:type="dxa" w:w="3672"/>
            <w:vAlign w:val="center"/>
          </w:tcPr>
          <w:p>
            <w:pPr>
              <w:spacing w:before="60" w:after="60" w:line="245" w:lineRule="auto"/>
            </w:pPr>
            <w:r>
              <w:rPr>
                <w:b w:val="0"/>
                <w:color w:val="000000"/>
                <w:sz w:val="19"/>
              </w:rPr>
              <w:t>UAV phone-record receiver</w:t>
            </w:r>
          </w:p>
        </w:tc>
        <w:tc>
          <w:tcPr>
            <w:tcW w:type="dxa" w:w="6466"/>
            <w:vAlign w:val="center"/>
          </w:tcPr>
          <w:p>
            <w:pPr>
              <w:spacing w:before="60" w:after="60" w:line="245" w:lineRule="auto"/>
            </w:pPr>
            <w:r>
              <w:rPr>
                <w:b w:val="0"/>
                <w:color w:val="000000"/>
                <w:sz w:val="19"/>
              </w:rPr>
              <w:t>44</w:t>
            </w:r>
          </w:p>
        </w:tc>
      </w:tr>
      <w:tr>
        <w:trPr>
          <w:cantSplit/>
        </w:trPr>
        <w:tc>
          <w:tcPr>
            <w:tcW w:type="dxa" w:w="3672"/>
            <w:vAlign w:val="center"/>
          </w:tcPr>
          <w:p>
            <w:pPr>
              <w:spacing w:before="60" w:after="60" w:line="245" w:lineRule="auto"/>
            </w:pPr>
            <w:r>
              <w:rPr>
                <w:b w:val="0"/>
                <w:color w:val="000000"/>
                <w:sz w:val="19"/>
              </w:rPr>
              <w:t>UAV mission bridge</w:t>
            </w:r>
          </w:p>
        </w:tc>
        <w:tc>
          <w:tcPr>
            <w:tcW w:type="dxa" w:w="6466"/>
            <w:vAlign w:val="center"/>
          </w:tcPr>
          <w:p>
            <w:pPr>
              <w:spacing w:before="60" w:after="60" w:line="245" w:lineRule="auto"/>
            </w:pPr>
            <w:r>
              <w:rPr>
                <w:b w:val="0"/>
                <w:color w:val="000000"/>
                <w:sz w:val="19"/>
              </w:rPr>
              <w:t>44</w:t>
            </w:r>
          </w:p>
        </w:tc>
      </w:tr>
      <w:tr>
        <w:trPr>
          <w:cantSplit/>
        </w:trPr>
        <w:tc>
          <w:tcPr>
            <w:tcW w:type="dxa" w:w="3672"/>
            <w:vAlign w:val="center"/>
          </w:tcPr>
          <w:p>
            <w:pPr>
              <w:spacing w:before="60" w:after="60" w:line="245" w:lineRule="auto"/>
            </w:pPr>
            <w:r>
              <w:rPr>
                <w:b w:val="0"/>
                <w:color w:val="000000"/>
                <w:sz w:val="19"/>
              </w:rPr>
              <w:t>Video recorder and recording state</w:t>
            </w:r>
          </w:p>
        </w:tc>
        <w:tc>
          <w:tcPr>
            <w:tcW w:type="dxa" w:w="6466"/>
            <w:vAlign w:val="center"/>
          </w:tcPr>
          <w:p>
            <w:pPr>
              <w:spacing w:before="60" w:after="60" w:line="245" w:lineRule="auto"/>
            </w:pPr>
            <w:r>
              <w:rPr>
                <w:b w:val="0"/>
                <w:color w:val="000000"/>
                <w:sz w:val="19"/>
              </w:rPr>
              <w:t>12</w:t>
            </w:r>
          </w:p>
        </w:tc>
      </w:tr>
      <w:tr>
        <w:trPr>
          <w:cantSplit/>
        </w:trPr>
        <w:tc>
          <w:tcPr>
            <w:tcW w:type="dxa" w:w="3672"/>
            <w:vAlign w:val="center"/>
          </w:tcPr>
          <w:p>
            <w:pPr>
              <w:spacing w:before="60" w:after="60" w:line="245" w:lineRule="auto"/>
            </w:pPr>
            <w:r>
              <w:rPr>
                <w:b w:val="0"/>
                <w:color w:val="000000"/>
                <w:sz w:val="19"/>
              </w:rPr>
              <w:t>Onboard sample data</w:t>
            </w:r>
          </w:p>
        </w:tc>
        <w:tc>
          <w:tcPr>
            <w:tcW w:type="dxa" w:w="6466"/>
            <w:vAlign w:val="center"/>
          </w:tcPr>
          <w:p>
            <w:pPr>
              <w:spacing w:before="60" w:after="60" w:line="245" w:lineRule="auto"/>
            </w:pPr>
            <w:r>
              <w:rPr>
                <w:b w:val="0"/>
                <w:color w:val="000000"/>
                <w:sz w:val="19"/>
              </w:rPr>
              <w:t>1</w:t>
            </w:r>
          </w:p>
        </w:tc>
      </w:tr>
      <w:tr>
        <w:trPr>
          <w:cantSplit/>
        </w:trPr>
        <w:tc>
          <w:tcPr>
            <w:tcW w:type="dxa" w:w="3672"/>
            <w:vAlign w:val="center"/>
          </w:tcPr>
          <w:p>
            <w:pPr>
              <w:spacing w:before="60" w:after="60" w:line="245" w:lineRule="auto"/>
            </w:pPr>
            <w:r>
              <w:rPr>
                <w:b w:val="0"/>
                <w:color w:val="000000"/>
                <w:sz w:val="19"/>
              </w:rPr>
              <w:t>Cross-component protocols and state transitions</w:t>
            </w:r>
          </w:p>
        </w:tc>
        <w:tc>
          <w:tcPr>
            <w:tcW w:type="dxa" w:w="6466"/>
            <w:vAlign w:val="center"/>
          </w:tcPr>
          <w:p>
            <w:pPr>
              <w:spacing w:before="60" w:after="60" w:line="245" w:lineRule="auto"/>
            </w:pPr>
            <w:r>
              <w:rPr>
                <w:b w:val="0"/>
                <w:color w:val="000000"/>
                <w:sz w:val="19"/>
              </w:rPr>
              <w:t>61</w:t>
            </w:r>
          </w:p>
        </w:tc>
      </w:tr>
      <w:tr>
        <w:trPr>
          <w:cantSplit/>
        </w:trPr>
        <w:tc>
          <w:tcPr>
            <w:tcW w:type="dxa" w:w="3672"/>
            <w:vAlign w:val="center"/>
          </w:tcPr>
          <w:p>
            <w:pPr>
              <w:spacing w:before="60" w:after="60" w:line="245" w:lineRule="auto"/>
            </w:pPr>
            <w:r>
              <w:rPr>
                <w:b w:val="0"/>
                <w:color w:val="000000"/>
                <w:sz w:val="19"/>
              </w:rPr>
              <w:t>Total</w:t>
            </w:r>
          </w:p>
        </w:tc>
        <w:tc>
          <w:tcPr>
            <w:tcW w:type="dxa" w:w="6466"/>
            <w:vAlign w:val="center"/>
          </w:tcPr>
          <w:p>
            <w:pPr>
              <w:spacing w:before="60" w:after="60" w:line="245" w:lineRule="auto"/>
            </w:pPr>
            <w:r>
              <w:rPr>
                <w:b w:val="0"/>
                <w:color w:val="000000"/>
                <w:sz w:val="19"/>
              </w:rPr>
              <w:t>624</w:t>
            </w:r>
          </w:p>
        </w:tc>
      </w:tr>
    </w:tbl>
    <w:p>
      <w:pPr>
        <w:spacing w:after="0" w:before="0" w:line="240" w:lineRule="auto"/>
      </w:pPr>
      <w:r>
        <w:rPr>
          <w:sz w:val="6"/>
        </w:rPr>
      </w:r>
    </w:p>
    <w:p>
      <w:pPr>
        <w:widowControl/>
      </w:pPr>
      <w:r>
        <w:t>TypeScript type checking, ESLint, Python syntax, dependency-version checks, and compilation and execution of the C++ target-state tests also passed. New cases cover trip-time estimation, midnight rollover, recalculation after route edits, SOS contact steps, cancellation, stale requests, repeated scans and rejection of unverified events at dispatch preparation.</w:t>
      </w:r>
    </w:p>
    <w:p>
      <w:pPr>
        <w:pStyle w:val="Heading2"/>
        <w:widowControl/>
      </w:pPr>
      <w:r>
        <w:t>Local phone-record reception and forwarding</w:t>
      </w:r>
    </w:p>
    <w:p>
      <w:pPr>
        <w:widowControl/>
      </w:pPr>
      <w:r>
        <w:t>A synthetic phone record containing an SOS location and GPS data is sent through local HTTP to the UAV receiver. After the receiver saves it, the test sends a matching mission-stage message to trigger forwarding. The ground station validates and saves the received data, then sends an acknowledgement. The UAV uses that acknowledgement to complete the transfer.</w:t>
      </w: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672"/>
        <w:gridCol w:w="6466"/>
      </w:tblGrid>
      <w:tr>
        <w:trPr>
          <w:tblHeader/>
          <w:cantSplit/>
        </w:trPr>
        <w:tc>
          <w:tcPr>
            <w:tcW w:type="dxa" w:w="3672"/>
            <w:vAlign w:val="center"/>
          </w:tcPr>
          <w:p>
            <w:pPr>
              <w:spacing w:before="60" w:after="60" w:line="245" w:lineRule="auto"/>
            </w:pPr>
            <w:r>
              <w:rPr>
                <w:b/>
                <w:color w:val="000000"/>
                <w:sz w:val="19"/>
              </w:rPr>
              <w:t>Record numbers</w:t>
            </w:r>
          </w:p>
        </w:tc>
        <w:tc>
          <w:tcPr>
            <w:tcW w:type="dxa" w:w="6466"/>
            <w:vAlign w:val="center"/>
          </w:tcPr>
          <w:p>
            <w:pPr>
              <w:spacing w:before="60" w:after="60" w:line="245" w:lineRule="auto"/>
            </w:pPr>
            <w:r>
              <w:rPr>
                <w:b/>
                <w:color w:val="000000"/>
                <w:sz w:val="19"/>
              </w:rPr>
              <w:t>Saved contents</w:t>
            </w:r>
          </w:p>
        </w:tc>
      </w:tr>
      <w:tr>
        <w:trPr>
          <w:cantSplit/>
        </w:trPr>
        <w:tc>
          <w:tcPr>
            <w:tcW w:type="dxa" w:w="3672"/>
            <w:vAlign w:val="center"/>
          </w:tcPr>
          <w:p>
            <w:pPr>
              <w:spacing w:before="60" w:after="60" w:line="245" w:lineRule="auto"/>
            </w:pPr>
            <w:r>
              <w:rPr>
                <w:b w:val="0"/>
                <w:color w:val="000000"/>
                <w:sz w:val="19"/>
              </w:rPr>
              <w:t>01–03</w:t>
            </w:r>
          </w:p>
        </w:tc>
        <w:tc>
          <w:tcPr>
            <w:tcW w:type="dxa" w:w="6466"/>
            <w:vAlign w:val="center"/>
          </w:tcPr>
          <w:p>
            <w:pPr>
              <w:spacing w:before="60" w:after="60" w:line="245" w:lineRule="auto"/>
            </w:pPr>
            <w:r>
              <w:rPr>
                <w:b w:val="0"/>
                <w:color w:val="000000"/>
                <w:sz w:val="19"/>
              </w:rPr>
              <w:t>Phone request, HTTP receipt and record saved by the UAV</w:t>
            </w:r>
          </w:p>
        </w:tc>
      </w:tr>
      <w:tr>
        <w:trPr>
          <w:cantSplit/>
        </w:trPr>
        <w:tc>
          <w:tcPr>
            <w:tcW w:type="dxa" w:w="3672"/>
            <w:vAlign w:val="center"/>
          </w:tcPr>
          <w:p>
            <w:pPr>
              <w:spacing w:before="60" w:after="60" w:line="245" w:lineRule="auto"/>
            </w:pPr>
            <w:r>
              <w:rPr>
                <w:b w:val="0"/>
                <w:color w:val="000000"/>
                <w:sz w:val="19"/>
              </w:rPr>
              <w:t>04–05</w:t>
            </w:r>
          </w:p>
        </w:tc>
        <w:tc>
          <w:tcPr>
            <w:tcW w:type="dxa" w:w="6466"/>
            <w:vAlign w:val="center"/>
          </w:tcPr>
          <w:p>
            <w:pPr>
              <w:spacing w:before="60" w:after="60" w:line="245" w:lineRule="auto"/>
            </w:pPr>
            <w:r>
              <w:rPr>
                <w:b w:val="0"/>
                <w:color w:val="000000"/>
                <w:sz w:val="19"/>
              </w:rPr>
              <w:t>Mission stage triggering forwarding and outgoing MQTT envelope</w:t>
            </w:r>
          </w:p>
        </w:tc>
      </w:tr>
      <w:tr>
        <w:trPr>
          <w:cantSplit/>
        </w:trPr>
        <w:tc>
          <w:tcPr>
            <w:tcW w:type="dxa" w:w="3672"/>
            <w:vAlign w:val="center"/>
          </w:tcPr>
          <w:p>
            <w:pPr>
              <w:spacing w:before="60" w:after="60" w:line="245" w:lineRule="auto"/>
            </w:pPr>
            <w:r>
              <w:rPr>
                <w:b w:val="0"/>
                <w:color w:val="000000"/>
                <w:sz w:val="19"/>
              </w:rPr>
              <w:t>06–07</w:t>
            </w:r>
          </w:p>
        </w:tc>
        <w:tc>
          <w:tcPr>
            <w:tcW w:type="dxa" w:w="6466"/>
            <w:vAlign w:val="center"/>
          </w:tcPr>
          <w:p>
            <w:pPr>
              <w:spacing w:before="60" w:after="60" w:line="245" w:lineRule="auto"/>
            </w:pPr>
            <w:r>
              <w:rPr>
                <w:b w:val="0"/>
                <w:color w:val="000000"/>
                <w:sz w:val="19"/>
              </w:rPr>
              <w:t>Phone record and envelope saved by the ground station</w:t>
            </w:r>
          </w:p>
        </w:tc>
      </w:tr>
      <w:tr>
        <w:trPr>
          <w:cantSplit/>
        </w:trPr>
        <w:tc>
          <w:tcPr>
            <w:tcW w:type="dxa" w:w="3672"/>
            <w:vAlign w:val="center"/>
          </w:tcPr>
          <w:p>
            <w:pPr>
              <w:spacing w:before="60" w:after="60" w:line="245" w:lineRule="auto"/>
            </w:pPr>
            <w:r>
              <w:rPr>
                <w:b w:val="0"/>
                <w:color w:val="000000"/>
                <w:sz w:val="19"/>
              </w:rPr>
              <w:t>08–09</w:t>
            </w:r>
          </w:p>
        </w:tc>
        <w:tc>
          <w:tcPr>
            <w:tcW w:type="dxa" w:w="6466"/>
            <w:vAlign w:val="center"/>
          </w:tcPr>
          <w:p>
            <w:pPr>
              <w:spacing w:before="60" w:after="60" w:line="245" w:lineRule="auto"/>
            </w:pPr>
            <w:r>
              <w:rPr>
                <w:b w:val="0"/>
                <w:color w:val="000000"/>
                <w:sz w:val="19"/>
              </w:rPr>
              <w:t>Ground-station acknowledgement and final UAV delivery state</w:t>
            </w:r>
          </w:p>
        </w:tc>
      </w:tr>
    </w:tbl>
    <w:p>
      <w:pPr>
        <w:spacing w:after="0" w:before="0" w:line="240" w:lineRule="auto"/>
      </w:pPr>
      <w:r>
        <w:rPr>
          <w:sz w:val="6"/>
        </w:rPr>
      </w:r>
    </w:p>
    <w:p>
      <w:pPr>
        <w:widowControl/>
      </w:pPr>
      <w:r>
        <w:t>The request_id, mission_id, record-content hash and envelope hash link these records for comparison. run_summary.json lists the result and test conditions. SHA256SUMS.txt contains the output-file checksums.</w:t>
      </w:r>
    </w:p>
    <w:p>
      <w:pPr>
        <w:widowControl/>
      </w:pPr>
      <w:r>
        <w:t>These records describe the local software and broker test. Outdoor footage is listed in Section 8. The software tests also cover incorrect or missing acknowledgements, duplicate data and recovery after a restart; the test cases and results are retained in the source files and logs.</w:t>
      </w:r>
    </w:p>
    <w:p>
      <w:r>
        <w:br w:type="page"/>
      </w:r>
    </w:p>
    <w:p>
      <w:pPr>
        <w:pStyle w:val="Heading1"/>
      </w:pPr>
      <w:r>
        <w:t>8  Outdoor Materials, Sources and Integrity</w:t>
      </w:r>
    </w:p>
    <w:p>
      <w:pPr>
        <w:pStyle w:val="Heading2"/>
        <w:widowControl/>
      </w:pPr>
      <w:r>
        <w:t>Outdoor evidence</w:t>
      </w: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672"/>
        <w:gridCol w:w="6466"/>
      </w:tblGrid>
      <w:tr>
        <w:trPr>
          <w:tblHeader/>
          <w:cantSplit/>
        </w:trPr>
        <w:tc>
          <w:tcPr>
            <w:tcW w:type="dxa" w:w="3672"/>
            <w:vAlign w:val="center"/>
          </w:tcPr>
          <w:p>
            <w:pPr>
              <w:spacing w:before="60" w:after="60" w:line="245" w:lineRule="auto"/>
            </w:pPr>
            <w:r>
              <w:rPr>
                <w:b/>
                <w:color w:val="000000"/>
                <w:sz w:val="19"/>
              </w:rPr>
              <w:t>File in experiments/outdoor/</w:t>
            </w:r>
          </w:p>
        </w:tc>
        <w:tc>
          <w:tcPr>
            <w:tcW w:type="dxa" w:w="6466"/>
            <w:vAlign w:val="center"/>
          </w:tcPr>
          <w:p>
            <w:pPr>
              <w:spacing w:before="60" w:after="60" w:line="245" w:lineRule="auto"/>
            </w:pPr>
            <w:r>
              <w:rPr>
                <w:b/>
                <w:color w:val="000000"/>
                <w:sz w:val="19"/>
              </w:rPr>
              <w:t>Contents</w:t>
            </w:r>
          </w:p>
        </w:tc>
      </w:tr>
      <w:tr>
        <w:trPr>
          <w:cantSplit/>
        </w:trPr>
        <w:tc>
          <w:tcPr>
            <w:tcW w:type="dxa" w:w="3672"/>
            <w:vAlign w:val="center"/>
          </w:tcPr>
          <w:p>
            <w:pPr>
              <w:spacing w:before="60" w:after="60" w:line="245" w:lineRule="auto"/>
            </w:pPr>
            <w:r>
              <w:rPr>
                <w:b w:val="0"/>
                <w:color w:val="000000"/>
                <w:sz w:val="19"/>
              </w:rPr>
              <w:t>outdoor_flight.mp4</w:t>
            </w:r>
          </w:p>
        </w:tc>
        <w:tc>
          <w:tcPr>
            <w:tcW w:type="dxa" w:w="6466"/>
            <w:vAlign w:val="center"/>
          </w:tcPr>
          <w:p>
            <w:pPr>
              <w:spacing w:before="60" w:after="60" w:line="245" w:lineRule="auto"/>
            </w:pPr>
            <w:r>
              <w:rPr>
                <w:b w:val="0"/>
                <w:color w:val="000000"/>
                <w:sz w:val="19"/>
              </w:rPr>
              <w:t>Original complete outdoor-test video</w:t>
            </w:r>
          </w:p>
        </w:tc>
      </w:tr>
      <w:tr>
        <w:trPr>
          <w:cantSplit/>
        </w:trPr>
        <w:tc>
          <w:tcPr>
            <w:tcW w:type="dxa" w:w="3672"/>
            <w:vAlign w:val="center"/>
          </w:tcPr>
          <w:p>
            <w:pPr>
              <w:spacing w:before="60" w:after="60" w:line="245" w:lineRule="auto"/>
            </w:pPr>
            <w:r>
              <w:rPr>
                <w:b w:val="0"/>
                <w:color w:val="000000"/>
                <w:sz w:val="19"/>
              </w:rPr>
              <w:t>ground_station.mp4</w:t>
            </w:r>
          </w:p>
        </w:tc>
        <w:tc>
          <w:tcPr>
            <w:tcW w:type="dxa" w:w="6466"/>
            <w:vAlign w:val="center"/>
          </w:tcPr>
          <w:p>
            <w:pPr>
              <w:spacing w:before="60" w:after="60" w:line="245" w:lineRule="auto"/>
            </w:pPr>
            <w:r>
              <w:rPr>
                <w:b w:val="0"/>
                <w:color w:val="000000"/>
                <w:sz w:val="19"/>
              </w:rPr>
              <w:t>Original ground-station operation video</w:t>
            </w:r>
          </w:p>
        </w:tc>
      </w:tr>
      <w:tr>
        <w:trPr>
          <w:cantSplit/>
        </w:trPr>
        <w:tc>
          <w:tcPr>
            <w:tcW w:type="dxa" w:w="3672"/>
            <w:vAlign w:val="center"/>
          </w:tcPr>
          <w:p>
            <w:pPr>
              <w:spacing w:before="60" w:after="60" w:line="245" w:lineRule="auto"/>
            </w:pPr>
            <w:r>
              <w:rPr>
                <w:b w:val="0"/>
                <w:color w:val="000000"/>
                <w:sz w:val="19"/>
              </w:rPr>
              <w:t>airframe.jpg</w:t>
            </w:r>
          </w:p>
        </w:tc>
        <w:tc>
          <w:tcPr>
            <w:tcW w:type="dxa" w:w="6466"/>
            <w:vAlign w:val="center"/>
          </w:tcPr>
          <w:p>
            <w:pPr>
              <w:spacing w:before="60" w:after="60" w:line="245" w:lineRule="auto"/>
            </w:pPr>
            <w:r>
              <w:rPr>
                <w:b w:val="0"/>
                <w:color w:val="000000"/>
                <w:sz w:val="19"/>
              </w:rPr>
              <w:t>UAV hardware photograph</w:t>
            </w:r>
          </w:p>
        </w:tc>
      </w:tr>
      <w:tr>
        <w:trPr>
          <w:cantSplit/>
        </w:trPr>
        <w:tc>
          <w:tcPr>
            <w:tcW w:type="dxa" w:w="3672"/>
            <w:vAlign w:val="center"/>
          </w:tcPr>
          <w:p>
            <w:pPr>
              <w:spacing w:before="60" w:after="60" w:line="245" w:lineRule="auto"/>
            </w:pPr>
            <w:r>
              <w:rPr>
                <w:b w:val="0"/>
                <w:color w:val="000000"/>
                <w:sz w:val="19"/>
              </w:rPr>
              <w:t>launch_area.png</w:t>
            </w:r>
          </w:p>
        </w:tc>
        <w:tc>
          <w:tcPr>
            <w:tcW w:type="dxa" w:w="6466"/>
            <w:vAlign w:val="center"/>
          </w:tcPr>
          <w:p>
            <w:pPr>
              <w:spacing w:before="60" w:after="60" w:line="245" w:lineRule="auto"/>
            </w:pPr>
            <w:r>
              <w:rPr>
                <w:b w:val="0"/>
                <w:color w:val="000000"/>
                <w:sz w:val="19"/>
              </w:rPr>
              <w:t>Original frame showing the launch area</w:t>
            </w:r>
          </w:p>
        </w:tc>
      </w:tr>
      <w:tr>
        <w:trPr>
          <w:cantSplit/>
        </w:trPr>
        <w:tc>
          <w:tcPr>
            <w:tcW w:type="dxa" w:w="3672"/>
            <w:vAlign w:val="center"/>
          </w:tcPr>
          <w:p>
            <w:pPr>
              <w:spacing w:before="60" w:after="60" w:line="245" w:lineRule="auto"/>
            </w:pPr>
            <w:r>
              <w:rPr>
                <w:b w:val="0"/>
                <w:color w:val="000000"/>
                <w:sz w:val="19"/>
              </w:rPr>
              <w:t>search_area.png</w:t>
            </w:r>
          </w:p>
        </w:tc>
        <w:tc>
          <w:tcPr>
            <w:tcW w:type="dxa" w:w="6466"/>
            <w:vAlign w:val="center"/>
          </w:tcPr>
          <w:p>
            <w:pPr>
              <w:spacing w:before="60" w:after="60" w:line="245" w:lineRule="auto"/>
            </w:pPr>
            <w:r>
              <w:rPr>
                <w:b w:val="0"/>
                <w:color w:val="000000"/>
                <w:sz w:val="19"/>
              </w:rPr>
              <w:t>Original frame showing the search area</w:t>
            </w:r>
          </w:p>
        </w:tc>
      </w:tr>
    </w:tbl>
    <w:p>
      <w:pPr>
        <w:spacing w:after="0" w:before="0" w:line="240" w:lineRule="auto"/>
      </w:pPr>
      <w:r>
        <w:rPr>
          <w:sz w:val="6"/>
        </w:rPr>
      </w:r>
    </w:p>
    <w:p>
      <w:pPr>
        <w:widowControl/>
      </w:pPr>
      <w:r>
        <w:t>The original video files are preserved byte for byte. Some demonstration footage has been sped up; time labels in those frames are not measurements of actual mission duration. The images show the hardware, site and search views. Numerical simulation trajectories and timestamps are stored in simulation/output.</w:t>
      </w:r>
    </w:p>
    <w:p>
      <w:pPr>
        <w:pStyle w:val="Heading2"/>
        <w:widowControl/>
      </w:pPr>
      <w:r>
        <w:t>Source provenance</w:t>
      </w:r>
    </w:p>
    <w:p>
      <w:pPr>
        <w:widowControl/>
      </w:pPr>
      <w:r>
        <w:t>The mobile application, ground station and UAV software originate from the FYP projects and subsequent local revisions. Upstream repository links, remote commit identifiers, local input files and checksums are recorded in records/source_provenance.json. The current implementation is recorded in code/source_revision.json. Remote commits and local revisions are identified separately.</w:t>
      </w:r>
    </w:p>
    <w:p>
      <w:pPr>
        <w:widowControl/>
      </w:pPr>
      <w:r>
        <w:t>The local input revision is WCNC-GPS-FRESHNESS-20260916. The current revision adds route-based trip-time estimation, operator verification before SOS event creation, and equal initial event priority across all three modes. Simulation source and data checksums are also recorded in simulation/verification/source_manifest.json.</w:t>
      </w:r>
    </w:p>
    <w:p>
      <w:pPr>
        <w:pStyle w:val="Heading2"/>
        <w:widowControl/>
      </w:pPr>
      <w:r>
        <w:t>Check archive integrity</w:t>
      </w:r>
    </w:p>
    <w:p>
      <w:pPr>
        <w:keepLines/>
        <w:spacing w:before="60" w:after="140" w:line="252" w:lineRule="auto"/>
      </w:pPr>
      <w:r>
        <w:rPr>
          <w:rFonts w:ascii="Liberation Mono" w:hAnsi="Liberation Mono" w:eastAsia="Arial"/>
          <w:color w:val="000000"/>
          <w:sz w:val="16"/>
        </w:rPr>
        <w:t>python scripts/check_archive.py</w:t>
      </w:r>
    </w:p>
    <w:p>
      <w:pPr>
        <w:widowControl/>
      </w:pPr>
      <w:r>
        <w:t>This command reads records/file_manifest.json and checks each listed file's SHA-256 checksum and size. If source code, parameters or results are changed, save a new verification record. Preserve the original timestamps and identifiers of existing test outputs.</w:t>
      </w:r>
    </w:p>
    <w:p>
      <w:pPr>
        <w:pStyle w:val="Heading2"/>
        <w:widowControl/>
      </w:pPr>
      <w:r>
        <w:t>References</w:t>
      </w:r>
    </w:p>
    <w:p>
      <w:pPr>
        <w:widowControl/>
      </w:pPr>
      <w:r>
        <w:t>Ordnance Survey's Map Reading guide provides the walking-time reference. Mapzen / Tilezen Skadi provides the elevation tile. The three original FYP GitHub repositories identify the upstream projects. Complete links are in docs/Sources.txt.</w:t>
      </w:r>
    </w:p>
    <w:sectPr w:rsidR="00FC693F" w:rsidRPr="0006063C" w:rsidSect="00034616">
      <w:headerReference w:type="default" r:id="rId9"/>
      <w:footerReference w:type="default" r:id="rId10"/>
      <w:pgSz w:w="12240" w:h="15840"/>
      <w:pgMar w:top="979" w:right="1037" w:bottom="979" w:left="1037" w:header="403"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UAV-SEARCH-20260928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MOUNTAIN SEARCH UAV SYSTEM  |  TECHNICAL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4" w:lineRule="auto" w:after="120"/>
    </w:pPr>
    <w:rPr>
      <w:rFonts w:ascii="Arial" w:hAnsi="Arial" w:eastAsia="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Arial" w:hAnsi="Arial" w:eastAsia="Arial"/>
      <w:color w:val="000000"/>
      <w:sz w:val="21"/>
    </w:rPr>
  </w:style>
  <w:style w:type="character" w:customStyle="1" w:styleId="HeaderChar">
    <w:name w:val="Header Char"/>
    <w:basedOn w:val="DefaultParagraphFont"/>
    <w:link w:val="Header"/>
    <w:uiPriority w:val="99"/>
    <w:rsid w:val="00E618BF"/>
    <w:rPr>
      <w:rFonts w:ascii="Arial" w:hAnsi="Arial" w:eastAsia="Arial"/>
      <w:color w:val="000000"/>
      <w:sz w:val="21"/>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hAnsi="Arial" w:eastAsia="Arial"/>
      <w:color w:val="000000"/>
      <w:sz w:val="21"/>
    </w:rPr>
  </w:style>
  <w:style w:type="character" w:customStyle="1" w:styleId="FooterChar">
    <w:name w:val="Footer Char"/>
    <w:basedOn w:val="DefaultParagraphFont"/>
    <w:link w:val="Footer"/>
    <w:uiPriority w:val="99"/>
    <w:rsid w:val="00E618BF"/>
    <w:rPr>
      <w:rFonts w:ascii="Arial" w:hAnsi="Arial" w:eastAsia="Arial"/>
      <w:color w:val="000000"/>
      <w:sz w:val="21"/>
    </w:rPr>
  </w:style>
  <w:style w:type="paragraph" w:styleId="Heading1">
    <w:name w:val="heading 1"/>
    <w:basedOn w:val="Normal"/>
    <w:next w:val="Normal"/>
    <w:link w:val="Heading1Char"/>
    <w:uiPriority w:val="9"/>
    <w:qFormat/>
    <w:rsid w:val="00FC693F"/>
    <w:pPr>
      <w:keepNext/>
      <w:keepLines/>
      <w:spacing w:before="0" w:after="120"/>
      <w:outlineLvl w:val="0"/>
    </w:pPr>
    <w:rPr>
      <w:rFonts w:cstheme="majorBidi" w:ascii="Arial" w:hAnsi="Arial" w:eastAsia="Arial"/>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140" w:after="120"/>
      <w:outlineLvl w:val="1"/>
    </w:pPr>
    <w:rPr>
      <w:rFonts w:cstheme="majorBidi" w:ascii="Arial" w:hAnsi="Arial" w:eastAsia="Arial"/>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cstheme="majorBidi" w:ascii="Arial" w:hAnsi="Arial" w:eastAsia="Arial"/>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cstheme="majorBidi" w:ascii="Arial" w:hAnsi="Arial" w:eastAsia="Arial"/>
      <w:b/>
      <w:bCs/>
      <w:i/>
      <w:iCs/>
      <w:color w:val="000000"/>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stheme="majorBidi" w:ascii="Arial" w:hAnsi="Arial" w:eastAsia="Arial"/>
      <w:color w:val="000000"/>
      <w:sz w:val="21"/>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cstheme="majorBidi" w:ascii="Arial" w:hAnsi="Arial" w:eastAsia="Arial"/>
      <w:i/>
      <w:iCs/>
      <w:color w:val="000000"/>
      <w:sz w:val="21"/>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cstheme="majorBidi" w:ascii="Arial" w:hAnsi="Arial" w:eastAsia="Arial"/>
      <w:i/>
      <w:iCs/>
      <w:color w:val="000000"/>
      <w:sz w:val="21"/>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stheme="majorBidi" w:ascii="Arial" w:hAnsi="Arial" w:eastAsia="Arial"/>
      <w:color w:val="000000"/>
      <w:sz w:val="2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cstheme="majorBidi" w:ascii="Arial" w:hAnsi="Arial" w:eastAsia="Arial"/>
      <w:i/>
      <w:iCs/>
      <w:color w:val="000000"/>
      <w:sz w:val="21"/>
      <w:szCs w:val="20"/>
    </w:rPr>
  </w:style>
  <w:style w:type="character" w:default="1" w:styleId="DefaultParagraphFont">
    <w:name w:val="Default Paragraph Font"/>
    <w:uiPriority w:val="1"/>
    <w:semiHidden/>
    <w:unhideWhenUsed/>
    <w:rPr>
      <w:rFonts w:ascii="Arial" w:hAnsi="Arial" w:eastAsia="Arial"/>
      <w:color w:val="000000"/>
      <w:sz w:val="21"/>
    </w:rPr>
  </w:style>
  <w:style w:type="table" w:default="1" w:styleId="TableNormal">
    <w:name w:val="Normal Table"/>
    <w:uiPriority w:val="99"/>
    <w:semiHidden/>
    <w:unhideWhenUsed/>
    <w:rPr>
      <w:rFonts w:ascii="Arial" w:hAnsi="Arial" w:eastAsia="Arial"/>
      <w:color w:val="000000"/>
      <w:sz w:val="21"/>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Arial" w:hAnsi="Arial" w:eastAsia="Arial"/>
      <w:color w:val="000000"/>
      <w:sz w:val="21"/>
    </w:rPr>
  </w:style>
  <w:style w:type="character" w:customStyle="1" w:styleId="Heading1Char">
    <w:name w:val="Heading 1 Char"/>
    <w:basedOn w:val="DefaultParagraphFont"/>
    <w:link w:val="Heading1"/>
    <w:uiPriority w:val="9"/>
    <w:rsid w:val="00FC693F"/>
    <w:rPr>
      <w:rFonts w:cstheme="majorBidi" w:ascii="Arial" w:hAnsi="Arial" w:eastAsia="Arial"/>
      <w:b/>
      <w:bCs/>
      <w:color w:val="000000"/>
      <w:sz w:val="21"/>
      <w:szCs w:val="28"/>
    </w:rPr>
  </w:style>
  <w:style w:type="character" w:customStyle="1" w:styleId="Heading2Char">
    <w:name w:val="Heading 2 Char"/>
    <w:basedOn w:val="DefaultParagraphFont"/>
    <w:link w:val="Heading2"/>
    <w:uiPriority w:val="9"/>
    <w:rsid w:val="00FC693F"/>
    <w:rPr>
      <w:rFonts w:cstheme="majorBidi" w:ascii="Arial" w:hAnsi="Arial" w:eastAsia="Arial"/>
      <w:b/>
      <w:bCs/>
      <w:color w:val="000000"/>
      <w:sz w:val="21"/>
      <w:szCs w:val="26"/>
    </w:rPr>
  </w:style>
  <w:style w:type="character" w:customStyle="1" w:styleId="Heading3Char">
    <w:name w:val="Heading 3 Char"/>
    <w:basedOn w:val="DefaultParagraphFont"/>
    <w:link w:val="Heading3"/>
    <w:uiPriority w:val="9"/>
    <w:rsid w:val="00FC693F"/>
    <w:rPr>
      <w:rFonts w:cstheme="majorBidi" w:ascii="Arial" w:hAnsi="Arial" w:eastAsia="Arial"/>
      <w:b/>
      <w:bCs/>
      <w:color w:val="000000"/>
      <w:sz w:val="2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contextualSpacing/>
    </w:pPr>
    <w:rPr>
      <w:rFonts w:cstheme="majorBidi" w:ascii="Arial" w:hAnsi="Arial" w:eastAsia="Arial"/>
      <w:b/>
      <w:color w:val="000000"/>
      <w:spacing w:val="5"/>
      <w:kern w:val="28"/>
      <w:sz w:val="34"/>
      <w:szCs w:val="52"/>
    </w:rPr>
  </w:style>
  <w:style w:type="character" w:customStyle="1" w:styleId="TitleChar">
    <w:name w:val="Title Char"/>
    <w:basedOn w:val="DefaultParagraphFont"/>
    <w:link w:val="Title"/>
    <w:uiPriority w:val="10"/>
    <w:rsid w:val="00FC693F"/>
    <w:rPr>
      <w:rFonts w:cstheme="majorBidi" w:ascii="Arial" w:hAnsi="Arial" w:eastAsia="Arial"/>
      <w:color w:val="000000"/>
      <w:spacing w:val="5"/>
      <w:kern w:val="28"/>
      <w:sz w:val="21"/>
      <w:szCs w:val="52"/>
    </w:rPr>
  </w:style>
  <w:style w:type="paragraph" w:styleId="Subtitle">
    <w:name w:val="Subtitle"/>
    <w:basedOn w:val="Normal"/>
    <w:next w:val="Normal"/>
    <w:link w:val="SubtitleChar"/>
    <w:uiPriority w:val="11"/>
    <w:qFormat/>
    <w:rsid w:val="00FC693F"/>
    <w:pPr>
      <w:numPr>
        <w:ilvl w:val="1"/>
      </w:numPr>
    </w:pPr>
    <w:rPr>
      <w:rFonts w:cstheme="majorBidi" w:ascii="Arial" w:hAnsi="Arial" w:eastAsia="Arial"/>
      <w:i/>
      <w:iCs/>
      <w:color w:val="000000"/>
      <w:spacing w:val="15"/>
      <w:sz w:val="21"/>
      <w:szCs w:val="24"/>
    </w:rPr>
  </w:style>
  <w:style w:type="character" w:customStyle="1" w:styleId="SubtitleChar">
    <w:name w:val="Subtitle Char"/>
    <w:basedOn w:val="DefaultParagraphFont"/>
    <w:link w:val="Subtitle"/>
    <w:uiPriority w:val="11"/>
    <w:rsid w:val="00FC693F"/>
    <w:rPr>
      <w:rFonts w:cstheme="majorBidi" w:ascii="Arial" w:hAnsi="Arial" w:eastAsia="Arial"/>
      <w:i/>
      <w:iCs/>
      <w:color w:val="000000"/>
      <w:spacing w:val="15"/>
      <w:sz w:val="21"/>
      <w:szCs w:val="24"/>
    </w:rPr>
  </w:style>
  <w:style w:type="paragraph" w:styleId="ListParagraph">
    <w:name w:val="List Paragraph"/>
    <w:basedOn w:val="Normal"/>
    <w:uiPriority w:val="34"/>
    <w:qFormat/>
    <w:rsid w:val="00FC693F"/>
    <w:pPr>
      <w:ind w:left="720"/>
      <w:contextualSpacing/>
    </w:pPr>
    <w:rPr>
      <w:rFonts w:ascii="Arial" w:hAnsi="Arial" w:eastAsia="Arial"/>
      <w:color w:val="000000"/>
      <w:sz w:val="21"/>
    </w:rPr>
  </w:style>
  <w:style w:type="paragraph" w:styleId="BodyText">
    <w:name w:val="Body Text"/>
    <w:basedOn w:val="Normal"/>
    <w:link w:val="BodyTextChar"/>
    <w:uiPriority w:val="99"/>
    <w:unhideWhenUsed/>
    <w:rsid w:val="00AA1D8D"/>
    <w:pPr>
      <w:spacing w:after="120"/>
    </w:pPr>
    <w:rPr>
      <w:rFonts w:ascii="Arial" w:hAnsi="Arial" w:eastAsia="Arial"/>
      <w:color w:val="000000"/>
      <w:sz w:val="21"/>
    </w:rPr>
  </w:style>
  <w:style w:type="character" w:customStyle="1" w:styleId="BodyTextChar">
    <w:name w:val="Body Text Char"/>
    <w:basedOn w:val="DefaultParagraphFont"/>
    <w:link w:val="BodyText"/>
    <w:uiPriority w:val="99"/>
    <w:rsid w:val="00AA1D8D"/>
    <w:rPr>
      <w:rFonts w:ascii="Arial" w:hAnsi="Arial" w:eastAsia="Arial"/>
      <w:color w:val="000000"/>
      <w:sz w:val="21"/>
    </w:rPr>
  </w:style>
  <w:style w:type="paragraph" w:styleId="BodyText2">
    <w:name w:val="Body Text 2"/>
    <w:basedOn w:val="Normal"/>
    <w:link w:val="BodyText2Char"/>
    <w:uiPriority w:val="99"/>
    <w:unhideWhenUsed/>
    <w:rsid w:val="00AA1D8D"/>
    <w:pPr>
      <w:spacing w:after="120" w:line="480" w:lineRule="auto"/>
    </w:pPr>
    <w:rPr>
      <w:rFonts w:ascii="Arial" w:hAnsi="Arial" w:eastAsia="Arial"/>
      <w:color w:val="000000"/>
      <w:sz w:val="21"/>
    </w:rPr>
  </w:style>
  <w:style w:type="character" w:customStyle="1" w:styleId="BodyText2Char">
    <w:name w:val="Body Text 2 Char"/>
    <w:basedOn w:val="DefaultParagraphFont"/>
    <w:link w:val="BodyText2"/>
    <w:uiPriority w:val="99"/>
    <w:rsid w:val="00AA1D8D"/>
    <w:rPr>
      <w:rFonts w:ascii="Arial" w:hAnsi="Arial" w:eastAsia="Arial"/>
      <w:color w:val="000000"/>
      <w:sz w:val="21"/>
    </w:rPr>
  </w:style>
  <w:style w:type="paragraph" w:styleId="BodyText3">
    <w:name w:val="Body Text 3"/>
    <w:basedOn w:val="Normal"/>
    <w:link w:val="BodyText3Char"/>
    <w:uiPriority w:val="99"/>
    <w:unhideWhenUsed/>
    <w:rsid w:val="00AA1D8D"/>
    <w:pPr>
      <w:spacing w:after="120"/>
    </w:pPr>
    <w:rPr>
      <w:rFonts w:ascii="Arial" w:hAnsi="Arial" w:eastAsia="Arial"/>
      <w:color w:val="000000"/>
      <w:sz w:val="21"/>
      <w:szCs w:val="16"/>
    </w:rPr>
  </w:style>
  <w:style w:type="character" w:customStyle="1" w:styleId="BodyText3Char">
    <w:name w:val="Body Text 3 Char"/>
    <w:basedOn w:val="DefaultParagraphFont"/>
    <w:link w:val="BodyText3"/>
    <w:uiPriority w:val="99"/>
    <w:rsid w:val="00AA1D8D"/>
    <w:rPr>
      <w:rFonts w:ascii="Arial" w:hAnsi="Arial" w:eastAsia="Arial"/>
      <w:color w:val="000000"/>
      <w:sz w:val="21"/>
      <w:szCs w:val="16"/>
    </w:rPr>
  </w:style>
  <w:style w:type="paragraph" w:styleId="List">
    <w:name w:val="List"/>
    <w:basedOn w:val="Normal"/>
    <w:uiPriority w:val="99"/>
    <w:unhideWhenUsed/>
    <w:rsid w:val="00AA1D8D"/>
    <w:pPr>
      <w:ind w:left="360" w:hanging="360"/>
      <w:contextualSpacing/>
    </w:pPr>
    <w:rPr>
      <w:rFonts w:ascii="Arial" w:hAnsi="Arial" w:eastAsia="Arial"/>
      <w:color w:val="000000"/>
      <w:sz w:val="21"/>
    </w:rPr>
  </w:style>
  <w:style w:type="paragraph" w:styleId="List2">
    <w:name w:val="List 2"/>
    <w:basedOn w:val="Normal"/>
    <w:uiPriority w:val="99"/>
    <w:unhideWhenUsed/>
    <w:rsid w:val="00326F90"/>
    <w:pPr>
      <w:ind w:left="720" w:hanging="360"/>
      <w:contextualSpacing/>
    </w:pPr>
    <w:rPr>
      <w:rFonts w:ascii="Arial" w:hAnsi="Arial" w:eastAsia="Arial"/>
      <w:color w:val="000000"/>
      <w:sz w:val="21"/>
    </w:rPr>
  </w:style>
  <w:style w:type="paragraph" w:styleId="List3">
    <w:name w:val="List 3"/>
    <w:basedOn w:val="Normal"/>
    <w:uiPriority w:val="99"/>
    <w:unhideWhenUsed/>
    <w:rsid w:val="00326F90"/>
    <w:pPr>
      <w:ind w:left="1080" w:hanging="360"/>
      <w:contextualSpacing/>
    </w:pPr>
    <w:rPr>
      <w:rFonts w:ascii="Arial" w:hAnsi="Arial" w:eastAsia="Arial"/>
      <w:color w:val="000000"/>
      <w:sz w:val="21"/>
    </w:rPr>
  </w:style>
  <w:style w:type="paragraph" w:styleId="ListBullet">
    <w:name w:val="List Bullet"/>
    <w:basedOn w:val="Normal"/>
    <w:uiPriority w:val="99"/>
    <w:unhideWhenUsed/>
    <w:rsid w:val="00326F90"/>
    <w:pPr>
      <w:numPr>
        <w:numId w:val="1"/>
      </w:numPr>
      <w:contextualSpacing/>
    </w:pPr>
    <w:rPr>
      <w:rFonts w:ascii="Arial" w:hAnsi="Arial" w:eastAsia="Arial"/>
      <w:color w:val="000000"/>
      <w:sz w:val="21"/>
    </w:rPr>
  </w:style>
  <w:style w:type="paragraph" w:styleId="ListBullet2">
    <w:name w:val="List Bullet 2"/>
    <w:basedOn w:val="Normal"/>
    <w:uiPriority w:val="99"/>
    <w:unhideWhenUsed/>
    <w:rsid w:val="00326F90"/>
    <w:pPr>
      <w:numPr>
        <w:numId w:val="2"/>
      </w:numPr>
      <w:contextualSpacing/>
    </w:pPr>
    <w:rPr>
      <w:rFonts w:ascii="Arial" w:hAnsi="Arial" w:eastAsia="Arial"/>
      <w:color w:val="000000"/>
      <w:sz w:val="21"/>
    </w:rPr>
  </w:style>
  <w:style w:type="paragraph" w:styleId="ListBullet3">
    <w:name w:val="List Bullet 3"/>
    <w:basedOn w:val="Normal"/>
    <w:uiPriority w:val="99"/>
    <w:unhideWhenUsed/>
    <w:rsid w:val="00326F90"/>
    <w:pPr>
      <w:numPr>
        <w:numId w:val="3"/>
      </w:numPr>
      <w:contextualSpacing/>
    </w:pPr>
    <w:rPr>
      <w:rFonts w:ascii="Arial" w:hAnsi="Arial" w:eastAsia="Arial"/>
      <w:color w:val="000000"/>
      <w:sz w:val="21"/>
    </w:rPr>
  </w:style>
  <w:style w:type="paragraph" w:styleId="ListNumber">
    <w:name w:val="List Number"/>
    <w:basedOn w:val="Normal"/>
    <w:uiPriority w:val="99"/>
    <w:unhideWhenUsed/>
    <w:rsid w:val="00326F90"/>
    <w:pPr>
      <w:numPr>
        <w:numId w:val="5"/>
      </w:numPr>
      <w:contextualSpacing/>
    </w:pPr>
    <w:rPr>
      <w:rFonts w:ascii="Arial" w:hAnsi="Arial" w:eastAsia="Arial"/>
      <w:color w:val="000000"/>
      <w:sz w:val="21"/>
    </w:rPr>
  </w:style>
  <w:style w:type="paragraph" w:styleId="ListNumber2">
    <w:name w:val="List Number 2"/>
    <w:basedOn w:val="Normal"/>
    <w:uiPriority w:val="99"/>
    <w:unhideWhenUsed/>
    <w:rsid w:val="0029639D"/>
    <w:pPr>
      <w:numPr>
        <w:numId w:val="6"/>
      </w:numPr>
      <w:contextualSpacing/>
    </w:pPr>
    <w:rPr>
      <w:rFonts w:ascii="Arial" w:hAnsi="Arial" w:eastAsia="Arial"/>
      <w:color w:val="000000"/>
      <w:sz w:val="21"/>
    </w:rPr>
  </w:style>
  <w:style w:type="paragraph" w:styleId="ListNumber3">
    <w:name w:val="List Number 3"/>
    <w:basedOn w:val="Normal"/>
    <w:uiPriority w:val="99"/>
    <w:unhideWhenUsed/>
    <w:rsid w:val="0029639D"/>
    <w:pPr>
      <w:numPr>
        <w:numId w:val="7"/>
      </w:numPr>
      <w:contextualSpacing/>
    </w:pPr>
    <w:rPr>
      <w:rFonts w:ascii="Arial" w:hAnsi="Arial" w:eastAsia="Arial"/>
      <w:color w:val="000000"/>
      <w:sz w:val="21"/>
    </w:rPr>
  </w:style>
  <w:style w:type="paragraph" w:styleId="ListContinue">
    <w:name w:val="List Continue"/>
    <w:basedOn w:val="Normal"/>
    <w:uiPriority w:val="99"/>
    <w:unhideWhenUsed/>
    <w:rsid w:val="0029639D"/>
    <w:pPr>
      <w:spacing w:after="120"/>
      <w:ind w:left="360"/>
      <w:contextualSpacing/>
    </w:pPr>
    <w:rPr>
      <w:rFonts w:ascii="Arial" w:hAnsi="Arial" w:eastAsia="Arial"/>
      <w:color w:val="000000"/>
      <w:sz w:val="21"/>
    </w:rPr>
  </w:style>
  <w:style w:type="paragraph" w:styleId="ListContinue2">
    <w:name w:val="List Continue 2"/>
    <w:basedOn w:val="Normal"/>
    <w:uiPriority w:val="99"/>
    <w:unhideWhenUsed/>
    <w:rsid w:val="0029639D"/>
    <w:pPr>
      <w:spacing w:after="120"/>
      <w:ind w:left="720"/>
      <w:contextualSpacing/>
    </w:pPr>
    <w:rPr>
      <w:rFonts w:ascii="Arial" w:hAnsi="Arial" w:eastAsia="Arial"/>
      <w:color w:val="000000"/>
      <w:sz w:val="21"/>
    </w:rPr>
  </w:style>
  <w:style w:type="paragraph" w:styleId="ListContinue3">
    <w:name w:val="List Continue 3"/>
    <w:basedOn w:val="Normal"/>
    <w:uiPriority w:val="99"/>
    <w:unhideWhenUsed/>
    <w:rsid w:val="0029639D"/>
    <w:pPr>
      <w:spacing w:after="120"/>
      <w:ind w:left="1080"/>
      <w:contextualSpacing/>
    </w:pPr>
    <w:rPr>
      <w:rFonts w:ascii="Arial" w:hAnsi="Arial" w:eastAsia="Arial"/>
      <w:color w:val="000000"/>
      <w:sz w:val="21"/>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Arial" w:hAnsi="Arial" w:eastAsia="Arial"/>
      <w:color w:val="000000"/>
      <w:sz w:val="21"/>
      <w:szCs w:val="20"/>
    </w:rPr>
  </w:style>
  <w:style w:type="character" w:customStyle="1" w:styleId="MacroTextChar">
    <w:name w:val="Macro Text Char"/>
    <w:basedOn w:val="DefaultParagraphFont"/>
    <w:link w:val="MacroText"/>
    <w:uiPriority w:val="99"/>
    <w:rsid w:val="0029639D"/>
    <w:rPr>
      <w:rFonts w:ascii="Arial" w:hAnsi="Arial" w:eastAsia="Arial"/>
      <w:color w:val="000000"/>
      <w:sz w:val="21"/>
      <w:szCs w:val="20"/>
    </w:rPr>
  </w:style>
  <w:style w:type="paragraph" w:styleId="Quote">
    <w:name w:val="Quote"/>
    <w:basedOn w:val="Normal"/>
    <w:next w:val="Normal"/>
    <w:link w:val="QuoteChar"/>
    <w:uiPriority w:val="29"/>
    <w:qFormat/>
    <w:rsid w:val="00FC693F"/>
    <w:rPr>
      <w:rFonts w:ascii="Arial" w:hAnsi="Arial" w:eastAsia="Arial"/>
      <w:i/>
      <w:iCs/>
      <w:color w:val="000000"/>
      <w:sz w:val="21"/>
    </w:rPr>
  </w:style>
  <w:style w:type="character" w:customStyle="1" w:styleId="QuoteChar">
    <w:name w:val="Quote Char"/>
    <w:basedOn w:val="DefaultParagraphFont"/>
    <w:link w:val="Quote"/>
    <w:uiPriority w:val="29"/>
    <w:rsid w:val="00FC693F"/>
    <w:rPr>
      <w:rFonts w:ascii="Arial" w:hAnsi="Arial" w:eastAsia="Arial"/>
      <w:i/>
      <w:iCs/>
      <w:color w:val="000000"/>
      <w:sz w:val="21"/>
    </w:rPr>
  </w:style>
  <w:style w:type="character" w:customStyle="1" w:styleId="Heading4Char">
    <w:name w:val="Heading 4 Char"/>
    <w:basedOn w:val="DefaultParagraphFont"/>
    <w:link w:val="Heading4"/>
    <w:uiPriority w:val="9"/>
    <w:semiHidden/>
    <w:rsid w:val="00FC693F"/>
    <w:rPr>
      <w:rFonts w:cstheme="majorBidi" w:ascii="Arial" w:hAnsi="Arial" w:eastAsia="Arial"/>
      <w:b/>
      <w:bCs/>
      <w:i/>
      <w:iCs/>
      <w:color w:val="000000"/>
      <w:sz w:val="21"/>
    </w:rPr>
  </w:style>
  <w:style w:type="character" w:customStyle="1" w:styleId="Heading5Char">
    <w:name w:val="Heading 5 Char"/>
    <w:basedOn w:val="DefaultParagraphFont"/>
    <w:link w:val="Heading5"/>
    <w:uiPriority w:val="9"/>
    <w:semiHidden/>
    <w:rsid w:val="00FC693F"/>
    <w:rPr>
      <w:rFonts w:cstheme="majorBidi" w:ascii="Arial" w:hAnsi="Arial" w:eastAsia="Arial"/>
      <w:color w:val="000000"/>
      <w:sz w:val="21"/>
    </w:rPr>
  </w:style>
  <w:style w:type="character" w:customStyle="1" w:styleId="Heading6Char">
    <w:name w:val="Heading 6 Char"/>
    <w:basedOn w:val="DefaultParagraphFont"/>
    <w:link w:val="Heading6"/>
    <w:uiPriority w:val="9"/>
    <w:semiHidden/>
    <w:rsid w:val="00FC693F"/>
    <w:rPr>
      <w:rFonts w:cstheme="majorBidi" w:ascii="Arial" w:hAnsi="Arial" w:eastAsia="Arial"/>
      <w:i/>
      <w:iCs/>
      <w:color w:val="000000"/>
      <w:sz w:val="21"/>
    </w:rPr>
  </w:style>
  <w:style w:type="character" w:customStyle="1" w:styleId="Heading7Char">
    <w:name w:val="Heading 7 Char"/>
    <w:basedOn w:val="DefaultParagraphFont"/>
    <w:link w:val="Heading7"/>
    <w:uiPriority w:val="9"/>
    <w:semiHidden/>
    <w:rsid w:val="00FC693F"/>
    <w:rPr>
      <w:rFonts w:cstheme="majorBidi" w:ascii="Arial" w:hAnsi="Arial" w:eastAsia="Arial"/>
      <w:i/>
      <w:iCs/>
      <w:color w:val="000000"/>
      <w:sz w:val="21"/>
    </w:rPr>
  </w:style>
  <w:style w:type="character" w:customStyle="1" w:styleId="Heading8Char">
    <w:name w:val="Heading 8 Char"/>
    <w:basedOn w:val="DefaultParagraphFont"/>
    <w:link w:val="Heading8"/>
    <w:uiPriority w:val="9"/>
    <w:semiHidden/>
    <w:rsid w:val="00FC693F"/>
    <w:rPr>
      <w:rFonts w:cstheme="majorBidi" w:ascii="Arial" w:hAnsi="Arial" w:eastAsia="Arial"/>
      <w:color w:val="000000"/>
      <w:sz w:val="21"/>
      <w:szCs w:val="20"/>
    </w:rPr>
  </w:style>
  <w:style w:type="character" w:customStyle="1" w:styleId="Heading9Char">
    <w:name w:val="Heading 9 Char"/>
    <w:basedOn w:val="DefaultParagraphFont"/>
    <w:link w:val="Heading9"/>
    <w:uiPriority w:val="9"/>
    <w:semiHidden/>
    <w:rsid w:val="00FC693F"/>
    <w:rPr>
      <w:rFonts w:cstheme="majorBidi" w:ascii="Arial" w:hAnsi="Arial" w:eastAsia="Arial"/>
      <w:i/>
      <w:iCs/>
      <w:color w:val="000000"/>
      <w:sz w:val="21"/>
      <w:szCs w:val="20"/>
    </w:rPr>
  </w:style>
  <w:style w:type="paragraph" w:styleId="Caption">
    <w:name w:val="caption"/>
    <w:basedOn w:val="Normal"/>
    <w:next w:val="Normal"/>
    <w:uiPriority w:val="35"/>
    <w:semiHidden/>
    <w:unhideWhenUsed/>
    <w:qFormat/>
    <w:rsid w:val="00FC693F"/>
    <w:pPr>
      <w:spacing w:line="240" w:lineRule="auto"/>
    </w:pPr>
    <w:rPr>
      <w:rFonts w:ascii="Arial" w:hAnsi="Arial" w:eastAsia="Arial"/>
      <w:b/>
      <w:bCs/>
      <w:color w:val="000000"/>
      <w:sz w:val="21"/>
      <w:szCs w:val="18"/>
    </w:rPr>
  </w:style>
  <w:style w:type="character" w:styleId="Strong">
    <w:name w:val="Strong"/>
    <w:basedOn w:val="DefaultParagraphFont"/>
    <w:uiPriority w:val="22"/>
    <w:qFormat/>
    <w:rsid w:val="00FC693F"/>
    <w:rPr>
      <w:rFonts w:ascii="Arial" w:hAnsi="Arial" w:eastAsia="Arial"/>
      <w:b/>
      <w:bCs/>
      <w:color w:val="000000"/>
      <w:sz w:val="21"/>
    </w:rPr>
  </w:style>
  <w:style w:type="character" w:styleId="Emphasis">
    <w:name w:val="Emphasis"/>
    <w:basedOn w:val="DefaultParagraphFont"/>
    <w:uiPriority w:val="20"/>
    <w:qFormat/>
    <w:rsid w:val="00FC693F"/>
    <w:rPr>
      <w:rFonts w:ascii="Arial" w:hAnsi="Arial" w:eastAsia="Arial"/>
      <w:i/>
      <w:iCs/>
      <w:color w:val="000000"/>
      <w:sz w:val="21"/>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Arial" w:hAnsi="Arial" w:eastAsia="Arial"/>
      <w:b/>
      <w:bCs/>
      <w:i/>
      <w:iCs/>
      <w:color w:val="000000"/>
      <w:sz w:val="21"/>
    </w:rPr>
  </w:style>
  <w:style w:type="character" w:customStyle="1" w:styleId="IntenseQuoteChar">
    <w:name w:val="Intense Quote Char"/>
    <w:basedOn w:val="DefaultParagraphFont"/>
    <w:link w:val="IntenseQuote"/>
    <w:uiPriority w:val="30"/>
    <w:rsid w:val="00FC693F"/>
    <w:rPr>
      <w:rFonts w:ascii="Arial" w:hAnsi="Arial" w:eastAsia="Arial"/>
      <w:b/>
      <w:bCs/>
      <w:i/>
      <w:iCs/>
      <w:color w:val="000000"/>
      <w:sz w:val="21"/>
    </w:rPr>
  </w:style>
  <w:style w:type="character" w:styleId="SubtleEmphasis">
    <w:name w:val="Subtle Emphasis"/>
    <w:basedOn w:val="DefaultParagraphFont"/>
    <w:uiPriority w:val="19"/>
    <w:qFormat/>
    <w:rsid w:val="00FC693F"/>
    <w:rPr>
      <w:rFonts w:ascii="Arial" w:hAnsi="Arial" w:eastAsia="Arial"/>
      <w:i/>
      <w:iCs/>
      <w:color w:val="000000"/>
      <w:sz w:val="21"/>
    </w:rPr>
  </w:style>
  <w:style w:type="character" w:styleId="IntenseEmphasis">
    <w:name w:val="Intense Emphasis"/>
    <w:basedOn w:val="DefaultParagraphFont"/>
    <w:uiPriority w:val="21"/>
    <w:qFormat/>
    <w:rsid w:val="00FC693F"/>
    <w:rPr>
      <w:rFonts w:ascii="Arial" w:hAnsi="Arial" w:eastAsia="Arial"/>
      <w:b/>
      <w:bCs/>
      <w:i/>
      <w:iCs/>
      <w:color w:val="000000"/>
      <w:sz w:val="21"/>
    </w:rPr>
  </w:style>
  <w:style w:type="character" w:styleId="SubtleReference">
    <w:name w:val="Subtle Reference"/>
    <w:basedOn w:val="DefaultParagraphFont"/>
    <w:uiPriority w:val="31"/>
    <w:qFormat/>
    <w:rsid w:val="00FC693F"/>
    <w:rPr>
      <w:rFonts w:ascii="Arial" w:hAnsi="Arial" w:eastAsia="Arial"/>
      <w:smallCaps/>
      <w:color w:val="000000"/>
      <w:sz w:val="21"/>
      <w:u w:val="single"/>
    </w:rPr>
  </w:style>
  <w:style w:type="character" w:styleId="IntenseReference">
    <w:name w:val="Intense Reference"/>
    <w:basedOn w:val="DefaultParagraphFont"/>
    <w:uiPriority w:val="32"/>
    <w:qFormat/>
    <w:rsid w:val="00FC693F"/>
    <w:rPr>
      <w:rFonts w:ascii="Arial" w:hAnsi="Arial" w:eastAsia="Arial"/>
      <w:b/>
      <w:bCs/>
      <w:smallCaps/>
      <w:color w:val="000000"/>
      <w:spacing w:val="5"/>
      <w:sz w:val="21"/>
      <w:u w:val="single"/>
    </w:rPr>
  </w:style>
  <w:style w:type="character" w:styleId="BookTitle">
    <w:name w:val="Book Title"/>
    <w:basedOn w:val="DefaultParagraphFont"/>
    <w:uiPriority w:val="33"/>
    <w:qFormat/>
    <w:rsid w:val="00FC693F"/>
    <w:rPr>
      <w:rFonts w:ascii="Arial" w:hAnsi="Arial" w:eastAsia="Arial"/>
      <w:b/>
      <w:bCs/>
      <w:smallCaps/>
      <w:color w:val="000000"/>
      <w:spacing w:val="5"/>
      <w:sz w:val="21"/>
    </w:rPr>
  </w:style>
  <w:style w:type="paragraph" w:styleId="TOCHeading">
    <w:name w:val="TOC Heading"/>
    <w:basedOn w:val="Heading1"/>
    <w:next w:val="Normal"/>
    <w:uiPriority w:val="39"/>
    <w:semiHidden/>
    <w:unhideWhenUsed/>
    <w:qFormat/>
    <w:rsid w:val="00FC693F"/>
    <w:pPr>
      <w:outlineLvl w:val="9"/>
    </w:pPr>
    <w:rPr>
      <w:rFonts w:ascii="Arial" w:hAnsi="Arial" w:eastAsia="Arial"/>
      <w:color w:val="000000"/>
      <w:sz w:val="21"/>
    </w:rPr>
  </w:style>
  <w:style w:type="table" w:styleId="TableGrid">
    <w:name w:val="Table Grid"/>
    <w:basedOn w:val="TableNormal"/>
    <w:uiPriority w:val="59"/>
    <w:rsid w:val="00FC693F"/>
    <w:pPr>
      <w:spacing w:after="0" w:line="240" w:lineRule="auto"/>
    </w:pPr>
    <w:rPr>
      <w:rFonts w:ascii="Arial" w:hAnsi="Arial" w:eastAsia="Arial"/>
      <w:color w:val="000000"/>
      <w:sz w:val="21"/>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Arial" w:hAnsi="Arial" w:eastAsia="Arial"/>
      <w:color w:val="000000"/>
      <w:sz w:val="2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Arial" w:hAnsi="Arial" w:eastAsia="Arial"/>
      <w:color w:val="000000"/>
      <w:sz w:val="2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Arial" w:hAnsi="Arial" w:eastAsia="Arial"/>
      <w:color w:val="000000"/>
      <w:sz w:val="2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Arial" w:hAnsi="Arial" w:eastAsia="Arial"/>
      <w:color w:val="000000"/>
      <w:sz w:val="2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Arial" w:hAnsi="Arial" w:eastAsia="Arial"/>
      <w:color w:val="000000"/>
      <w:sz w:val="2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Arial" w:hAnsi="Arial" w:eastAsia="Arial"/>
      <w:color w:val="000000"/>
      <w:sz w:val="2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Arial" w:hAnsi="Arial" w:eastAsia="Arial"/>
      <w:color w:val="000000"/>
      <w:sz w:val="2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Arial" w:hAnsi="Arial" w:eastAsia="Arial"/>
      <w:color w:val="000000"/>
      <w:sz w:val="2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Arial" w:hAnsi="Arial" w:eastAsia="Arial"/>
      <w:color w:val="000000"/>
      <w:sz w:val="2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Arial" w:hAnsi="Arial" w:eastAsia="Arial"/>
      <w:color w:val="000000"/>
      <w:sz w:val="21"/>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Arial" w:hAnsi="Arial" w:eastAsia="Arial"/>
      <w:color w:val="000000"/>
      <w:sz w:val="21"/>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Arial" w:hAnsi="Arial" w:eastAsia="Arial"/>
      <w:color w:val="000000"/>
      <w:sz w:val="21"/>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Arial" w:hAnsi="Arial" w:eastAsia="Arial"/>
      <w:color w:val="000000"/>
      <w:sz w:val="21"/>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Arial" w:hAnsi="Arial" w:eastAsia="Arial"/>
      <w:color w:val="000000"/>
      <w:sz w:val="21"/>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Arial" w:hAnsi="Arial" w:eastAsia="Arial"/>
      <w:color w:val="000000"/>
      <w:sz w:val="21"/>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Arial" w:hAnsi="Arial" w:eastAsia="Arial"/>
      <w:color w:val="000000"/>
      <w:sz w:val="21"/>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000000"/>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stheme="majorBidi" w:ascii="Arial" w:hAnsi="Arial" w:eastAsia="Arial"/>
      <w:color w:val="000000"/>
      <w:sz w:val="2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stheme="majorBidi" w:ascii="Arial" w:hAnsi="Arial" w:eastAsia="Arial"/>
      <w:color w:val="000000"/>
      <w:sz w:val="2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stheme="majorBidi" w:ascii="Arial" w:hAnsi="Arial" w:eastAsia="Arial"/>
      <w:color w:val="000000"/>
      <w:sz w:val="2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stheme="majorBidi" w:ascii="Arial" w:hAnsi="Arial" w:eastAsia="Arial"/>
      <w:color w:val="000000"/>
      <w:sz w:val="2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stheme="majorBidi" w:ascii="Arial" w:hAnsi="Arial" w:eastAsia="Arial"/>
      <w:color w:val="000000"/>
      <w:sz w:val="2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stheme="majorBidi" w:ascii="Arial" w:hAnsi="Arial" w:eastAsia="Arial"/>
      <w:color w:val="000000"/>
      <w:sz w:val="2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stheme="majorBidi" w:ascii="Arial" w:hAnsi="Arial" w:eastAsia="Arial"/>
      <w:color w:val="000000"/>
      <w:sz w:val="2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stheme="majorBidi" w:ascii="Arial" w:hAnsi="Arial" w:eastAsia="Arial"/>
      <w:color w:val="000000"/>
      <w:sz w:val="2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stheme="majorBidi" w:ascii="Arial" w:hAnsi="Arial" w:eastAsia="Arial"/>
      <w:color w:val="000000"/>
      <w:sz w:val="2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stheme="majorBidi" w:ascii="Arial" w:hAnsi="Arial" w:eastAsia="Arial"/>
      <w:color w:val="000000"/>
      <w:sz w:val="2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stheme="majorBidi" w:ascii="Arial" w:hAnsi="Arial" w:eastAsia="Arial"/>
      <w:color w:val="000000"/>
      <w:sz w:val="2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stheme="majorBidi" w:ascii="Arial" w:hAnsi="Arial" w:eastAsia="Arial"/>
      <w:color w:val="000000"/>
      <w:sz w:val="2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stheme="majorBidi" w:ascii="Arial" w:hAnsi="Arial" w:eastAsia="Arial"/>
      <w:color w:val="000000"/>
      <w:sz w:val="2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stheme="majorBidi" w:ascii="Arial" w:hAnsi="Arial" w:eastAsia="Arial"/>
      <w:color w:val="000000"/>
      <w:sz w:val="2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Arial" w:hAnsi="Arial" w:eastAsia="Arial"/>
      <w:color w:val="000000"/>
      <w:sz w:val="2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Arial" w:hAnsi="Arial" w:eastAsia="Arial"/>
      <w:color w:val="000000"/>
      <w:sz w:val="2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Arial" w:hAnsi="Arial" w:eastAsia="Arial"/>
      <w:color w:val="000000"/>
      <w:sz w:val="2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Arial" w:hAnsi="Arial" w:eastAsia="Arial"/>
      <w:color w:val="000000"/>
      <w:sz w:val="2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Arial" w:hAnsi="Arial" w:eastAsia="Arial"/>
      <w:color w:val="000000"/>
      <w:sz w:val="2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Arial" w:hAnsi="Arial" w:eastAsia="Arial"/>
      <w:color w:val="000000"/>
      <w:sz w:val="2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Arial" w:hAnsi="Arial" w:eastAsia="Arial"/>
      <w:color w:val="000000"/>
      <w:sz w:val="2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Arial" w:hAnsi="Arial" w:eastAsia="Arial"/>
      <w:color w:val="000000"/>
      <w:sz w:val="2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rFonts w:ascii="Arial" w:hAnsi="Arial" w:eastAsia="Arial"/>
      <w:color w:val="000000"/>
      <w:sz w:val="2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rFonts w:ascii="Arial" w:hAnsi="Arial" w:eastAsia="Arial"/>
      <w:color w:val="000000"/>
      <w:sz w:val="2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rFonts w:ascii="Arial" w:hAnsi="Arial" w:eastAsia="Arial"/>
      <w:color w:val="000000"/>
      <w:sz w:val="2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Arial" w:hAnsi="Arial" w:eastAsia="Arial"/>
      <w:color w:val="000000"/>
      <w:sz w:val="2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rFonts w:ascii="Arial" w:hAnsi="Arial" w:eastAsia="Arial"/>
      <w:color w:val="000000"/>
      <w:sz w:val="2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rFonts w:ascii="Arial" w:hAnsi="Arial" w:eastAsia="Arial"/>
      <w:color w:val="000000"/>
      <w:sz w:val="2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rFonts w:ascii="Arial" w:hAnsi="Arial" w:eastAsia="Arial"/>
      <w:color w:val="000000"/>
      <w:sz w:val="2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Arial" w:hAnsi="Arial" w:eastAsia="Arial"/>
      <w:color w:val="000000"/>
      <w:sz w:val="2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Arial" w:hAnsi="Arial" w:eastAsia="Arial"/>
      <w:color w:val="000000"/>
      <w:sz w:val="2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Arial" w:hAnsi="Arial" w:eastAsia="Arial"/>
      <w:color w:val="000000"/>
      <w:sz w:val="2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000000"/>
      </w:rPr>
      <w:tblPr/>
      <w:tcPr>
        <w:tcBorders>
          <w:bottom w:val="single" w:sz="12" w:space="0" w:color="FFFFFF" w:themeColor="background1"/>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Arial" w:hAnsi="Arial" w:eastAsia="Arial"/>
      <w:color w:val="000000"/>
      <w:sz w:val="2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000000"/>
      </w:rPr>
      <w:tblPr/>
      <w:tcPr>
        <w:tcBorders>
          <w:bottom w:val="single" w:sz="12" w:space="0" w:color="FFFFFF" w:themeColor="background1"/>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Arial" w:hAnsi="Arial" w:eastAsia="Arial"/>
      <w:color w:val="000000"/>
      <w:sz w:val="2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000000"/>
      </w:rPr>
      <w:tblPr/>
      <w:tcPr>
        <w:tcBorders>
          <w:bottom w:val="single" w:sz="12" w:space="0" w:color="FFFFFF" w:themeColor="background1"/>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Arial" w:hAnsi="Arial" w:eastAsia="Arial"/>
      <w:color w:val="000000"/>
      <w:sz w:val="2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000000"/>
      </w:rPr>
      <w:tblPr/>
      <w:tcPr>
        <w:tcBorders>
          <w:bottom w:val="single" w:sz="12" w:space="0" w:color="FFFFFF" w:themeColor="background1"/>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Arial" w:hAnsi="Arial" w:eastAsia="Arial"/>
      <w:color w:val="000000"/>
      <w:sz w:val="2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Arial" w:hAnsi="Arial" w:eastAsia="Arial"/>
      <w:color w:val="000000"/>
      <w:sz w:val="2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Arial" w:hAnsi="Arial" w:eastAsia="Arial"/>
      <w:color w:val="000000"/>
      <w:sz w:val="2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Arial" w:hAnsi="Arial" w:eastAsia="Arial"/>
      <w:color w:val="000000"/>
      <w:sz w:val="2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Arial" w:hAnsi="Arial" w:eastAsia="Arial"/>
      <w:color w:val="000000"/>
      <w:sz w:val="2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Arial" w:hAnsi="Arial" w:eastAsia="Arial"/>
      <w:color w:val="000000"/>
      <w:sz w:val="2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Arial" w:hAnsi="Arial" w:eastAsia="Arial"/>
      <w:color w:val="000000"/>
      <w:sz w:val="2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000000"/>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000000"/>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000000"/>
      </w:rPr>
      <w:tblPr/>
      <w:tcPr>
        <w:tcBorders>
          <w:bottom w:val="single" w:sz="12" w:space="0" w:color="FFFFFF" w:themeColor="background1"/>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000000"/>
      </w:rPr>
      <w:tblPr/>
      <w:tcPr>
        <w:tcBorders>
          <w:bottom w:val="single" w:sz="12" w:space="0" w:color="FFFFFF" w:themeColor="background1"/>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000000"/>
      </w:rPr>
      <w:tblPr/>
      <w:tcPr>
        <w:tcBorders>
          <w:bottom w:val="single" w:sz="12" w:space="0" w:color="FFFFFF" w:themeColor="background1"/>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000000"/>
      </w:rPr>
      <w:tblPr/>
      <w:tcPr>
        <w:tcBorders>
          <w:bottom w:val="single" w:sz="12" w:space="0" w:color="FFFFFF" w:themeColor="background1"/>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Mountain Search UAV System Technical Guide</dc:title>
  <dc:subject>Source code, simulation, verification and experimental records</dc:subject>
  <dc:creator/>
  <cp:keywords/>
  <dc:description/>
  <cp:lastModifiedBy/>
  <cp:revision>1</cp:revision>
  <dcterms:created xsi:type="dcterms:W3CDTF">2013-12-23T23:15:00Z</dcterms:created>
  <dcterms:modified xsi:type="dcterms:W3CDTF">2013-12-23T23:15:00Z</dcterms:modified>
  <cp:category>Technical Guide</cp:category>
</cp:coreProperties>
</file>