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C9531C"/>
          <w:sz w:val="18"/>
          <w:szCs w:val="18"/>
        </w:rPr>
        <w:t xml:space="preserve">PRODUCT REQUIREMENTS DOCUMENT</w:t>
      </w:r>
    </w:p>
    <w:p>
      <w:pPr>
        <w:spacing w:after="60" w:before="0"/>
      </w:pPr>
      <w:r>
        <w:rPr>
          <w:b/>
          <w:bCs/>
          <w:color w:val="1B365D"/>
          <w:sz w:val="50"/>
          <w:szCs w:val="50"/>
        </w:rPr>
        <w:t xml:space="preserve">MIRA Projects v1</w:t>
      </w:r>
    </w:p>
    <w:p>
      <w:pPr>
        <w:spacing w:after="240" w:before="0"/>
      </w:pPr>
      <w:r>
        <w:rPr>
          <w:i/>
          <w:iCs/>
          <w:color w:val="5C6770"/>
          <w:sz w:val="22"/>
          <w:szCs w:val="22"/>
        </w:rPr>
        <w:t xml:space="preserve">Workspace, knowledge base, and live operating layer for an industrial asset.</w:t>
      </w:r>
    </w:p>
    <w:p>
      <w:pPr>
        <w:pBdr>
          <w:bottom w:val="single" w:color="1B365D" w:sz="6" w:space="4"/>
        </w:pBdr>
        <w:spacing w:after="80" w:before="80"/>
      </w:pPr>
      <w:r>
        <w:t xml:space="preserve"/>
      </w:r>
    </w:p>
    <w:p>
      <w:pPr>
        <w:spacing w:after="80" w:before="80" w:line="300"/>
      </w:pPr>
      <w:r>
        <w:rPr>
          <w:b/>
          <w:bCs/>
          <w:color w:val="5C6770"/>
          <w:sz w:val="18"/>
          <w:szCs w:val="18"/>
        </w:rPr>
        <w:t xml:space="preserve">Author: </w:t>
      </w:r>
      <w:r>
        <w:rPr>
          <w:color w:val="5C6770"/>
          <w:sz w:val="18"/>
          <w:szCs w:val="18"/>
        </w:rPr>
        <w:t xml:space="preserve">Mike Harper, FactoryLM    </w:t>
      </w:r>
      <w:r>
        <w:rPr>
          <w:b/>
          <w:bCs/>
          <w:color w:val="5C6770"/>
          <w:sz w:val="18"/>
          <w:szCs w:val="18"/>
        </w:rPr>
        <w:t xml:space="preserve">Status: </w:t>
      </w:r>
      <w:r>
        <w:rPr>
          <w:color w:val="5C6770"/>
          <w:sz w:val="18"/>
          <w:szCs w:val="18"/>
        </w:rPr>
        <w:t xml:space="preserve">Draft for review    </w:t>
      </w:r>
      <w:r>
        <w:rPr>
          <w:b/>
          <w:bCs/>
          <w:color w:val="5C6770"/>
          <w:sz w:val="18"/>
          <w:szCs w:val="18"/>
        </w:rPr>
        <w:t xml:space="preserve">Target ship: </w:t>
      </w:r>
      <w:r>
        <w:rPr>
          <w:color w:val="5C6770"/>
          <w:sz w:val="18"/>
          <w:szCs w:val="18"/>
        </w:rPr>
        <w:t xml:space="preserve">Asset Page (v1) by 2026-05-22 · Crew Workspace by 2026-06-21 · Investigation by 2026-07-19</w:t>
      </w:r>
    </w:p>
    <w:p>
      <w:pPr>
        <w:pStyle w:val="Heading1"/>
        <w:spacing w:after="180" w:before="360"/>
      </w:pPr>
      <w:r>
        <w:rPr>
          <w:b/>
          <w:bCs/>
          <w:color w:val="1B365D"/>
          <w:sz w:val="36"/>
          <w:szCs w:val="36"/>
        </w:rPr>
        <w:t xml:space="preserve">1. Problem</w:t>
      </w:r>
    </w:p>
    <w:p>
      <w:pPr>
        <w:spacing w:after="80" w:before="80" w:line="300"/>
      </w:pPr>
      <w:r>
        <w:t xml:space="preserve">Industrial maintenance technicians and reliability managers do not have a workspace that holds equipment context across time. The information they need to fix a machine — OEM manuals, repair history, sensor trends, photos of past failures, conversations with the OEM and with previous shifts — lives in five different systems and walks out the door when a tech changes jobs.</w:t>
      </w:r>
    </w:p>
    <w:p>
      <w:pPr>
        <w:spacing w:after="80" w:before="80" w:line="300"/>
      </w:pPr>
      <w:r>
        <w:t xml:space="preserve">Generic AI “projects” features (ChatGPT, Claude, Grok, Perplexity, NotebookLM) attempt to solve a related problem for knowledge workers. They fail in industrial settings for seven well-documented reasons: silent file failures, no source citations, no version control, no sensor data, no safety guardrails, no real collaboration, and a UX built for a desk and a quiet room. (Citations and detail: see companion Strategy Memo, Section 1.)</w:t>
      </w:r>
    </w:p>
    <w:p>
      <w:pPr>
        <w:spacing w:after="80" w:before="80" w:line="300"/>
      </w:pPr>
      <w:r>
        <w:t xml:space="preserve">MIRA Projects is the answer for the maintenance audience: a workspace that treats the asset — not the folder — as the unit of value, with traceability, safety, and sensor-data awareness as core primitives, not features.</w:t>
      </w:r>
    </w:p>
    <w:p>
      <w:pPr>
        <w:pStyle w:val="Heading1"/>
        <w:spacing w:after="180" w:before="360"/>
      </w:pPr>
      <w:r>
        <w:rPr>
          <w:b/>
          <w:bCs/>
          <w:color w:val="1B365D"/>
          <w:sz w:val="36"/>
          <w:szCs w:val="36"/>
        </w:rPr>
        <w:t xml:space="preserve">2. Users</w:t>
      </w:r>
    </w:p>
    <w:p>
      <w:pPr>
        <w:pStyle w:val="Heading3"/>
        <w:spacing w:after="100" w:before="200"/>
      </w:pPr>
      <w:r>
        <w:rPr>
          <w:b/>
          <w:bCs/>
          <w:color w:val="C9531C"/>
          <w:sz w:val="22"/>
          <w:szCs w:val="22"/>
        </w:rPr>
        <w:t xml:space="preserve">Primary — Maintenance technician (“Carlos”)</w:t>
      </w:r>
    </w:p>
    <w:p>
      <w:pPr>
        <w:spacing w:after="80" w:before="80" w:line="300"/>
      </w:pPr>
      <w:r>
        <w:t xml:space="preserve">8–20 years on the floor, journeyman-level. Uses MIRA on a phone in greasy gloves between calls. Has zero patience for software that doesn't work. Trusts the AI when it shows him the manual page. Stops trusting the AI immediately the first time it makes something up.</w:t>
      </w:r>
    </w:p>
    <w:p>
      <w:pPr>
        <w:pStyle w:val="Heading3"/>
        <w:spacing w:after="100" w:before="200"/>
      </w:pPr>
      <w:r>
        <w:rPr>
          <w:b/>
          <w:bCs/>
          <w:color w:val="C9531C"/>
          <w:sz w:val="22"/>
          <w:szCs w:val="22"/>
        </w:rPr>
        <w:t xml:space="preserve">Primary — Reliability / maintenance manager (“Dana”)</w:t>
      </w:r>
    </w:p>
    <w:p>
      <w:pPr>
        <w:spacing w:after="80" w:before="80" w:line="300"/>
      </w:pPr>
      <w:r>
        <w:t xml:space="preserve">Buyer of the Plant tier. Needs the audit trail, the cross-asset view, the shift-handoff replay, and the report she can hand to insurance after a near-miss. Cares about uptime hours, MTBF, safety recordables, and her team’s ability to onboard a new tech in days, not weeks.</w:t>
      </w:r>
    </w:p>
    <w:p>
      <w:pPr>
        <w:pStyle w:val="Heading3"/>
        <w:spacing w:after="100" w:before="200"/>
      </w:pPr>
      <w:r>
        <w:rPr>
          <w:b/>
          <w:bCs/>
          <w:color w:val="C9531C"/>
          <w:sz w:val="22"/>
          <w:szCs w:val="22"/>
        </w:rPr>
        <w:t xml:space="preserve">Secondary — OEM service / vendor (“Taylor”)</w:t>
      </w:r>
    </w:p>
    <w:p>
      <w:pPr>
        <w:spacing w:after="80" w:before="80" w:line="300"/>
      </w:pPr>
      <w:r>
        <w:t xml:space="preserve">Visiting tech from the equipment manufacturer. Wants temporary scoped access to a single asset's project to read history, look at photos, and post a finding. Logs out at end of visit; access auto-revokes.</w:t>
      </w:r>
    </w:p>
    <w:p>
      <w:pPr>
        <w:pStyle w:val="Heading3"/>
        <w:spacing w:after="100" w:before="200"/>
      </w:pPr>
      <w:r>
        <w:rPr>
          <w:b/>
          <w:bCs/>
          <w:color w:val="C9531C"/>
          <w:sz w:val="22"/>
          <w:szCs w:val="22"/>
        </w:rPr>
        <w:t xml:space="preserve">Secondary — EHS / Insurance reviewer (“Riley”)</w:t>
      </w:r>
    </w:p>
    <w:p>
      <w:pPr>
        <w:spacing w:after="80" w:before="80" w:line="300"/>
      </w:pPr>
      <w:r>
        <w:t xml:space="preserve">Reads the audit export quarterly. Wants every safety-keyword interrupt with a timestamp and acknowledgment. Wants to know that the AI never told a tech to bypass a procedure.</w:t>
      </w:r>
    </w:p>
    <w:p>
      <w:r>
        <w:br w:type="page"/>
      </w:r>
    </w:p>
    <w:p>
      <w:pPr>
        <w:pStyle w:val="Heading1"/>
        <w:spacing w:after="180" w:before="360"/>
      </w:pPr>
      <w:r>
        <w:rPr>
          <w:b/>
          <w:bCs/>
          <w:color w:val="1B365D"/>
          <w:sz w:val="36"/>
          <w:szCs w:val="36"/>
        </w:rPr>
        <w:t xml:space="preserve">3. Goals &amp; Non-Goals</w:t>
      </w:r>
    </w:p>
    <w:p>
      <w:pPr>
        <w:pStyle w:val="Heading3"/>
        <w:spacing w:after="100" w:before="200"/>
      </w:pPr>
      <w:r>
        <w:rPr>
          <w:b/>
          <w:bCs/>
          <w:color w:val="C9531C"/>
          <w:sz w:val="22"/>
          <w:szCs w:val="22"/>
        </w:rPr>
        <w:t xml:space="preserve">Goals</w:t>
      </w:r>
    </w:p>
    <w:p>
      <w:pPr>
        <w:pStyle w:val="ListParagraph"/>
        <w:numPr>
          <w:ilvl w:val="0"/>
          <w:numId w:val="2"/>
        </w:numPr>
        <w:spacing w:after="30" w:before="30" w:line="280"/>
      </w:pPr>
      <w:r>
        <w:t xml:space="preserve">Ship Direction A (Asset Page) end-to-end by 2026-05-22 with a paying pilot plant using it daily.</w:t>
      </w:r>
    </w:p>
    <w:p>
      <w:pPr>
        <w:pStyle w:val="ListParagraph"/>
        <w:numPr>
          <w:ilvl w:val="0"/>
          <w:numId w:val="2"/>
        </w:numPr>
        <w:spacing w:after="30" w:before="30" w:line="280"/>
      </w:pPr>
      <w:r>
        <w:t xml:space="preserve">Establish three product rules — file-state visibility, source citation on every answer, safety interrupt on every safety keyword — as the things customers tell each other about us.</w:t>
      </w:r>
    </w:p>
    <w:p>
      <w:pPr>
        <w:pStyle w:val="ListParagraph"/>
        <w:numPr>
          <w:ilvl w:val="0"/>
          <w:numId w:val="2"/>
        </w:numPr>
        <w:spacing w:after="30" w:before="30" w:line="280"/>
      </w:pPr>
      <w:r>
        <w:t xml:space="preserve">Build a free tier that solo techs adopt as their personal knowledge base, creating viral spread when they change jobs.</w:t>
      </w:r>
    </w:p>
    <w:p>
      <w:pPr>
        <w:pStyle w:val="ListParagraph"/>
        <w:numPr>
          <w:ilvl w:val="0"/>
          <w:numId w:val="2"/>
        </w:numPr>
        <w:spacing w:after="30" w:before="30" w:line="280"/>
      </w:pPr>
      <w:r>
        <w:t xml:space="preserve">Achieve &gt; 90% logo retention at 12 months in the Plant tier.</w:t>
      </w:r>
    </w:p>
    <w:p>
      <w:pPr>
        <w:pStyle w:val="Heading3"/>
        <w:spacing w:after="100" w:before="200"/>
      </w:pPr>
      <w:r>
        <w:rPr>
          <w:b/>
          <w:bCs/>
          <w:color w:val="C9531C"/>
          <w:sz w:val="22"/>
          <w:szCs w:val="22"/>
        </w:rPr>
        <w:t xml:space="preserve">Non-Goals (v1)</w:t>
      </w:r>
    </w:p>
    <w:p>
      <w:pPr>
        <w:pStyle w:val="ListParagraph"/>
        <w:numPr>
          <w:ilvl w:val="0"/>
          <w:numId w:val="2"/>
        </w:numPr>
        <w:spacing w:after="30" w:before="30" w:line="280"/>
      </w:pPr>
      <w:r>
        <w:t xml:space="preserve">Multi-tenant cross-customer search. Each tenant’s projects are isolated.</w:t>
      </w:r>
    </w:p>
    <w:p>
      <w:pPr>
        <w:pStyle w:val="ListParagraph"/>
        <w:numPr>
          <w:ilvl w:val="0"/>
          <w:numId w:val="2"/>
        </w:numPr>
        <w:spacing w:after="30" w:before="30" w:line="280"/>
      </w:pPr>
      <w:r>
        <w:t xml:space="preserve">Generic file storage / Dropbox-like browsing. Only project-scoped storage.</w:t>
      </w:r>
    </w:p>
    <w:p>
      <w:pPr>
        <w:pStyle w:val="ListParagraph"/>
        <w:numPr>
          <w:ilvl w:val="0"/>
          <w:numId w:val="2"/>
        </w:numPr>
        <w:spacing w:after="30" w:before="30" w:line="280"/>
      </w:pPr>
      <w:r>
        <w:t xml:space="preserve">AR overlays / HUD integration (archived per ADR-0005, not in MVP).</w:t>
      </w:r>
    </w:p>
    <w:p>
      <w:pPr>
        <w:pStyle w:val="ListParagraph"/>
        <w:numPr>
          <w:ilvl w:val="0"/>
          <w:numId w:val="2"/>
        </w:numPr>
        <w:spacing w:after="30" w:before="30" w:line="280"/>
      </w:pPr>
      <w:r>
        <w:t xml:space="preserve">Modbus / PLC driver work (deferred to Config 4 per existing roadmap).</w:t>
      </w:r>
    </w:p>
    <w:p>
      <w:pPr>
        <w:pStyle w:val="ListParagraph"/>
        <w:numPr>
          <w:ilvl w:val="0"/>
          <w:numId w:val="2"/>
        </w:numPr>
        <w:spacing w:after="30" w:before="30" w:line="280"/>
      </w:pPr>
      <w:r>
        <w:t xml:space="preserve">Public sharing / community projects. Single-tenant only at v1.</w:t>
      </w:r>
    </w:p>
    <w:p>
      <w:pPr>
        <w:pStyle w:val="Heading1"/>
        <w:spacing w:after="180" w:before="360"/>
      </w:pPr>
      <w:r>
        <w:rPr>
          <w:b/>
          <w:bCs/>
          <w:color w:val="1B365D"/>
          <w:sz w:val="36"/>
          <w:szCs w:val="36"/>
        </w:rPr>
        <w:t xml:space="preserve">4. User Stories (top 12)</w:t>
      </w:r>
    </w:p>
    <w:p>
      <w:pPr>
        <w:pStyle w:val="ListParagraph"/>
        <w:numPr>
          <w:ilvl w:val="0"/>
          <w:numId w:val="2"/>
        </w:numPr>
        <w:spacing w:after="30" w:before="30" w:line="280"/>
      </w:pPr>
      <w:r>
        <w:rPr>
          <w:b/>
          <w:bCs/>
        </w:rPr>
        <w:t xml:space="preserve">US-1 </w:t>
      </w:r>
      <w:r>
        <w:t xml:space="preserve">As Carlos, I open MIRA on my phone and tap one tile to land in EX-3-04’s project, so I never browse for context.</w:t>
      </w:r>
    </w:p>
    <w:p>
      <w:pPr>
        <w:pStyle w:val="ListParagraph"/>
        <w:numPr>
          <w:ilvl w:val="0"/>
          <w:numId w:val="2"/>
        </w:numPr>
        <w:spacing w:after="30" w:before="30" w:line="280"/>
      </w:pPr>
      <w:r>
        <w:rPr>
          <w:b/>
          <w:bCs/>
        </w:rPr>
        <w:t xml:space="preserve">US-2 </w:t>
      </w:r>
      <w:r>
        <w:t xml:space="preserve">As Carlos, I ask “what torque” and get a number with the manual page chip beneath it, so I trust the answer in under 5 seconds.</w:t>
      </w:r>
    </w:p>
    <w:p>
      <w:pPr>
        <w:pStyle w:val="ListParagraph"/>
        <w:numPr>
          <w:ilvl w:val="0"/>
          <w:numId w:val="2"/>
        </w:numPr>
        <w:spacing w:after="30" w:before="30" w:line="280"/>
      </w:pPr>
      <w:r>
        <w:rPr>
          <w:b/>
          <w:bCs/>
        </w:rPr>
        <w:t xml:space="preserve">US-3 </w:t>
      </w:r>
      <w:r>
        <w:t xml:space="preserve">As Carlos, when I ask anything about a lockout, MIRA halts and walks me through LOTO before answering, so I cannot accidentally bypass safety.</w:t>
      </w:r>
    </w:p>
    <w:p>
      <w:pPr>
        <w:pStyle w:val="ListParagraph"/>
        <w:numPr>
          <w:ilvl w:val="0"/>
          <w:numId w:val="2"/>
        </w:numPr>
        <w:spacing w:after="30" w:before="30" w:line="280"/>
      </w:pPr>
      <w:r>
        <w:rPr>
          <w:b/>
          <w:bCs/>
        </w:rPr>
        <w:t xml:space="preserve">US-4 </w:t>
      </w:r>
      <w:r>
        <w:t xml:space="preserve">As Carlos, when an upload's OCR fails, MIRA tells me loudly and offers a one-tap rescan, so I never get an answer based on a partial read.</w:t>
      </w:r>
    </w:p>
    <w:p>
      <w:pPr>
        <w:pStyle w:val="ListParagraph"/>
        <w:numPr>
          <w:ilvl w:val="0"/>
          <w:numId w:val="2"/>
        </w:numPr>
        <w:spacing w:after="30" w:before="30" w:line="280"/>
      </w:pPr>
      <w:r>
        <w:rPr>
          <w:b/>
          <w:bCs/>
        </w:rPr>
        <w:t xml:space="preserve">US-5 </w:t>
      </w:r>
      <w:r>
        <w:t xml:space="preserve">As Carlos, I can swipe to a sensor shelf and see the live trace for any tag pinned to this asset, so I correlate “why is this happening” in one screen.</w:t>
      </w:r>
    </w:p>
    <w:p>
      <w:pPr>
        <w:pStyle w:val="ListParagraph"/>
        <w:numPr>
          <w:ilvl w:val="0"/>
          <w:numId w:val="2"/>
        </w:numPr>
        <w:spacing w:after="30" w:before="30" w:line="280"/>
      </w:pPr>
      <w:r>
        <w:rPr>
          <w:b/>
          <w:bCs/>
        </w:rPr>
        <w:t xml:space="preserve">US-6 </w:t>
      </w:r>
      <w:r>
        <w:t xml:space="preserve">As Carlos, I drop a photo of the part and MIRA overlays the matching figure from the manual, so I can confirm the part number without leaving the field.</w:t>
      </w:r>
    </w:p>
    <w:p>
      <w:pPr>
        <w:pStyle w:val="ListParagraph"/>
        <w:numPr>
          <w:ilvl w:val="0"/>
          <w:numId w:val="2"/>
        </w:numPr>
        <w:spacing w:after="30" w:before="30" w:line="280"/>
      </w:pPr>
      <w:r>
        <w:rPr>
          <w:b/>
          <w:bCs/>
        </w:rPr>
        <w:t xml:space="preserve">US-7 </w:t>
      </w:r>
      <w:r>
        <w:t xml:space="preserve">As Dana, I open the Crew Workspace at shift change and the 90-second audio handoff plays, so I am up to speed walking from the parking lot.</w:t>
      </w:r>
    </w:p>
    <w:p>
      <w:pPr>
        <w:pStyle w:val="ListParagraph"/>
        <w:numPr>
          <w:ilvl w:val="0"/>
          <w:numId w:val="2"/>
        </w:numPr>
        <w:spacing w:after="30" w:before="30" w:line="280"/>
      </w:pPr>
      <w:r>
        <w:rPr>
          <w:b/>
          <w:bCs/>
        </w:rPr>
        <w:t xml:space="preserve">US-8 </w:t>
      </w:r>
      <w:r>
        <w:t xml:space="preserve">As Dana, I see who has touched which asset today, with comment threads and outstanding mentions, so I can run my morning huddle from one screen.</w:t>
      </w:r>
    </w:p>
    <w:p>
      <w:pPr>
        <w:pStyle w:val="ListParagraph"/>
        <w:numPr>
          <w:ilvl w:val="0"/>
          <w:numId w:val="2"/>
        </w:numPr>
        <w:spacing w:after="30" w:before="30" w:line="280"/>
      </w:pPr>
      <w:r>
        <w:rPr>
          <w:b/>
          <w:bCs/>
        </w:rPr>
        <w:t xml:space="preserve">US-9 </w:t>
      </w:r>
      <w:r>
        <w:t xml:space="preserve">As Dana, when an incident opens, an Investigation project auto-builds an evidence timeline from sensors + emails + photos, so the RCA writes itself.</w:t>
      </w:r>
    </w:p>
    <w:p>
      <w:pPr>
        <w:pStyle w:val="ListParagraph"/>
        <w:numPr>
          <w:ilvl w:val="0"/>
          <w:numId w:val="2"/>
        </w:numPr>
        <w:spacing w:after="30" w:before="30" w:line="280"/>
      </w:pPr>
      <w:r>
        <w:rPr>
          <w:b/>
          <w:bCs/>
        </w:rPr>
        <w:t xml:space="preserve">US-10 </w:t>
      </w:r>
      <w:r>
        <w:t xml:space="preserve">As Taylor (OEM), I receive a time-bounded link that lets me read history and post a finding to one specific asset, so I help without getting full access to the plant.</w:t>
      </w:r>
    </w:p>
    <w:p>
      <w:pPr>
        <w:pStyle w:val="ListParagraph"/>
        <w:numPr>
          <w:ilvl w:val="0"/>
          <w:numId w:val="2"/>
        </w:numPr>
        <w:spacing w:after="30" w:before="30" w:line="280"/>
      </w:pPr>
      <w:r>
        <w:rPr>
          <w:b/>
          <w:bCs/>
        </w:rPr>
        <w:t xml:space="preserve">US-11 </w:t>
      </w:r>
      <w:r>
        <w:t xml:space="preserve">As Riley (EHS), I export a quarterly PDF audit of every safety interrupt, so I can demonstrate due diligence to insurance.</w:t>
      </w:r>
    </w:p>
    <w:p>
      <w:pPr>
        <w:pStyle w:val="ListParagraph"/>
        <w:numPr>
          <w:ilvl w:val="0"/>
          <w:numId w:val="2"/>
        </w:numPr>
        <w:spacing w:after="30" w:before="30" w:line="280"/>
      </w:pPr>
      <w:r>
        <w:rPr>
          <w:b/>
          <w:bCs/>
        </w:rPr>
        <w:t xml:space="preserve">US-12 </w:t>
      </w:r>
      <w:r>
        <w:t xml:space="preserve">As Carlos, when an OEM ships a manual revision, MIRA marks the old revision Superseded and surfaces a one-line diff, so I know what changed before I act.</w:t>
      </w:r>
    </w:p>
    <w:p>
      <w:r>
        <w:br w:type="page"/>
      </w:r>
    </w:p>
    <w:p>
      <w:pPr>
        <w:pStyle w:val="Heading1"/>
        <w:spacing w:after="180" w:before="360"/>
      </w:pPr>
      <w:r>
        <w:rPr>
          <w:b/>
          <w:bCs/>
          <w:color w:val="1B365D"/>
          <w:sz w:val="36"/>
          <w:szCs w:val="36"/>
        </w:rPr>
        <w:t xml:space="preserve">5. Functional Requirements</w:t>
      </w:r>
    </w:p>
    <w:p>
      <w:pPr>
        <w:spacing w:after="80" w:before="80" w:line="300"/>
      </w:pPr>
      <w:r>
        <w:t xml:space="preserve">Priority follows MoSCoW. Owner module references the existing MIRA repo modules listed in the root CLAUDE.md.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620"/>
        <w:gridCol w:w="4920"/>
        <w:gridCol w:w="1020"/>
        <w:gridCol w:w="1020"/>
      </w:tblGrid>
      <w:tr>
        <w:tc>
          <w:tcPr>
            <w:tcW w:type="dxa" w:w="78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ID</w:t>
            </w:r>
          </w:p>
        </w:tc>
        <w:tc>
          <w:tcPr>
            <w:tcW w:type="dxa" w:w="162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Capability</w:t>
            </w:r>
          </w:p>
        </w:tc>
        <w:tc>
          <w:tcPr>
            <w:tcW w:type="dxa" w:w="492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Description</w:t>
            </w:r>
          </w:p>
        </w:tc>
        <w:tc>
          <w:tcPr>
            <w:tcW w:type="dxa" w:w="102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Priority</w:t>
            </w:r>
          </w:p>
        </w:tc>
        <w:tc>
          <w:tcPr>
            <w:tcW w:type="dxa" w:w="102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Owner module</w:t>
            </w:r>
          </w:p>
        </w:tc>
      </w:tr>
      <w:tr>
        <w:tc>
          <w:tcPr>
            <w:tcW w:type="dxa" w:w="7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F-1</w:t>
            </w:r>
          </w:p>
        </w:tc>
        <w:tc>
          <w:tcPr>
            <w:tcW w:type="dxa" w:w="16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Asset record</w:t>
            </w:r>
          </w:p>
        </w:tc>
        <w:tc>
          <w:tcPr>
            <w:tcW w:type="dxa" w:w="49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Every project is rooted in an asset record (tag, OEM, model, install date, criticality, PM schedule). Soft-delete only; assets persist across team turnover.</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Must</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mira-cmms · mira-mcp</w:t>
            </w:r>
          </w:p>
        </w:tc>
      </w:tr>
      <w:tr>
        <w:tc>
          <w:tcPr>
            <w:tcW w:type="dxa" w:w="7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F-2</w:t>
            </w:r>
          </w:p>
        </w:tc>
        <w:tc>
          <w:tcPr>
            <w:tcW w:type="dxa" w:w="16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Multi-shelf storage</w:t>
            </w:r>
          </w:p>
        </w:tc>
        <w:tc>
          <w:tcPr>
            <w:tcW w:type="dxa" w:w="49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Project home presents Manuals, Photos, Work Orders, Sensor Streams, Conversations as first-class shelves. Each shelf has its own ingest path.</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Must</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mira-crawler · mira-ingest · mira-mcp</w:t>
            </w:r>
          </w:p>
        </w:tc>
      </w:tr>
      <w:tr>
        <w:tc>
          <w:tcPr>
            <w:tcW w:type="dxa" w:w="7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F-3</w:t>
            </w:r>
          </w:p>
        </w:tc>
        <w:tc>
          <w:tcPr>
            <w:tcW w:type="dxa" w:w="16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File state badge</w:t>
            </w:r>
          </w:p>
        </w:tc>
        <w:tc>
          <w:tcPr>
            <w:tcW w:type="dxa" w:w="49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Every file shows one of: Indexed · Partial · OCR-failed · Superseded · Stale. Color + shape (not color alone). Tap-to-rescan or tap-to-diff.</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Must</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mira-ingest</w:t>
            </w:r>
          </w:p>
        </w:tc>
      </w:tr>
      <w:tr>
        <w:tc>
          <w:tcPr>
            <w:tcW w:type="dxa" w:w="7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F-4</w:t>
            </w:r>
          </w:p>
        </w:tc>
        <w:tc>
          <w:tcPr>
            <w:tcW w:type="dxa" w:w="16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File supersession</w:t>
            </w:r>
          </w:p>
        </w:tc>
        <w:tc>
          <w:tcPr>
            <w:tcW w:type="dxa" w:w="49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Uploading a new revision marks the old as Superseded but keeps it searchable. Citations to the old rev resolve to a 'this answer was based on rev C, current rev is D' banner.</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Must</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NeonDB schema</w:t>
            </w:r>
          </w:p>
        </w:tc>
      </w:tr>
      <w:tr>
        <w:tc>
          <w:tcPr>
            <w:tcW w:type="dxa" w:w="7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F-5</w:t>
            </w:r>
          </w:p>
        </w:tc>
        <w:tc>
          <w:tcPr>
            <w:tcW w:type="dxa" w:w="16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Cited answers</w:t>
            </w:r>
          </w:p>
        </w:tc>
        <w:tc>
          <w:tcPr>
            <w:tcW w:type="dxa" w:w="49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Every answer in a project carries source chips (doc + page, sensor + window, photo + region). Tap chip → opens source with cited region highlighted.</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Must</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GSDEngine · mira-pipeline</w:t>
            </w:r>
          </w:p>
        </w:tc>
      </w:tr>
      <w:tr>
        <w:tc>
          <w:tcPr>
            <w:tcW w:type="dxa" w:w="7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F-6</w:t>
            </w:r>
          </w:p>
        </w:tc>
        <w:tc>
          <w:tcPr>
            <w:tcW w:type="dxa" w:w="16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Safety interrupt</w:t>
            </w:r>
          </w:p>
        </w:tc>
        <w:tc>
          <w:tcPr>
            <w:tcW w:type="dxa" w:w="49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Answers touching SAFETY_KEYWORDS halt with a STOP card; user must acknowledge LOTO/PPE/etc before MIRA continues. Reuses existing guardrails module.</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Must</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mira-bots/shared/guardrails</w:t>
            </w:r>
          </w:p>
        </w:tc>
      </w:tr>
      <w:tr>
        <w:tc>
          <w:tcPr>
            <w:tcW w:type="dxa" w:w="7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F-7</w:t>
            </w:r>
          </w:p>
        </w:tc>
        <w:tc>
          <w:tcPr>
            <w:tcW w:type="dxa" w:w="16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Sensor stream attach</w:t>
            </w:r>
          </w:p>
        </w:tc>
        <w:tc>
          <w:tcPr>
            <w:tcW w:type="dxa" w:w="49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Project owner can pin PLC tags / vibration channels / SCADA points. AI uses live + historical windows as context for chat answers.</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Must</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mira-mcp tools (new) · time-series schema</w:t>
            </w:r>
          </w:p>
        </w:tc>
      </w:tr>
      <w:tr>
        <w:tc>
          <w:tcPr>
            <w:tcW w:type="dxa" w:w="7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F-8</w:t>
            </w:r>
          </w:p>
        </w:tc>
        <w:tc>
          <w:tcPr>
            <w:tcW w:type="dxa" w:w="16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Photo overlay</w:t>
            </w:r>
          </w:p>
        </w:tc>
        <w:tc>
          <w:tcPr>
            <w:tcW w:type="dxa" w:w="49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Photos uploaded to a project can be annotated by AI with overlays linked to manual figures. Native gloves-friendly capture flow on mobile.</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Should</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mira-ingest · vision pipeline</w:t>
            </w:r>
          </w:p>
        </w:tc>
      </w:tr>
      <w:tr>
        <w:tc>
          <w:tcPr>
            <w:tcW w:type="dxa" w:w="7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F-9</w:t>
            </w:r>
          </w:p>
        </w:tc>
        <w:tc>
          <w:tcPr>
            <w:tcW w:type="dxa" w:w="16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Crew presence + comments</w:t>
            </w:r>
          </w:p>
        </w:tc>
        <w:tc>
          <w:tcPr>
            <w:tcW w:type="dxa" w:w="49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Show who is in a project right now, who added what, @-mention with notification, comment on any file or chat answer.</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Should</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new realtime layer (Yjs / Liveblocks / Phoenix Channels)</w:t>
            </w:r>
          </w:p>
        </w:tc>
      </w:tr>
      <w:tr>
        <w:tc>
          <w:tcPr>
            <w:tcW w:type="dxa" w:w="7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F-10</w:t>
            </w:r>
          </w:p>
        </w:tc>
        <w:tc>
          <w:tcPr>
            <w:tcW w:type="dxa" w:w="16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Shift handoff</w:t>
            </w:r>
          </w:p>
        </w:tc>
        <w:tc>
          <w:tcPr>
            <w:tcW w:type="dxa" w:w="49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One-tap auto-generated 90-sec audio + text handoff at end of shift, listing what changed and what's pending.</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Should</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mira-pipeline summarizer · TTS</w:t>
            </w:r>
          </w:p>
        </w:tc>
      </w:tr>
      <w:tr>
        <w:tc>
          <w:tcPr>
            <w:tcW w:type="dxa" w:w="7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F-11</w:t>
            </w:r>
          </w:p>
        </w:tc>
        <w:tc>
          <w:tcPr>
            <w:tcW w:type="dxa" w:w="16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Investigation mode</w:t>
            </w:r>
          </w:p>
        </w:tc>
        <w:tc>
          <w:tcPr>
            <w:tcW w:type="dxa" w:w="49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Time-boxed RCA project: auto-built evidence timeline, hypothesis tracker, signed PDF closeout pushed to Atlas CMMS.</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Should</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mira-cmms integration · pdf skill</w:t>
            </w:r>
          </w:p>
        </w:tc>
      </w:tr>
      <w:tr>
        <w:tc>
          <w:tcPr>
            <w:tcW w:type="dxa" w:w="7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F-12</w:t>
            </w:r>
          </w:p>
        </w:tc>
        <w:tc>
          <w:tcPr>
            <w:tcW w:type="dxa" w:w="16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Free → Crew → Plant tier upgrade</w:t>
            </w:r>
          </w:p>
        </w:tc>
        <w:tc>
          <w:tcPr>
            <w:tcW w:type="dxa" w:w="49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Asset count, seat count, sensor-stream count gate the upgrade. In-product nudges trigger at 80% of tier limit.</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Should</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mira-web (PLG funnel)</w:t>
            </w:r>
          </w:p>
        </w:tc>
      </w:tr>
      <w:tr>
        <w:tc>
          <w:tcPr>
            <w:tcW w:type="dxa" w:w="7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F-13</w:t>
            </w:r>
          </w:p>
        </w:tc>
        <w:tc>
          <w:tcPr>
            <w:tcW w:type="dxa" w:w="16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Audit export</w:t>
            </w:r>
          </w:p>
        </w:tc>
        <w:tc>
          <w:tcPr>
            <w:tcW w:type="dxa" w:w="49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Plant + Enterprise tiers can export a date-ranged immutable PDF audit log of every Q&amp;A and every safety interrupt for compliance / insurance use.</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Could</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NeonDB · pdf skill</w:t>
            </w:r>
          </w:p>
        </w:tc>
      </w:tr>
      <w:tr>
        <w:tc>
          <w:tcPr>
            <w:tcW w:type="dxa" w:w="7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F-14</w:t>
            </w:r>
          </w:p>
        </w:tc>
        <w:tc>
          <w:tcPr>
            <w:tcW w:type="dxa" w:w="16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Mobile-first interaction model</w:t>
            </w:r>
          </w:p>
        </w:tc>
        <w:tc>
          <w:tcPr>
            <w:tcW w:type="dxa" w:w="49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Primary actions in bottom 40% of screen, 56×44pt min tap targets, sun-readable mode toggle, 80 dB voice intake.</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Must</w:t>
            </w:r>
          </w:p>
        </w:tc>
        <w:tc>
          <w:tcPr>
            <w:tcW w:type="dxa" w:w="10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mira-web (mobile views) · mira-bots Telegram/Slack mobile flows</w:t>
            </w:r>
          </w:p>
        </w:tc>
      </w:tr>
      <w:tr>
        <w:tc>
          <w:tcPr>
            <w:tcW w:type="dxa" w:w="7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F-15</w:t>
            </w:r>
          </w:p>
        </w:tc>
        <w:tc>
          <w:tcPr>
            <w:tcW w:type="dxa" w:w="16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On-prem / offline option</w:t>
            </w:r>
          </w:p>
        </w:tc>
        <w:tc>
          <w:tcPr>
            <w:tcW w:type="dxa" w:w="49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Plant + Enterprise can deploy MIRA Projects against the local cascade (qwen2.5vl + Open WebUI) when WAN is down. Files stay on plant network.</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Could</w:t>
            </w:r>
          </w:p>
        </w:tc>
        <w:tc>
          <w:tcPr>
            <w:tcW w:type="dxa" w:w="10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INFERENCE_BACKEND=local</w:t>
            </w:r>
          </w:p>
        </w:tc>
      </w:tr>
    </w:tbl>
    <w:p>
      <w:r>
        <w:br w:type="page"/>
      </w:r>
    </w:p>
    <w:p>
      <w:pPr>
        <w:pStyle w:val="Heading1"/>
        <w:spacing w:after="180" w:before="360"/>
      </w:pPr>
      <w:r>
        <w:rPr>
          <w:b/>
          <w:bCs/>
          <w:color w:val="1B365D"/>
          <w:sz w:val="36"/>
          <w:szCs w:val="36"/>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Latency</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Cited answer &lt; 4s p50, &lt; 8s p95 from question to first source chip rendered. Voice intake to text &lt; 1s p95.</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b/>
                <w:bCs/>
                <w:sz w:val="18"/>
                <w:szCs w:val="18"/>
              </w:rPr>
              <w:t xml:space="preserve">Mobile</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sz w:val="18"/>
                <w:szCs w:val="18"/>
              </w:rPr>
              <w:t xml:space="preserve">Works on iOS 16+, Android 12+, and progressive web app. Sun-readable mode reduces text contrast use of color and increases stroke weight.</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Offline</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Plant + Enterprise tiers degrade gracefully when WAN is down: cascade falls through to local Open WebUI + qwen2.5vl. File reads continue from local cache.</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b/>
                <w:bCs/>
                <w:sz w:val="18"/>
                <w:szCs w:val="18"/>
              </w:rPr>
              <w:t xml:space="preserve">Security</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sz w:val="18"/>
                <w:szCs w:val="18"/>
              </w:rPr>
              <w:t xml:space="preserve">Per-project ACL + tenant SSO + Doppler-managed secrets. No file leaves the tenant boundary unless the user enables OEM share. SOC 2 Type 1 by 2026-Q4.</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Compliance</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Immutable audit log for every Q&amp;A and every safety interrupt. Exportable as signed PDF (Plant+) for insurance and EHS use.</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b/>
                <w:bCs/>
                <w:sz w:val="18"/>
                <w:szCs w:val="18"/>
              </w:rPr>
              <w:t xml:space="preserve">Licensing</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sz w:val="18"/>
                <w:szCs w:val="18"/>
              </w:rPr>
              <w:t xml:space="preserve">All new dependencies Apache 2.0 or MIT. Realtime layer choice (F-9) must satisfy this constraint — see Open Decisions.</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Container model</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One service per project surface (project-api, project-realtime). Pinned versions, healthcheck, restart: unless-stopped — per existing security-boundaries.md.</w:t>
            </w:r>
          </w:p>
        </w:tc>
      </w:tr>
      <w:tr>
        <w:tc>
          <w:tcPr>
            <w:tcW w:type="dxa" w:w="24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b/>
                <w:bCs/>
                <w:sz w:val="18"/>
                <w:szCs w:val="18"/>
              </w:rPr>
              <w:t xml:space="preserve">PII / data sovereignty</w:t>
            </w:r>
          </w:p>
        </w:tc>
        <w:tc>
          <w:tcPr>
            <w:tcW w:type="dxa" w:w="696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tcPr>
          <w:p>
            <w:r>
              <w:rPr>
                <w:sz w:val="18"/>
                <w:szCs w:val="18"/>
              </w:rPr>
              <w:t xml:space="preserve">Reuse existing InferenceRouter.sanitize_context() to strip IPs/MACs/serials from any prompt that leaves the tenant.</w:t>
            </w:r>
          </w:p>
        </w:tc>
      </w:tr>
      <w:tr>
        <w:tc>
          <w:tcPr>
            <w:tcW w:type="dxa" w:w="240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Accessibility</w:t>
            </w:r>
          </w:p>
        </w:tc>
        <w:tc>
          <w:tcPr>
            <w:tcW w:type="dxa" w:w="69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sz w:val="18"/>
                <w:szCs w:val="18"/>
              </w:rPr>
              <w:t xml:space="preserve">WCAG 2.1 AA on the web. Voice flows usable with no visual feedback (eyes-on-the-machine work).</w:t>
            </w:r>
          </w:p>
        </w:tc>
      </w:tr>
    </w:tbl>
    <w:p>
      <w:pPr>
        <w:pStyle w:val="Heading1"/>
        <w:spacing w:after="180" w:before="360"/>
      </w:pPr>
      <w:r>
        <w:rPr>
          <w:b/>
          <w:bCs/>
          <w:color w:val="1B365D"/>
          <w:sz w:val="36"/>
          <w:szCs w:val="36"/>
        </w:rPr>
        <w:t xml:space="preserve">7. Architecture &amp; Module Dependencies</w:t>
      </w:r>
    </w:p>
    <w:p>
      <w:pPr>
        <w:spacing w:after="80" w:before="80" w:line="300"/>
      </w:pPr>
      <w:r>
        <w:t xml:space="preserve">MIRA Projects is a thin coordination layer over existing MIRA modules. It introduces one new schema family in NeonDB, three new mira-mcp tools, one new realtime service, and small additions to mira-pipeline (citation rendering) and mira-web (PLG tier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4160"/>
        <w:gridCol w:w="3120"/>
      </w:tblGrid>
      <w:tr>
        <w:tc>
          <w:tcPr>
            <w:tcW w:type="dxa" w:w="208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Module</w:t>
            </w:r>
          </w:p>
        </w:tc>
        <w:tc>
          <w:tcPr>
            <w:tcW w:type="dxa" w:w="416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Today's role</w:t>
            </w:r>
          </w:p>
        </w:tc>
        <w:tc>
          <w:tcPr>
            <w:tcW w:type="dxa" w:w="312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Change required</w:t>
            </w:r>
          </w:p>
        </w:tc>
      </w:tr>
      <w:tr>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mira-mcp</w:t>
            </w:r>
          </w:p>
        </w:tc>
        <w:tc>
          <w:tcPr>
            <w:tcW w:type="dxa" w:w="4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Equipment diagnostic tools, NeonDB recall, sensor read tools</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New tool: project_query, file_state, sensor_window</w:t>
            </w:r>
          </w:p>
        </w:tc>
      </w:tr>
      <w:tr>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mira-pipeline</w:t>
            </w:r>
          </w:p>
        </w:tc>
        <w:tc>
          <w:tcPr>
            <w:tcW w:type="dxa" w:w="41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GSDEngine wrapper that calls Anthropic API with project context</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Add project_id scope param + citation rendering</w:t>
            </w:r>
          </w:p>
        </w:tc>
      </w:tr>
      <w:tr>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mira-cmms (Atlas)</w:t>
            </w:r>
          </w:p>
        </w:tc>
        <w:tc>
          <w:tcPr>
            <w:tcW w:type="dxa" w:w="4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Asset registry, work orders, PM schedule</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Project = asset record join. Push RCA closeout WO.</w:t>
            </w:r>
          </w:p>
        </w:tc>
      </w:tr>
      <w:tr>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mira-crawler</w:t>
            </w:r>
          </w:p>
        </w:tc>
        <w:tc>
          <w:tcPr>
            <w:tcW w:type="dxa" w:w="41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KB ingest + manual chunker</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Reuse for project doc shelf. Add supersession schema.</w:t>
            </w:r>
          </w:p>
        </w:tc>
      </w:tr>
      <w:tr>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mira-ingest</w:t>
            </w:r>
          </w:p>
        </w:tc>
        <w:tc>
          <w:tcPr>
            <w:tcW w:type="dxa" w:w="4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Photo + PDF pipeline</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Add file_state badge + tap-to-rescan endpoint</w:t>
            </w:r>
          </w:p>
        </w:tc>
      </w:tr>
      <w:tr>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mira-web</w:t>
            </w:r>
          </w:p>
        </w:tc>
        <w:tc>
          <w:tcPr>
            <w:tcW w:type="dxa" w:w="41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PLG funnel, Stripe</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Add Projects pricing tier UI + upgrade nudges</w:t>
            </w:r>
          </w:p>
        </w:tc>
      </w:tr>
      <w:tr>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mira-bots/shared/guardrails</w:t>
            </w:r>
          </w:p>
        </w:tc>
        <w:tc>
          <w:tcPr>
            <w:tcW w:type="dxa" w:w="4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Safety keywords + intent classifier</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Wire SAFETY_KEYWORDS into Project answer pipeline</w:t>
            </w:r>
          </w:p>
        </w:tc>
      </w:tr>
      <w:tr>
        <w:tc>
          <w:tcPr>
            <w:tcW w:type="dxa" w:w="208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NeonDB</w:t>
            </w:r>
          </w:p>
        </w:tc>
        <w:tc>
          <w:tcPr>
            <w:tcW w:type="dxa" w:w="416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Schema</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New tables: projects, project_files, project_revisions, project_streams, project_chats, project_acks</w:t>
            </w:r>
          </w:p>
        </w:tc>
      </w:tr>
      <w:tr>
        <w:tc>
          <w:tcPr>
            <w:tcW w:type="dxa" w:w="208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New: realtime layer</w:t>
            </w:r>
          </w:p>
        </w:tc>
        <w:tc>
          <w:tcPr>
            <w:tcW w:type="dxa" w:w="416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Presence, comments, @-mention</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Recommend Phoenix Channels (Apache 2.0) over commercial Liveblocks. Decision needed.</w:t>
            </w:r>
          </w:p>
        </w:tc>
      </w:tr>
    </w:tbl>
    <w:p>
      <w:pPr>
        <w:pStyle w:val="Heading3"/>
        <w:spacing w:after="100" w:before="200"/>
      </w:pPr>
      <w:r>
        <w:rPr>
          <w:b/>
          <w:bCs/>
          <w:color w:val="C9531C"/>
          <w:sz w:val="22"/>
          <w:szCs w:val="22"/>
        </w:rPr>
        <w:t xml:space="preserve">Data model (NeonDB — abridged)</w:t>
      </w:r>
    </w:p>
    <w:p>
      <w:pPr>
        <w:spacing w:after="80" w:before="80" w:line="300"/>
      </w:pPr>
      <w:r>
        <w:t xml:space="preserve">New tables: projects, project_assets, project_files, project_revisions (file supersession), project_streams (sensor pins), project_chats, project_messages, project_citations, project_acks (safety acknowledgments), project_members. All scoped by tenant_id. file_state enum: indexed | partial | failed | superseded | stale.</w:t>
      </w:r>
    </w:p>
    <w:p>
      <w:r>
        <w:br w:type="page"/>
      </w:r>
    </w:p>
    <w:p>
      <w:pPr>
        <w:pStyle w:val="Heading1"/>
        <w:spacing w:after="180" w:before="360"/>
      </w:pPr>
      <w:r>
        <w:rPr>
          <w:b/>
          <w:bCs/>
          <w:color w:val="1B365D"/>
          <w:sz w:val="36"/>
          <w:szCs w:val="36"/>
        </w:rPr>
        <w:t xml:space="preserve">8. Success Metrics</w:t>
      </w:r>
    </w:p>
    <w:p>
      <w:pPr>
        <w:spacing w:after="80" w:before="80" w:line="300"/>
      </w:pPr>
      <w:r>
        <w:t xml:space="preserve">Quantitative targets at 90 days post-GA, measured per tenant and rolled up. We instrument from day one — no metric is added retroactively.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Metric</w:t>
            </w:r>
          </w:p>
        </w:tc>
        <w:tc>
          <w:tcPr>
            <w:tcW w:type="dxa" w:w="312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Why it matters</w:t>
            </w:r>
          </w:p>
        </w:tc>
        <w:tc>
          <w:tcPr>
            <w:tcW w:type="dxa" w:w="3120"/>
            <w:tcBorders>
              <w:top w:val="single" w:color="D0D5DD" w:sz="4"/>
              <w:left w:val="single" w:color="D0D5DD" w:sz="4"/>
              <w:bottom w:val="single" w:color="D0D5DD" w:sz="4"/>
              <w:right w:val="single" w:color="D0D5DD" w:sz="4"/>
            </w:tcBorders>
            <w:shd w:fill="1B365D" w:val="clear"/>
            <w:tcMar>
              <w:top w:type="dxa" w:w="100"/>
              <w:left w:type="dxa" w:w="120"/>
              <w:bottom w:type="dxa" w:w="100"/>
              <w:right w:type="dxa" w:w="120"/>
            </w:tcMar>
          </w:tcPr>
          <w:p>
            <w:r>
              <w:rPr>
                <w:b/>
                <w:bCs/>
                <w:color w:val="FFFFFF"/>
                <w:sz w:val="18"/>
                <w:szCs w:val="18"/>
              </w:rPr>
              <w:t xml:space="preserve">Target</w:t>
            </w:r>
          </w:p>
        </w:tc>
      </w:tr>
      <w:tr>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Activation: project created in first session</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Plug-it-in test — we want the wedge</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 70%</w:t>
            </w:r>
          </w:p>
        </w:tc>
      </w:tr>
      <w:tr>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Time-to-first-cited-answer</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Trust forms here</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&lt; 90 seconds</w:t>
            </w:r>
          </w:p>
        </w:tc>
      </w:tr>
      <w:tr>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7-day active project rate</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Real workflow, not a try</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 40%</w:t>
            </w:r>
          </w:p>
        </w:tc>
      </w:tr>
      <w:tr>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Projects with &gt;1 contributor by week 4</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Crew tier conversion driver</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 25%</w:t>
            </w:r>
          </w:p>
        </w:tc>
      </w:tr>
      <w:tr>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Projects with sensor stream attached</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Plant tier conversion driver</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 15%</w:t>
            </w:r>
          </w:p>
        </w:tc>
      </w:tr>
      <w:tr>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Safety-interrupt acknowledgment rate</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Trust + safety — must be high</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 95%</w:t>
            </w:r>
          </w:p>
        </w:tc>
      </w:tr>
      <w:tr>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NPS at 30 days, paying customers</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Differentiation signal</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 50</w:t>
            </w:r>
          </w:p>
        </w:tc>
      </w:tr>
      <w:tr>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Free → Crew conversion</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Business model proof</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 8% by month 3</w:t>
            </w:r>
          </w:p>
        </w:tc>
      </w:tr>
      <w:tr>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bCs/>
                <w:sz w:val="18"/>
                <w:szCs w:val="18"/>
              </w:rPr>
              <w:t xml:space="preserve">Crew → Plant conversion</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Expansion proof</w:t>
            </w:r>
          </w:p>
        </w:tc>
        <w:tc>
          <w:tcPr>
            <w:tcW w:type="dxa" w:w="3120"/>
            <w:tcBorders>
              <w:top w:val="single" w:color="D0D5DD" w:sz="4"/>
              <w:left w:val="single" w:color="D0D5DD" w:sz="4"/>
              <w:bottom w:val="single" w:color="D0D5DD" w:sz="4"/>
              <w:right w:val="single" w:color="D0D5DD" w:sz="4"/>
            </w:tcBorders>
            <w:shd w:fill="F2F4F7" w:val="clear"/>
            <w:tcMar>
              <w:top w:type="dxa" w:w="80"/>
              <w:left w:type="dxa" w:w="120"/>
              <w:bottom w:type="dxa" w:w="80"/>
              <w:right w:type="dxa" w:w="120"/>
            </w:tcMar>
          </w:tcPr>
          <w:p>
            <w:r>
              <w:rPr>
                <w:b w:val="false"/>
                <w:bCs w:val="false"/>
                <w:sz w:val="18"/>
                <w:szCs w:val="18"/>
              </w:rPr>
              <w:t xml:space="preserve">≥ 20% by month 6</w:t>
            </w:r>
          </w:p>
        </w:tc>
      </w:tr>
      <w:tr>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bCs/>
                <w:sz w:val="18"/>
                <w:szCs w:val="18"/>
              </w:rPr>
              <w:t xml:space="preserve">Logo-level retention at 12 months</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Lifetime value</w:t>
            </w:r>
          </w:p>
        </w:tc>
        <w:tc>
          <w:tcPr>
            <w:tcW w:type="dxa" w:w="3120"/>
            <w:tcBorders>
              <w:top w:val="single" w:color="D0D5DD" w:sz="4"/>
              <w:left w:val="single" w:color="D0D5DD" w:sz="4"/>
              <w:bottom w:val="single" w:color="D0D5DD" w:sz="4"/>
              <w:right w:val="single" w:color="D0D5DD" w:sz="4"/>
            </w:tcBorders>
            <w:tcMar>
              <w:top w:type="dxa" w:w="80"/>
              <w:left w:type="dxa" w:w="120"/>
              <w:bottom w:type="dxa" w:w="80"/>
              <w:right w:type="dxa" w:w="120"/>
            </w:tcMar>
          </w:tcPr>
          <w:p>
            <w:r>
              <w:rPr>
                <w:b w:val="false"/>
                <w:bCs w:val="false"/>
                <w:sz w:val="18"/>
                <w:szCs w:val="18"/>
              </w:rPr>
              <w:t xml:space="preserve">≥ 90%</w:t>
            </w:r>
          </w:p>
        </w:tc>
      </w:tr>
    </w:tbl>
    <w:p>
      <w:pPr>
        <w:pStyle w:val="Heading3"/>
        <w:spacing w:after="100" w:before="200"/>
      </w:pPr>
      <w:r>
        <w:rPr>
          <w:b/>
          <w:bCs/>
          <w:color w:val="C9531C"/>
          <w:sz w:val="22"/>
          <w:szCs w:val="22"/>
        </w:rPr>
        <w:t xml:space="preserve">Qualitative signals</w:t>
      </w:r>
    </w:p>
    <w:p>
      <w:pPr>
        <w:pStyle w:val="ListParagraph"/>
        <w:numPr>
          <w:ilvl w:val="0"/>
          <w:numId w:val="2"/>
        </w:numPr>
        <w:spacing w:after="30" w:before="30" w:line="280"/>
      </w:pPr>
      <w:r>
        <w:t xml:space="preserve">Customers tell other customers about file-state badges, the safety STOP card, or the citation chips — unprompted.</w:t>
      </w:r>
    </w:p>
    <w:p>
      <w:pPr>
        <w:pStyle w:val="ListParagraph"/>
        <w:numPr>
          <w:ilvl w:val="0"/>
          <w:numId w:val="2"/>
        </w:numPr>
        <w:spacing w:after="30" w:before="30" w:line="280"/>
      </w:pPr>
      <w:r>
        <w:t xml:space="preserve">“Your AI didn't lose my file” appears in customer testimonials within 60 days of launch.</w:t>
      </w:r>
    </w:p>
    <w:p>
      <w:pPr>
        <w:pStyle w:val="ListParagraph"/>
        <w:numPr>
          <w:ilvl w:val="0"/>
          <w:numId w:val="2"/>
        </w:numPr>
        <w:spacing w:after="30" w:before="30" w:line="280"/>
      </w:pPr>
      <w:r>
        <w:t xml:space="preserve">OEMs proactively ask to be “MIRA-ready” — distribution channel proof.</w:t>
      </w:r>
    </w:p>
    <w:p>
      <w:pPr>
        <w:pStyle w:val="Heading1"/>
        <w:spacing w:after="180" w:before="360"/>
      </w:pPr>
      <w:r>
        <w:rPr>
          <w:b/>
          <w:bCs/>
          <w:color w:val="1B365D"/>
          <w:sz w:val="36"/>
          <w:szCs w:val="36"/>
        </w:rPr>
        <w:t xml:space="preserve">9. Phasing</w:t>
      </w:r>
    </w:p>
    <w:p>
      <w:pPr>
        <w:pStyle w:val="Heading3"/>
        <w:spacing w:after="100" w:before="200"/>
      </w:pPr>
      <w:r>
        <w:rPr>
          <w:b/>
          <w:bCs/>
          <w:color w:val="C9531C"/>
          <w:sz w:val="22"/>
          <w:szCs w:val="22"/>
        </w:rPr>
        <w:t xml:space="preserve">Phase 1 — Asset Page (v1) — Days 0–30</w:t>
      </w:r>
    </w:p>
    <w:p>
      <w:pPr>
        <w:pStyle w:val="ListParagraph"/>
        <w:numPr>
          <w:ilvl w:val="0"/>
          <w:numId w:val="2"/>
        </w:numPr>
        <w:spacing w:after="30" w:before="30" w:line="280"/>
      </w:pPr>
      <w:r>
        <w:t xml:space="preserve">F-1, F-2, F-3, F-4, F-5, F-6, F-7, F-14, F-15.</w:t>
      </w:r>
    </w:p>
    <w:p>
      <w:pPr>
        <w:pStyle w:val="ListParagraph"/>
        <w:numPr>
          <w:ilvl w:val="0"/>
          <w:numId w:val="2"/>
        </w:numPr>
        <w:spacing w:after="30" w:before="30" w:line="280"/>
      </w:pPr>
      <w:r>
        <w:t xml:space="preserve">Two engineers + one design contractor. Pilot plant uses it daily by day 25.</w:t>
      </w:r>
    </w:p>
    <w:p>
      <w:pPr>
        <w:pStyle w:val="ListParagraph"/>
        <w:numPr>
          <w:ilvl w:val="0"/>
          <w:numId w:val="2"/>
        </w:numPr>
        <w:spacing w:after="30" w:before="30" w:line="280"/>
      </w:pPr>
      <w:r>
        <w:t xml:space="preserve">Exit criteria: pilot plant logs &gt;5 cited answers per tech per shift for 7 consecutive days.</w:t>
      </w:r>
    </w:p>
    <w:p>
      <w:pPr>
        <w:pStyle w:val="Heading3"/>
        <w:spacing w:after="100" w:before="200"/>
      </w:pPr>
      <w:r>
        <w:rPr>
          <w:b/>
          <w:bCs/>
          <w:color w:val="C9531C"/>
          <w:sz w:val="22"/>
          <w:szCs w:val="22"/>
        </w:rPr>
        <w:t xml:space="preserve">Phase 2 — Crew Workspace — Days 31–60</w:t>
      </w:r>
    </w:p>
    <w:p>
      <w:pPr>
        <w:pStyle w:val="ListParagraph"/>
        <w:numPr>
          <w:ilvl w:val="0"/>
          <w:numId w:val="2"/>
        </w:numPr>
        <w:spacing w:after="30" w:before="30" w:line="280"/>
      </w:pPr>
      <w:r>
        <w:t xml:space="preserve">F-9, F-10, F-12. Add presence, comments, @-mention, audio handoff.</w:t>
      </w:r>
    </w:p>
    <w:p>
      <w:pPr>
        <w:pStyle w:val="ListParagraph"/>
        <w:numPr>
          <w:ilvl w:val="0"/>
          <w:numId w:val="2"/>
        </w:numPr>
        <w:spacing w:after="30" w:before="30" w:line="280"/>
      </w:pPr>
      <w:r>
        <w:t xml:space="preserve">Exit criteria: &gt;50% of pilot plant’s techs in a project simultaneously at shift change at least 3 days a week.</w:t>
      </w:r>
    </w:p>
    <w:p>
      <w:pPr>
        <w:pStyle w:val="Heading3"/>
        <w:spacing w:after="100" w:before="200"/>
      </w:pPr>
      <w:r>
        <w:rPr>
          <w:b/>
          <w:bCs/>
          <w:color w:val="C9531C"/>
          <w:sz w:val="22"/>
          <w:szCs w:val="22"/>
        </w:rPr>
        <w:t xml:space="preserve">Phase 3 — Investigation — Days 61–90</w:t>
      </w:r>
    </w:p>
    <w:p>
      <w:pPr>
        <w:pStyle w:val="ListParagraph"/>
        <w:numPr>
          <w:ilvl w:val="0"/>
          <w:numId w:val="2"/>
        </w:numPr>
        <w:spacing w:after="30" w:before="30" w:line="280"/>
      </w:pPr>
      <w:r>
        <w:t xml:space="preserve">F-8, F-11, F-13. Add photo overlay, RCA timeline + signed PDF, audit export.</w:t>
      </w:r>
    </w:p>
    <w:p>
      <w:pPr>
        <w:pStyle w:val="ListParagraph"/>
        <w:numPr>
          <w:ilvl w:val="0"/>
          <w:numId w:val="2"/>
        </w:numPr>
        <w:spacing w:after="30" w:before="30" w:line="280"/>
      </w:pPr>
      <w:r>
        <w:t xml:space="preserve">Exit criteria: pilot plant uses Investigation for at least one P1 incident with the AI report accepted by insurance.</w:t>
      </w:r>
    </w:p>
    <w:p>
      <w:pPr>
        <w:pStyle w:val="Heading1"/>
        <w:spacing w:after="180" w:before="360"/>
      </w:pPr>
      <w:r>
        <w:rPr>
          <w:b/>
          <w:bCs/>
          <w:color w:val="1B365D"/>
          <w:sz w:val="36"/>
          <w:szCs w:val="36"/>
        </w:rPr>
        <w:t xml:space="preserve">10. Risks &amp; Mitigations</w:t>
      </w:r>
    </w:p>
    <w:p>
      <w:pPr>
        <w:pStyle w:val="ListParagraph"/>
        <w:numPr>
          <w:ilvl w:val="0"/>
          <w:numId w:val="2"/>
        </w:numPr>
        <w:spacing w:after="30" w:before="30" w:line="280"/>
      </w:pPr>
      <w:r>
        <w:rPr>
          <w:b/>
          <w:bCs/>
        </w:rPr>
        <w:t xml:space="preserve">R-1 — Citation accuracy. </w:t>
      </w:r>
      <w:r>
        <w:t xml:space="preserve">Risk: AI cites the wrong page. Mitigation: every cite renders the actual highlighted region; user can flag and we use that as eval data. Hard target: &lt; 2% mis-cite rate measured weekly.</w:t>
      </w:r>
    </w:p>
    <w:p>
      <w:pPr>
        <w:pStyle w:val="ListParagraph"/>
        <w:numPr>
          <w:ilvl w:val="0"/>
          <w:numId w:val="2"/>
        </w:numPr>
        <w:spacing w:after="30" w:before="30" w:line="280"/>
      </w:pPr>
      <w:r>
        <w:rPr>
          <w:b/>
          <w:bCs/>
        </w:rPr>
        <w:t xml:space="preserve">R-2 — Realtime layer license. </w:t>
      </w:r>
      <w:r>
        <w:t xml:space="preserve">Risk: chosen realtime stack violates Apache/MIT constraint. Mitigation: pre-flight Phoenix Channels and Yjs against license + ops complexity before any code. Decision in week 1.</w:t>
      </w:r>
    </w:p>
    <w:p>
      <w:pPr>
        <w:pStyle w:val="ListParagraph"/>
        <w:numPr>
          <w:ilvl w:val="0"/>
          <w:numId w:val="2"/>
        </w:numPr>
        <w:spacing w:after="30" w:before="30" w:line="280"/>
      </w:pPr>
      <w:r>
        <w:rPr>
          <w:b/>
          <w:bCs/>
        </w:rPr>
        <w:t xml:space="preserve">R-3 — Sensor stream complexity. </w:t>
      </w:r>
      <w:r>
        <w:t xml:space="preserve">Risk: pinning live tags introduces sprawling integration with SCADA/Ignition. Mitigation: v1 only consumes data we are already ingesting via mira-relay. No new connectors in v1.</w:t>
      </w:r>
    </w:p>
    <w:p>
      <w:pPr>
        <w:pStyle w:val="ListParagraph"/>
        <w:numPr>
          <w:ilvl w:val="0"/>
          <w:numId w:val="2"/>
        </w:numPr>
        <w:spacing w:after="30" w:before="30" w:line="280"/>
      </w:pPr>
      <w:r>
        <w:rPr>
          <w:b/>
          <w:bCs/>
        </w:rPr>
        <w:t xml:space="preserve">R-4 — Safety interrupt fatigue. </w:t>
      </w:r>
      <w:r>
        <w:t xml:space="preserve">Risk: too-frequent STOP cards train users to dismiss. Mitigation: keyword list curated weekly; track ack-rate vs. dismissal-rate; tune thresholds.</w:t>
      </w:r>
    </w:p>
    <w:p>
      <w:pPr>
        <w:pStyle w:val="ListParagraph"/>
        <w:numPr>
          <w:ilvl w:val="0"/>
          <w:numId w:val="2"/>
        </w:numPr>
        <w:spacing w:after="30" w:before="30" w:line="280"/>
      </w:pPr>
      <w:r>
        <w:rPr>
          <w:b/>
          <w:bCs/>
        </w:rPr>
        <w:t xml:space="preserve">R-5 — Mobile design debt. </w:t>
      </w:r>
      <w:r>
        <w:t xml:space="preserve">Risk: building tablet-first then mobile-second produces a cramped phone view. Mitigation: design every screen on a phone first, prove it, then scale up. Sun-readable mode is a checkpoint, not an afterthought.</w:t>
      </w:r>
    </w:p>
    <w:p>
      <w:pPr>
        <w:pStyle w:val="Heading1"/>
        <w:spacing w:after="180" w:before="360"/>
      </w:pPr>
      <w:r>
        <w:rPr>
          <w:b/>
          <w:bCs/>
          <w:color w:val="1B365D"/>
          <w:sz w:val="36"/>
          <w:szCs w:val="36"/>
        </w:rPr>
        <w:t xml:space="preserve">11. Open Decisions</w:t>
      </w:r>
    </w:p>
    <w:p>
      <w:pPr>
        <w:pStyle w:val="ListParagraph"/>
        <w:numPr>
          <w:ilvl w:val="0"/>
          <w:numId w:val="2"/>
        </w:numPr>
        <w:spacing w:after="30" w:before="30" w:line="280"/>
      </w:pPr>
      <w:r>
        <w:rPr>
          <w:b/>
          <w:bCs/>
        </w:rPr>
        <w:t xml:space="preserve">D-1 — Realtime stack. </w:t>
      </w:r>
      <w:r>
        <w:t xml:space="preserve">Phoenix Channels (Apache 2.0, ops cost) vs. Yjs+websocket (MIT, complexity in conflict resolution) vs. Liveblocks (commercial, fastest, license-incompatible). Decision by 2026-04-29.</w:t>
      </w:r>
    </w:p>
    <w:p>
      <w:pPr>
        <w:pStyle w:val="ListParagraph"/>
        <w:numPr>
          <w:ilvl w:val="0"/>
          <w:numId w:val="2"/>
        </w:numPr>
        <w:spacing w:after="30" w:before="30" w:line="280"/>
      </w:pPr>
      <w:r>
        <w:rPr>
          <w:b/>
          <w:bCs/>
        </w:rPr>
        <w:t xml:space="preserve">D-2 — Pricing. </w:t>
      </w:r>
      <w:r>
        <w:t xml:space="preserve">Memo proposes $0 / $39 seat / $899+$19 / custom. Validate with three pilot conversations before Phase 1 ships.</w:t>
      </w:r>
    </w:p>
    <w:p>
      <w:pPr>
        <w:pStyle w:val="ListParagraph"/>
        <w:numPr>
          <w:ilvl w:val="0"/>
          <w:numId w:val="2"/>
        </w:numPr>
        <w:spacing w:after="30" w:before="30" w:line="280"/>
      </w:pPr>
      <w:r>
        <w:rPr>
          <w:b/>
          <w:bCs/>
        </w:rPr>
        <w:t xml:space="preserve">D-3 — OEM share model. </w:t>
      </w:r>
      <w:r>
        <w:t xml:space="preserve">Time-bounded magic link (no account) vs. lightweight OEM account on our side. Default to magic link unless an OEM partner asks otherwise.</w:t>
      </w:r>
    </w:p>
    <w:p>
      <w:pPr>
        <w:pStyle w:val="ListParagraph"/>
        <w:numPr>
          <w:ilvl w:val="0"/>
          <w:numId w:val="2"/>
        </w:numPr>
        <w:spacing w:after="30" w:before="30" w:line="280"/>
      </w:pPr>
      <w:r>
        <w:rPr>
          <w:b/>
          <w:bCs/>
        </w:rPr>
        <w:t xml:space="preserve">D-4 — Investigation closeout format. </w:t>
      </w:r>
      <w:r>
        <w:t xml:space="preserve">Push to Atlas CMMS as a structured WO closeout (preferred) vs. a PDF attachment (faster). v1 ships PDF; CMMS structured push in v1.1.</w:t>
      </w:r>
    </w:p>
    <w:p>
      <w:pPr>
        <w:pStyle w:val="Heading1"/>
        <w:spacing w:after="180" w:before="360"/>
      </w:pPr>
      <w:r>
        <w:rPr>
          <w:b/>
          <w:bCs/>
          <w:color w:val="1B365D"/>
          <w:sz w:val="36"/>
          <w:szCs w:val="36"/>
        </w:rPr>
        <w:t xml:space="preserve">12. Out of Scope (v1)</w:t>
      </w:r>
    </w:p>
    <w:p>
      <w:pPr>
        <w:pStyle w:val="ListParagraph"/>
        <w:numPr>
          <w:ilvl w:val="0"/>
          <w:numId w:val="2"/>
        </w:numPr>
        <w:spacing w:after="30" w:before="30" w:line="280"/>
      </w:pPr>
      <w:r>
        <w:t xml:space="preserve">Cross-tenant search or marketplace for shared project templates.</w:t>
      </w:r>
    </w:p>
    <w:p>
      <w:pPr>
        <w:pStyle w:val="ListParagraph"/>
        <w:numPr>
          <w:ilvl w:val="0"/>
          <w:numId w:val="2"/>
        </w:numPr>
        <w:spacing w:after="30" w:before="30" w:line="280"/>
      </w:pPr>
      <w:r>
        <w:t xml:space="preserve">Mobile native apps (web-first via PWA; native is a v2 decision).</w:t>
      </w:r>
    </w:p>
    <w:p>
      <w:pPr>
        <w:pStyle w:val="ListParagraph"/>
        <w:numPr>
          <w:ilvl w:val="0"/>
          <w:numId w:val="2"/>
        </w:numPr>
        <w:spacing w:after="30" w:before="30" w:line="280"/>
      </w:pPr>
      <w:r>
        <w:t xml:space="preserve">Multi-language UI (English only at v1; Spanish at v1.1 — high demand from pilot plant).</w:t>
      </w:r>
    </w:p>
    <w:p>
      <w:pPr>
        <w:pStyle w:val="ListParagraph"/>
        <w:numPr>
          <w:ilvl w:val="0"/>
          <w:numId w:val="2"/>
        </w:numPr>
        <w:spacing w:after="30" w:before="30" w:line="280"/>
      </w:pPr>
      <w:r>
        <w:t xml:space="preserve">AI-suggested PM schedule changes (read-only on PM data at v1).</w:t>
      </w:r>
    </w:p>
    <w:p>
      <w:pPr>
        <w:pStyle w:val="ListParagraph"/>
        <w:numPr>
          <w:ilvl w:val="0"/>
          <w:numId w:val="2"/>
        </w:numPr>
        <w:spacing w:after="30" w:before="30" w:line="280"/>
      </w:pPr>
      <w:r>
        <w:t xml:space="preserve">Auto-ordering of spare parts (out of scope until OEM partnerships mature).</w:t>
      </w:r>
    </w:p>
    <w:p>
      <w:pPr>
        <w:pStyle w:val="Heading1"/>
        <w:spacing w:after="180" w:before="360"/>
      </w:pPr>
      <w:r>
        <w:rPr>
          <w:b/>
          <w:bCs/>
          <w:color w:val="1B365D"/>
          <w:sz w:val="36"/>
          <w:szCs w:val="36"/>
        </w:rPr>
        <w:t xml:space="preserve">13. Related Documents</w:t>
      </w:r>
    </w:p>
    <w:p>
      <w:pPr>
        <w:pStyle w:val="ListParagraph"/>
        <w:numPr>
          <w:ilvl w:val="0"/>
          <w:numId w:val="2"/>
        </w:numPr>
        <w:spacing w:after="30" w:before="30" w:line="280"/>
      </w:pPr>
      <w:r>
        <w:rPr>
          <w:b/>
          <w:bCs/>
        </w:rPr>
        <w:t xml:space="preserve">Strategy memo: </w:t>
      </w:r>
      <w:r>
        <w:t xml:space="preserve">docs/proposals/MIRA-Projects-Strategy-Memo.docx — customer-facing positioning, competitor pain, GTM.</w:t>
      </w:r>
    </w:p>
    <w:p>
      <w:pPr>
        <w:pStyle w:val="ListParagraph"/>
        <w:numPr>
          <w:ilvl w:val="0"/>
          <w:numId w:val="2"/>
        </w:numPr>
        <w:spacing w:after="30" w:before="30" w:line="280"/>
      </w:pPr>
      <w:r>
        <w:rPr>
          <w:b/>
          <w:bCs/>
        </w:rPr>
        <w:t xml:space="preserve">Interactive prototype: </w:t>
      </w:r>
      <w:r>
        <w:t xml:space="preserve">docs/proposals/MIRA-Projects-Prototype.html — three UX directions in one page.</w:t>
      </w:r>
    </w:p>
    <w:p>
      <w:pPr>
        <w:pStyle w:val="ListParagraph"/>
        <w:numPr>
          <w:ilvl w:val="0"/>
          <w:numId w:val="2"/>
        </w:numPr>
        <w:spacing w:after="30" w:before="30" w:line="280"/>
      </w:pPr>
      <w:r>
        <w:rPr>
          <w:b/>
          <w:bCs/>
        </w:rPr>
        <w:t xml:space="preserve">Existing PRD: </w:t>
      </w:r>
      <w:r>
        <w:t xml:space="preserve">docs/PRD_v1.0.md — MIRA platform PRD, Config tier definitions.</w:t>
      </w:r>
    </w:p>
    <w:p>
      <w:pPr>
        <w:pStyle w:val="ListParagraph"/>
        <w:numPr>
          <w:ilvl w:val="0"/>
          <w:numId w:val="2"/>
        </w:numPr>
        <w:spacing w:after="30" w:before="30" w:line="280"/>
      </w:pPr>
      <w:r>
        <w:rPr>
          <w:b/>
          <w:bCs/>
        </w:rPr>
        <w:t xml:space="preserve">Active 90-day plan: </w:t>
      </w:r>
      <w:r>
        <w:t xml:space="preserve">docs/plans/2026-04-19-mira-90-day-mvp.md — must reconcile in-flight work before Phase 1 starts.</w:t>
      </w:r>
    </w:p>
    <w:p>
      <w:pPr>
        <w:pStyle w:val="ListParagraph"/>
        <w:numPr>
          <w:ilvl w:val="0"/>
          <w:numId w:val="2"/>
        </w:numPr>
        <w:spacing w:after="30" w:before="30" w:line="280"/>
      </w:pPr>
      <w:r>
        <w:rPr>
          <w:b/>
          <w:bCs/>
        </w:rPr>
        <w:t xml:space="preserve">Customer interviews: </w:t>
      </w:r>
      <w:r>
        <w:t xml:space="preserve">docs/customer-interviews.md — morning report (#466) signal validates the Crew Workspace handoff feature.</w:t>
      </w:r>
    </w:p>
    <w:p>
      <w:pPr>
        <w:pStyle w:val="ListParagraph"/>
        <w:numPr>
          <w:ilvl w:val="0"/>
          <w:numId w:val="2"/>
        </w:numPr>
        <w:spacing w:after="30" w:before="30" w:line="280"/>
      </w:pPr>
      <w:r>
        <w:rPr>
          <w:b/>
          <w:bCs/>
        </w:rPr>
        <w:t xml:space="preserve">Coding rules: </w:t>
      </w:r>
      <w:r>
        <w:t xml:space="preserve">.claude/rules/python-standards.md, .claude/rules/security-boundaries.md.</w:t>
      </w:r>
    </w:p>
    <w:p>
      <w:pPr>
        <w:pBdr>
          <w:bottom w:val="single" w:color="1B365D" w:sz="6" w:space="4"/>
        </w:pBdr>
        <w:spacing w:after="80" w:before="80"/>
      </w:pPr>
      <w:r>
        <w:t xml:space="preserve"/>
      </w:r>
    </w:p>
    <w:p>
      <w:pPr>
        <w:spacing w:after="80" w:before="80" w:line="300"/>
      </w:pPr>
      <w:r>
        <w:rPr>
          <w:color w:val="5C6770"/>
        </w:rPr>
        <w:t xml:space="preserve">Document version: v1.0 · 2026-04-22 · FactoryLM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C6770"/>
        <w:sz w:val="16"/>
        <w:szCs w:val="16"/>
      </w:rPr>
      <w:t xml:space="preserve">FactoryLM · CONFIDENTIAL</w:t>
    </w:r>
    <w:r>
      <w:rPr>
        <w:color w:val="5C6770"/>
        <w:sz w:val="16"/>
        <w:szCs w:val="16"/>
      </w:rPr>
      <w:t xml:space="preserve">	Page </w:t>
    </w:r>
    <w:r>
      <w:rPr>
        <w:color w:val="5C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770"/>
        <w:sz w:val="16"/>
        <w:szCs w:val="16"/>
      </w:rPr>
      <w:t xml:space="preserve">MIRA Projects · PRD v1.0 · 2026-04-22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B365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C9531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2026-04-22T21:03:34.290Z</dcterms:created>
  <dcterms:modified xsi:type="dcterms:W3CDTF">2026-04-22T21:03:34.290Z</dcterms:modified>
</cp:coreProperties>
</file>

<file path=docProps/custom.xml><?xml version="1.0" encoding="utf-8"?>
<Properties xmlns="http://schemas.openxmlformats.org/officeDocument/2006/custom-properties" xmlns:vt="http://schemas.openxmlformats.org/officeDocument/2006/docPropsVTypes"/>
</file>