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C9531C"/>
          <w:sz w:val="18"/>
          <w:szCs w:val="18"/>
        </w:rPr>
        <w:t xml:space="preserve">STRATEGY MEMO</w:t>
      </w:r>
    </w:p>
    <w:p>
      <w:pPr>
        <w:spacing w:after="60" w:before="0"/>
      </w:pPr>
      <w:r>
        <w:rPr>
          <w:b/>
          <w:bCs/>
          <w:color w:val="1B365D"/>
          <w:sz w:val="56"/>
          <w:szCs w:val="56"/>
        </w:rPr>
        <w:t xml:space="preserve">MIRA Projects</w:t>
      </w:r>
    </w:p>
    <w:p>
      <w:pPr>
        <w:spacing w:after="240" w:before="0"/>
      </w:pPr>
      <w:r>
        <w:rPr>
          <w:i/>
          <w:iCs/>
          <w:color w:val="5C6770"/>
          <w:sz w:val="24"/>
          <w:szCs w:val="24"/>
        </w:rPr>
        <w:t xml:space="preserve">The workspace built for the people who keep plants running.</w:t>
      </w:r>
    </w:p>
    <w:p>
      <w:pPr>
        <w:pBdr>
          <w:bottom w:val="single" w:color="1B365D" w:sz="6" w:space="4"/>
        </w:pBdr>
        <w:spacing w:after="80" w:before="80"/>
      </w:pPr>
      <w:r>
        <w:t xml:space="preserve"/>
      </w:r>
    </w:p>
    <w:p>
      <w:pPr>
        <w:tabs>
          <w:tab w:val="right" w:pos="9026"/>
        </w:tabs>
        <w:spacing w:after="240" w:before="120"/>
      </w:pPr>
      <w:r>
        <w:rPr>
          <w:color w:val="5C6770"/>
          <w:sz w:val="18"/>
          <w:szCs w:val="18"/>
        </w:rPr>
        <w:t xml:space="preserve">Author: Mike Harper, FactoryLM   ·   Date: April 22, 2026</w:t>
      </w:r>
      <w:r>
        <w:rPr>
          <w:color w:val="5C6770"/>
          <w:sz w:val="18"/>
          <w:szCs w:val="18"/>
        </w:rPr>
        <w:t xml:space="preserve">	Audience: Customers, Sales, Partners</w:t>
      </w:r>
    </w:p>
    <w:p>
      <w:pPr>
        <w:pStyle w:val="Heading1"/>
        <w:spacing w:after="180" w:before="360"/>
      </w:pPr>
      <w:r>
        <w:rPr>
          <w:b/>
          <w:bCs/>
          <w:color w:val="1B365D"/>
          <w:sz w:val="36"/>
          <w:szCs w:val="36"/>
        </w:rPr>
        <w:t xml:space="preserve">Executive Summary</w:t>
      </w:r>
    </w:p>
    <w:p>
      <w:pPr>
        <w:spacing w:after="80" w:before="80" w:line="300"/>
      </w:pPr>
      <w:r>
        <w:t xml:space="preserve">Every consumer AI — ChatGPT, Claude, Grok, Perplexity, NotebookLM — has shipped a “projects” feature in the last eighteen months. None of them work for the people who actually fix machines. They are knowledge-worker tools dressed up in a chat box: silent file failures, no source citations, no version control, no sensor data, no safety guardrails, and a UX designed for a desk — not a noisy factory floor with gloves on.</w:t>
      </w:r>
    </w:p>
    <w:p>
      <w:pPr>
        <w:spacing w:after="80" w:before="80" w:line="300"/>
      </w:pPr>
      <w:r>
        <w:t xml:space="preserve">MIRA Projects fixes seven specific failures that the entire category shares, and adds three things none of them can: live sensor streams, photo-evidence overlays, and a safety interrupt on every answer that touches LOTO, arc flash, or confined-space work. We are not building a better notebook. We are building the operating layer for an industrial asset — the place where its manuals, its repair history, its sensor data, its photos, and the conversations about it all live and answer questions together, for twenty years, on a phone, with one tap.</w:t>
      </w:r>
    </w:p>
    <w:p>
      <w:pPr>
        <w:spacing w:after="80" w:before="80" w:line="300"/>
      </w:pPr>
      <w:r>
        <w:t xml:space="preserve">This memo is a sales-and-positioning argument first, a product blueprint second. The pitch we ship to plants is short: “Your competitors’ AI forgets your file by message ten. MIRA remembers your asset for its lifetime.”</w:t>
      </w:r>
    </w:p>
    <w:p>
      <w:pPr>
        <w:pStyle w:val="Heading1"/>
        <w:spacing w:after="180" w:before="360"/>
      </w:pPr>
      <w:r>
        <w:rPr>
          <w:b/>
          <w:bCs/>
          <w:color w:val="1B365D"/>
          <w:sz w:val="36"/>
          <w:szCs w:val="36"/>
        </w:rPr>
        <w:t xml:space="preserve">1. The Category Is Broken — We Have the Receipts</w:t>
      </w:r>
    </w:p>
    <w:p>
      <w:pPr>
        <w:spacing w:after="80" w:before="80" w:line="300"/>
      </w:pPr>
      <w:r>
        <w:t xml:space="preserve">We pulled customer complaints from Reddit, the OpenAI developer community, XDA Developers, the NotebookLM help forum, and seven other sources across the four largest AI “projects” products. The same seven problems appear in every product, with users now actively switching tools to escape them. Each is a wedge for MIRA.</w:t>
      </w:r>
    </w:p>
    <w:p>
      <w:pPr>
        <w:pStyle w:val="Heading2"/>
        <w:spacing w:after="140" w:before="280"/>
      </w:pPr>
      <w:r>
        <w:rPr>
          <w:b/>
          <w:bCs/>
          <w:color w:val="1B365D"/>
          <w:sz w:val="28"/>
          <w:szCs w:val="28"/>
        </w:rPr>
        <w:t xml:space="preserve">Failure #1 — The AI “forgets” the file mid-conversation</w:t>
      </w:r>
    </w:p>
    <w:p>
      <w:pPr>
        <w:spacing w:after="80" w:before="80" w:line="300"/>
      </w:pPr>
      <w:r>
        <w:t xml:space="preserve">Users upload a manual to a project, then watch the model invent section numbers and procedures by message fifteen. A widely-circulated GitHub issue from October 2025 documents project instructions being honored perfectly before context compaction and violated 100% of the time after. This is structural, not a bug — it is what every long-context model does when its window fills.</w:t>
      </w:r>
    </w:p>
    <w:p>
      <w:pPr>
        <w:pBdr>
          <w:left w:val="single" w:color="C9531C" w:sz="18" w:space="12"/>
        </w:pBdr>
        <w:spacing w:after="120" w:before="120" w:line="300"/>
        <w:ind w:left="360" w:right="360"/>
      </w:pPr>
      <w:r>
        <w:rPr>
          <w:i/>
          <w:iCs/>
          <w:color w:val="23303D"/>
          <w:sz w:val="22"/>
          <w:szCs w:val="22"/>
        </w:rPr>
        <w:t xml:space="preserve">“Claude told me our service interval is 500 hours. I have 12 PDFs in the project. Which one said that? No idea. Can’t trust it for compliance work.”</w:t>
      </w:r>
      <w:r>
        <w:rPr>
          <w:color w:val="5C6770"/>
          <w:sz w:val="18"/>
          <w:szCs w:val="18"/>
        </w:rPr>
        <w:t xml:space="preserve">  — r/ClaudeAI, paraphrased — recurring complaint pattern</w:t>
      </w:r>
    </w:p>
    <w:p>
      <w:pPr>
        <w:spacing w:after="80" w:before="80" w:line="300"/>
      </w:pPr>
      <w:r>
        <w:rPr>
          <w:b/>
          <w:bCs/>
          <w:color w:val="5C6770"/>
          <w:sz w:val="18"/>
          <w:szCs w:val="18"/>
        </w:rPr>
        <w:t xml:space="preserve">Sources: </w:t>
      </w:r>
      <w:hyperlink w:history="1" r:id="rIdg5i6i-rif9m_dglrt2chb">
        <w:r>
          <w:rPr>
            <w:color w:val="1F4E79"/>
            <w:u w:val="single"/>
          </w:rPr>
          <w:t xml:space="preserve">Claude Code Forgets Your Project (DEV)</w:t>
        </w:r>
      </w:hyperlink>
      <w:r>
        <w:rPr>
          <w:color w:val="5C6770"/>
          <w:sz w:val="18"/>
          <w:szCs w:val="18"/>
        </w:rPr>
        <w:t xml:space="preserve"> · </w:t>
      </w:r>
      <w:hyperlink w:history="1" r:id="rId-7qtxoadz_8ofbe39ykk2">
        <w:r>
          <w:rPr>
            <w:color w:val="1F4E79"/>
            <w:u w:val="single"/>
          </w:rPr>
          <w:t xml:space="preserve">Claude Saves Tokens, Forgets Everything</w:t>
        </w:r>
      </w:hyperlink>
    </w:p>
    <w:p>
      <w:pPr>
        <w:pStyle w:val="Heading2"/>
        <w:spacing w:after="140" w:before="280"/>
      </w:pPr>
      <w:r>
        <w:rPr>
          <w:b/>
          <w:bCs/>
          <w:color w:val="1B365D"/>
          <w:sz w:val="28"/>
          <w:szCs w:val="28"/>
        </w:rPr>
        <w:t xml:space="preserve">Failure #2 — Silent file failures</w:t>
      </w:r>
    </w:p>
    <w:p>
      <w:pPr>
        <w:spacing w:after="80" w:before="80" w:line="300"/>
      </w:pPr>
      <w:r>
        <w:t xml:space="preserve">ChatGPT Pro users report a documented silent-truncation bug where uploads &gt;30–60 KB are partially read while the model claims to have ingested the whole file. The official 20-file project limit is enforced as a 10-file limit by the UI; uploads of files 11+ freeze indefinitely. Users only discover the failure when an answer is wrong.</w:t>
      </w:r>
    </w:p>
    <w:p>
      <w:pPr>
        <w:spacing w:after="80" w:before="80" w:line="300"/>
      </w:pPr>
      <w:r>
        <w:rPr>
          <w:b/>
          <w:bCs/>
          <w:color w:val="5C6770"/>
          <w:sz w:val="18"/>
          <w:szCs w:val="18"/>
        </w:rPr>
        <w:t xml:space="preserve">Sources: </w:t>
      </w:r>
      <w:hyperlink w:history="1" r:id="rIdjpsd-plgoiadzitbrf6g_">
        <w:r>
          <w:rPr>
            <w:color w:val="1F4E79"/>
            <w:u w:val="single"/>
          </w:rPr>
          <w:t xml:space="preserve">GPT-5.1 silently truncates uploaded documents (OpenAI Community)</w:t>
        </w:r>
      </w:hyperlink>
      <w:r>
        <w:rPr>
          <w:color w:val="5C6770"/>
          <w:sz w:val="18"/>
          <w:szCs w:val="18"/>
        </w:rPr>
        <w:t xml:space="preserve"> · </w:t>
      </w:r>
      <w:hyperlink w:history="1" r:id="rIdagjwwduvlupl6bxupitzw">
        <w:r>
          <w:rPr>
            <w:color w:val="1F4E79"/>
            <w:u w:val="single"/>
          </w:rPr>
          <w:t xml:space="preserve">Pro user hitting 10-file limit (OpenAI Community)</w:t>
        </w:r>
      </w:hyperlink>
    </w:p>
    <w:p>
      <w:pPr>
        <w:pStyle w:val="Heading2"/>
        <w:spacing w:after="140" w:before="280"/>
      </w:pPr>
      <w:r>
        <w:rPr>
          <w:b/>
          <w:bCs/>
          <w:color w:val="1B365D"/>
          <w:sz w:val="28"/>
          <w:szCs w:val="28"/>
        </w:rPr>
        <w:t xml:space="preserve">Failure #3 — No source citations on uploaded files</w:t>
      </w:r>
    </w:p>
    <w:p>
      <w:pPr>
        <w:spacing w:after="80" w:before="80" w:line="300"/>
      </w:pPr>
      <w:r>
        <w:t xml:space="preserve">Outside NotebookLM, none of the major projects features cite which file or page produced an answer. Users have no way to verify a claim against the document they paid to upload. NotebookLM users tolerate the 50-source cap and the missing API specifically because of citations — a clear signal that traceability is the table-stakes feature of the next generation.</w:t>
      </w:r>
    </w:p>
    <w:p>
      <w:pPr>
        <w:spacing w:after="80" w:before="80" w:line="300"/>
      </w:pPr>
      <w:r>
        <w:rPr>
          <w:b/>
          <w:bCs/>
          <w:color w:val="5C6770"/>
          <w:sz w:val="18"/>
          <w:szCs w:val="18"/>
        </w:rPr>
        <w:t xml:space="preserve">Source: </w:t>
      </w:r>
      <w:hyperlink w:history="1" r:id="rId4e7wpceti1_aaxprowzrd">
        <w:r>
          <w:rPr>
            <w:color w:val="1F4E79"/>
            <w:u w:val="single"/>
          </w:rPr>
          <w:t xml:space="preserve">NotebookLM Limitations: 8 Gaps Google Won't Tell You (Atlas)</w:t>
        </w:r>
      </w:hyperlink>
    </w:p>
    <w:p>
      <w:pPr>
        <w:pStyle w:val="Heading2"/>
        <w:spacing w:after="140" w:before="280"/>
      </w:pPr>
      <w:r>
        <w:rPr>
          <w:b/>
          <w:bCs/>
          <w:color w:val="1B365D"/>
          <w:sz w:val="28"/>
          <w:szCs w:val="28"/>
        </w:rPr>
        <w:t xml:space="preserve">Failure #4 — No file supersession or version control</w:t>
      </w:r>
    </w:p>
    <w:p>
      <w:pPr>
        <w:spacing w:after="80" w:before="80" w:line="300"/>
      </w:pPr>
      <w:r>
        <w:t xml:space="preserve">All five products treat uploads as immutable. To replace a manual revision you delete and re-add, which orphans every saved citation and chat reference to the old file. This is fine for one-off research; it is catastrophic for a maintained asset where the manual revision changes every year and the wrong revision is a safety incident.</w:t>
      </w:r>
    </w:p>
    <w:p>
      <w:pPr>
        <w:spacing w:after="80" w:before="80" w:line="300"/>
      </w:pPr>
      <w:r>
        <w:rPr>
          <w:b/>
          <w:bCs/>
          <w:color w:val="5C6770"/>
          <w:sz w:val="18"/>
          <w:szCs w:val="18"/>
        </w:rPr>
        <w:t xml:space="preserve">Source: </w:t>
      </w:r>
      <w:hyperlink w:history="1" r:id="rIdxjmuijncintl1wigcbupj">
        <w:r>
          <w:rPr>
            <w:color w:val="1F4E79"/>
            <w:u w:val="single"/>
          </w:rPr>
          <w:t xml:space="preserve">NotebookLM source limit is its biggest problem (XDA)</w:t>
        </w:r>
      </w:hyperlink>
    </w:p>
    <w:p>
      <w:pPr>
        <w:pStyle w:val="Heading2"/>
        <w:spacing w:after="140" w:before="280"/>
      </w:pPr>
      <w:r>
        <w:rPr>
          <w:b/>
          <w:bCs/>
          <w:color w:val="1B365D"/>
          <w:sz w:val="28"/>
          <w:szCs w:val="28"/>
        </w:rPr>
        <w:t xml:space="preserve">Failure #5 — Sharing is read-only theater, not collaboration</w:t>
      </w:r>
    </w:p>
    <w:p>
      <w:pPr>
        <w:spacing w:after="80" w:before="80" w:line="300"/>
      </w:pPr>
      <w:r>
        <w:t xml:space="preserve">“Sharing a project” today means a read-only link or a seat-based invite. There is no @-mention, no comment, no presence indicator, no notification when a teammate adds a critical document, no attribution of which technician contributed which finding. Plant maintenance is a relay race — day-shift to night-shift, tech to manager, in-house to OEM — and these tools were built for a single user with a laptop.</w:t>
      </w:r>
    </w:p>
    <w:p>
      <w:pPr>
        <w:pStyle w:val="Heading2"/>
        <w:spacing w:after="140" w:before="280"/>
      </w:pPr>
      <w:r>
        <w:rPr>
          <w:b/>
          <w:bCs/>
          <w:color w:val="1B365D"/>
          <w:sz w:val="28"/>
          <w:szCs w:val="28"/>
        </w:rPr>
        <w:t xml:space="preserve">Failure #6 — Sensor and time-series data are absent</w:t>
      </w:r>
    </w:p>
    <w:p>
      <w:pPr>
        <w:spacing w:after="80" w:before="80" w:line="300"/>
      </w:pPr>
      <w:r>
        <w:t xml:space="preserve">Every projects product is document-centric: PDFs, web pages, transcripts. None of them ingest a vibration trend, a temperature curve, a fault-code history, or a Modbus tag stream. For maintenance, the document and the data are the same conversation — “why did this bearing fail?” requires both the OEM bearing manual and the last 90 days of vibration. The category cannot answer that.</w:t>
      </w:r>
    </w:p>
    <w:p>
      <w:pPr>
        <w:pStyle w:val="Heading2"/>
        <w:spacing w:after="140" w:before="280"/>
      </w:pPr>
      <w:r>
        <w:rPr>
          <w:b/>
          <w:bCs/>
          <w:color w:val="1B365D"/>
          <w:sz w:val="28"/>
          <w:szCs w:val="28"/>
        </w:rPr>
        <w:t xml:space="preserve">Failure #7 — The UX assumes a desk and a quiet room</w:t>
      </w:r>
    </w:p>
    <w:p>
      <w:pPr>
        <w:spacing w:after="80" w:before="80" w:line="300"/>
      </w:pPr>
      <w:r>
        <w:t xml:space="preserve">Tap targets sized for a mouse. Filename lists nine columns wide. Citation chips that require a hover. Voice input that doesn’t work over compressor noise. A maintenance tech holding a phone in a greasy glove, in 95°F sun, next to a running line, will abandon every one of these products inside ten minutes. None of them have ever been used in our customers’ environment by anyone designing them.</w:t>
      </w:r>
    </w:p>
    <w:p>
      <w:r>
        <w:br w:type="page"/>
      </w:r>
    </w:p>
    <w:p>
      <w:pPr>
        <w:pStyle w:val="Heading1"/>
        <w:spacing w:after="180" w:before="360"/>
      </w:pPr>
      <w:r>
        <w:rPr>
          <w:b/>
          <w:bCs/>
          <w:color w:val="1B365D"/>
          <w:sz w:val="36"/>
          <w:szCs w:val="36"/>
        </w:rPr>
        <w:t xml:space="preserve">2. Why These Failures Are Worse for Maintenance</w:t>
      </w:r>
    </w:p>
    <w:p>
      <w:pPr>
        <w:spacing w:after="80" w:before="80" w:line="300"/>
      </w:pPr>
      <w:r>
        <w:t xml:space="preserve">Knowledge workers shrug at silent failures because they re-read the source. A welder doesn’t. A reliability tech doesn’t. An apprentice on a 12-hour swing shift trying to restart an extruder at 3 a.m. doesn’t. Three things make the consumer-AI failure modes far more dangerous in our market:</w:t>
      </w:r>
    </w:p>
    <w:p>
      <w:pPr>
        <w:pStyle w:val="ListParagraph"/>
        <w:numPr>
          <w:ilvl w:val="0"/>
          <w:numId w:val="2"/>
        </w:numPr>
        <w:spacing w:after="40" w:before="40" w:line="280"/>
      </w:pPr>
      <w:r>
        <w:rPr>
          <w:b/>
          <w:bCs/>
        </w:rPr>
        <w:t xml:space="preserve">Asset lifetime, not session lifetime. </w:t>
      </w:r>
      <w:r>
        <w:t xml:space="preserve">A Claude Project usually lives for one report. A MIRA project is Line 3 Extruder #4 — it lives for twenty years, gets manual revisions, gets PLC reprograms, gets parts substitutions, and gets twelve different techs touching it. The category’s storage model breaks at week three.</w:t>
      </w:r>
    </w:p>
    <w:p>
      <w:pPr>
        <w:pStyle w:val="ListParagraph"/>
        <w:numPr>
          <w:ilvl w:val="0"/>
          <w:numId w:val="2"/>
        </w:numPr>
        <w:spacing w:after="40" w:before="40" w:line="280"/>
      </w:pPr>
      <w:r>
        <w:rPr>
          <w:b/>
          <w:bCs/>
        </w:rPr>
        <w:t xml:space="preserve">Wrong answer = injury, not embarrassment. </w:t>
      </w:r>
      <w:r>
        <w:t xml:space="preserve">“Torque to 45 Nm” from the wrong revision of the manual is a gasket blowout. “De-energize at MCC-3” from the wrong panel drawing is an arc-flash. The cost of an unsourced answer is not a bad email; it is an OSHA recordable.</w:t>
      </w:r>
    </w:p>
    <w:p>
      <w:pPr>
        <w:pStyle w:val="ListParagraph"/>
        <w:numPr>
          <w:ilvl w:val="0"/>
          <w:numId w:val="2"/>
        </w:numPr>
        <w:spacing w:after="40" w:before="40" w:line="280"/>
      </w:pPr>
      <w:r>
        <w:rPr>
          <w:b/>
          <w:bCs/>
        </w:rPr>
        <w:t xml:space="preserve">Trust collapses fast in non-technical users. </w:t>
      </w:r>
      <w:r>
        <w:t xml:space="preserve">A developer notices when ChatGPT silently dropped a file and debugs it. A maintenance tech trusts the answer, executes it, and never opens the app again. We get one shot.</w:t>
      </w:r>
    </w:p>
    <w:p>
      <w:pPr>
        <w:pStyle w:val="Heading1"/>
        <w:spacing w:after="180" w:before="360"/>
      </w:pPr>
      <w:r>
        <w:rPr>
          <w:b/>
          <w:bCs/>
          <w:color w:val="1B365D"/>
          <w:sz w:val="36"/>
          <w:szCs w:val="36"/>
        </w:rPr>
        <w:t xml:space="preserve">3. The MIRA Projects Answer — Three Design Principles</w:t>
      </w:r>
    </w:p>
    <w:p>
      <w:pPr>
        <w:pStyle w:val="Heading2"/>
        <w:spacing w:after="140" w:before="280"/>
      </w:pPr>
      <w:r>
        <w:rPr>
          <w:b/>
          <w:bCs/>
          <w:color w:val="1B365D"/>
          <w:sz w:val="28"/>
          <w:szCs w:val="28"/>
        </w:rPr>
        <w:t xml:space="preserve">Principle 1: An asset, not a folder</w:t>
      </w:r>
    </w:p>
    <w:p>
      <w:pPr>
        <w:spacing w:after="80" w:before="80" w:line="300"/>
      </w:pPr>
      <w:r>
        <w:t xml:space="preserve">Every MIRA project is rooted in an asset record — tag number, OEM, model, install date, criticality, PM schedule. Documents, sensor streams, photos, work orders, and chats hang off that record. This is not a UI difference; it is the data model. Every other product in the category is a folder of files with a chat glued on. That is why every other product has the same seven complaints.</w:t>
      </w:r>
    </w:p>
    <w:p>
      <w:pPr>
        <w:pStyle w:val="Heading2"/>
        <w:spacing w:after="140" w:before="280"/>
      </w:pPr>
      <w:r>
        <w:rPr>
          <w:b/>
          <w:bCs/>
          <w:color w:val="1B365D"/>
          <w:sz w:val="28"/>
          <w:szCs w:val="28"/>
        </w:rPr>
        <w:t xml:space="preserve">Principle 2: Loud failure, traceable answer</w:t>
      </w:r>
    </w:p>
    <w:p>
      <w:pPr>
        <w:spacing w:after="80" w:before="80" w:line="300"/>
      </w:pPr>
      <w:r>
        <w:t xml:space="preserve">Three product rules make MIRA feel different from the first ten seconds:</w:t>
      </w:r>
    </w:p>
    <w:p>
      <w:pPr>
        <w:pStyle w:val="ListParagraph"/>
        <w:numPr>
          <w:ilvl w:val="0"/>
          <w:numId w:val="2"/>
        </w:numPr>
        <w:spacing w:after="40" w:before="40" w:line="280"/>
      </w:pPr>
      <w:r>
        <w:rPr>
          <w:b/>
          <w:bCs/>
        </w:rPr>
        <w:t xml:space="preserve">Every file shows its state — </w:t>
      </w:r>
      <w:r>
        <w:t xml:space="preserve">Indexed · Partially indexed · OCR failed · Superseded · Stale. Color-coded. Visible from the project home. Tap-to-rescan.</w:t>
      </w:r>
    </w:p>
    <w:p>
      <w:pPr>
        <w:pStyle w:val="ListParagraph"/>
        <w:numPr>
          <w:ilvl w:val="0"/>
          <w:numId w:val="2"/>
        </w:numPr>
        <w:spacing w:after="40" w:before="40" w:line="280"/>
      </w:pPr>
      <w:r>
        <w:rPr>
          <w:b/>
          <w:bCs/>
        </w:rPr>
        <w:t xml:space="preserve">Every answer carries a source chip — </w:t>
      </w:r>
      <w:r>
        <w:t xml:space="preserve">Manual rev, page, paragraph. For sensor answers: trace ID, time window. For photos: tap to overlay the original with the AI’s annotation.</w:t>
      </w:r>
    </w:p>
    <w:p>
      <w:pPr>
        <w:pStyle w:val="ListParagraph"/>
        <w:numPr>
          <w:ilvl w:val="0"/>
          <w:numId w:val="2"/>
        </w:numPr>
        <w:spacing w:after="40" w:before="40" w:line="280"/>
      </w:pPr>
      <w:r>
        <w:rPr>
          <w:b/>
          <w:bCs/>
        </w:rPr>
        <w:t xml:space="preserve">Every safety-keyword answer halts — </w:t>
      </w:r>
      <w:r>
        <w:t xml:space="preserve">LOTO, arc flash, confined space, hot work, lockout. The model returns a STOP card with the relevant procedure and the responsible person’s contact. No guessing.</w:t>
      </w:r>
    </w:p>
    <w:p>
      <w:pPr>
        <w:pStyle w:val="Heading2"/>
        <w:spacing w:after="140" w:before="280"/>
      </w:pPr>
      <w:r>
        <w:rPr>
          <w:b/>
          <w:bCs/>
          <w:color w:val="1B365D"/>
          <w:sz w:val="28"/>
          <w:szCs w:val="28"/>
        </w:rPr>
        <w:t xml:space="preserve">Principle 3: One thumb, gloves on, sun overhead</w:t>
      </w:r>
    </w:p>
    <w:p>
      <w:pPr>
        <w:spacing w:after="80" w:before="80" w:line="300"/>
      </w:pPr>
      <w:r>
        <w:t xml:space="preserve">MIRA Projects ships mobile-first by an unusual measure: every primary action is reachable in the bottom 40% of the screen, every tap target is at least 56×44 pt, every file state is announced by color and shape (not just color, for sun-readability), and every project has a one-tap voice intake that works over 80 dB of plant noise. Most of our competitors’ features look identical on a phone and a laptop. Ours don’t.</w:t>
      </w:r>
    </w:p>
    <w:p>
      <w:r>
        <w:br w:type="page"/>
      </w:r>
    </w:p>
    <w:p>
      <w:pPr>
        <w:pStyle w:val="Heading1"/>
        <w:spacing w:after="180" w:before="360"/>
      </w:pPr>
      <w:r>
        <w:rPr>
          <w:b/>
          <w:bCs/>
          <w:color w:val="1B365D"/>
          <w:sz w:val="36"/>
          <w:szCs w:val="36"/>
        </w:rPr>
        <w:t xml:space="preserve">4. Three Solution Directions</w:t>
      </w:r>
    </w:p>
    <w:p>
      <w:pPr>
        <w:spacing w:after="80" w:before="80" w:line="300"/>
      </w:pPr>
      <w:r>
        <w:t xml:space="preserve">We see three plausible product shapes for MIRA Projects. They are not mutually exclusive; the recommendation at the end of this memo bundles them in sequence.</w:t>
      </w:r>
    </w:p>
    <w:p>
      <w:pPr>
        <w:pStyle w:val="Heading3"/>
        <w:spacing w:after="100" w:before="200"/>
      </w:pPr>
      <w:r>
        <w:rPr>
          <w:b/>
          <w:bCs/>
          <w:color w:val="C9531C"/>
          <w:sz w:val="24"/>
          <w:szCs w:val="24"/>
        </w:rPr>
        <w:t xml:space="preserve">Direction A — “The Asset Page” (recommended for v1)</w:t>
      </w:r>
    </w:p>
    <w:p>
      <w:pPr>
        <w:spacing w:after="80" w:before="80" w:line="300"/>
      </w:pPr>
      <w:r>
        <w:t xml:space="preserve">Every project is a single, scrollable page for one piece of equipment. Top: the asset hero card (tag, OEM, criticality, current health, next PM). Below: tabbed shelves for Manuals, Photos, Work Orders, Sensor Streams, and Conversations. Right rail: a persistent chat that knows it is grounded in this asset — ask anything, get cited answers. Why this wins: it matches how a tech already thinks (“let me pull up Extruder 4”), it makes the asset the unit of value, and it is the easiest thing to demo in a 90-second sales loop.</w:t>
      </w:r>
    </w:p>
    <w:p>
      <w:pPr>
        <w:pStyle w:val="Heading3"/>
        <w:spacing w:after="100" w:before="200"/>
      </w:pPr>
      <w:r>
        <w:rPr>
          <w:b/>
          <w:bCs/>
          <w:color w:val="C9531C"/>
          <w:sz w:val="24"/>
          <w:szCs w:val="24"/>
        </w:rPr>
        <w:t xml:space="preserve">Direction B — “The Crew Workspace”</w:t>
      </w:r>
    </w:p>
    <w:p>
      <w:pPr>
        <w:spacing w:after="80" w:before="80" w:line="300"/>
      </w:pPr>
      <w:r>
        <w:t xml:space="preserve">A project is the team’s working surface for a multi-asset job: shutdown week, line install, recurring PM route. Multiple assets pinned, tasks assigned, comments threaded, handoff replays at shift change. Why this wins: it sells to the manager (the buyer), shows ROI per shift in pass-down time saved, and makes the second user (the manager) the champion of MIRA inside the plant.</w:t>
      </w:r>
    </w:p>
    <w:p>
      <w:pPr>
        <w:pStyle w:val="Heading3"/>
        <w:spacing w:after="100" w:before="200"/>
      </w:pPr>
      <w:r>
        <w:rPr>
          <w:b/>
          <w:bCs/>
          <w:color w:val="C9531C"/>
          <w:sz w:val="24"/>
          <w:szCs w:val="24"/>
        </w:rPr>
        <w:t xml:space="preserve">Direction C — “The Investigation”</w:t>
      </w:r>
    </w:p>
    <w:p>
      <w:pPr>
        <w:spacing w:after="80" w:before="80" w:line="300"/>
      </w:pPr>
      <w:r>
        <w:t xml:space="preserve">A project is a time-boxed root cause investigation — RCA after a failure, warranty case against an OEM, vendor escalation, EHS incident. Files, sensor windows, photos, interview notes, and AI hypotheses all attached. Closes with a generated report (PDF, signed, exportable to CMMS). Why this wins: every plant has incidents. It is the highest-emotion, highest-budget moment in our customer’s month, and a delightful tool for it earns permanent loyalty.</w:t>
      </w:r>
    </w:p>
    <w:p>
      <w:pPr>
        <w:pStyle w:val="Heading1"/>
        <w:spacing w:after="180" w:before="360"/>
      </w:pPr>
      <w:r>
        <w:rPr>
          <w:b/>
          <w:bCs/>
          <w:color w:val="1B365D"/>
          <w:sz w:val="36"/>
          <w:szCs w:val="36"/>
        </w:rPr>
        <w:t xml:space="preserve">5. How MIRA Compares Today,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Capability</w:t>
            </w:r>
          </w:p>
        </w:tc>
        <w:tc>
          <w:tcPr>
            <w:tcW w:type="dxa" w:w="1872"/>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ChatGPT Projects</w:t>
            </w:r>
          </w:p>
        </w:tc>
        <w:tc>
          <w:tcPr>
            <w:tcW w:type="dxa" w:w="1872"/>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Claude Projects</w:t>
            </w:r>
          </w:p>
        </w:tc>
        <w:tc>
          <w:tcPr>
            <w:tcW w:type="dxa" w:w="1872"/>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NotebookLM</w:t>
            </w:r>
          </w:p>
        </w:tc>
        <w:tc>
          <w:tcPr>
            <w:tcW w:type="dxa" w:w="1872"/>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MIRA Projects</w:t>
            </w:r>
          </w:p>
        </w:tc>
      </w:tr>
      <w:tr>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Citations to source</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Weak</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Weak</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Excellent</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Excellent + photo overlay</w:t>
            </w:r>
          </w:p>
        </w:tc>
      </w:tr>
      <w:tr>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File supersession</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None</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None</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Delete + re-add</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Native (rev tracking)</w:t>
            </w:r>
          </w:p>
        </w:tc>
      </w:tr>
      <w:tr>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Time-series / sensor data</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No</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No</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No</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Native</w:t>
            </w:r>
          </w:p>
        </w:tc>
      </w:tr>
      <w:tr>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Loud failure on bad input</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Silent</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Silent</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Partial</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Loud, color-coded</w:t>
            </w:r>
          </w:p>
        </w:tc>
      </w:tr>
      <w:tr>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Mobile-first (gloves, dirt, sun)</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Poor</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Poor</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Poor</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Designed for it</w:t>
            </w:r>
          </w:p>
        </w:tc>
      </w:tr>
      <w:tr>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Safety-keyword interrupt</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No</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No</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No</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LOTO/arc/confined STOP</w:t>
            </w:r>
          </w:p>
        </w:tc>
      </w:tr>
      <w:tr>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Works offline</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No</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No</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No</w:t>
            </w:r>
          </w:p>
        </w:tc>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sz w:val="18"/>
                <w:szCs w:val="18"/>
              </w:rPr>
              <w:t xml:space="preserve">Local cascade option</w:t>
            </w:r>
          </w:p>
        </w:tc>
      </w:tr>
      <w:tr>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Asset is the project (not folder)</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No</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No</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No</w:t>
            </w:r>
          </w:p>
        </w:tc>
        <w:tc>
          <w:tcPr>
            <w:tcW w:type="dxa" w:w="1872"/>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Asset record + lifecycle</w:t>
            </w:r>
          </w:p>
        </w:tc>
      </w:tr>
    </w:tbl>
    <w:p>
      <w:r>
        <w:br w:type="page"/>
      </w:r>
    </w:p>
    <w:p>
      <w:pPr>
        <w:pStyle w:val="Heading1"/>
        <w:spacing w:after="180" w:before="360"/>
      </w:pPr>
      <w:r>
        <w:rPr>
          <w:b/>
          <w:bCs/>
          <w:color w:val="1B365D"/>
          <w:sz w:val="36"/>
          <w:szCs w:val="36"/>
        </w:rPr>
        <w:t xml:space="preserve">6. Pricing &amp; Packaging</w:t>
      </w:r>
    </w:p>
    <w:p>
      <w:pPr>
        <w:spacing w:after="80" w:before="80" w:line="300"/>
      </w:pPr>
      <w:r>
        <w:t xml:space="preserve">Four tiers. The free tier is the wedge: a solo tech building knowledge for their own equipment becomes our champion when they change jobs and their next employer asks how they got so productive.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c>
          <w:tcPr>
            <w:tcW w:type="dxa" w:w="156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Tier</w:t>
            </w:r>
          </w:p>
        </w:tc>
        <w:tc>
          <w:tcPr>
            <w:tcW w:type="dxa" w:w="156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Price/mo</w:t>
            </w:r>
          </w:p>
        </w:tc>
        <w:tc>
          <w:tcPr>
            <w:tcW w:type="dxa" w:w="208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Who buys</w:t>
            </w:r>
          </w:p>
        </w:tc>
        <w:tc>
          <w:tcPr>
            <w:tcW w:type="dxa" w:w="208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Project ceiling</w:t>
            </w:r>
          </w:p>
        </w:tc>
        <w:tc>
          <w:tcPr>
            <w:tcW w:type="dxa" w:w="208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Lock-in moat</w:t>
            </w:r>
          </w:p>
        </w:tc>
      </w:tr>
      <w:tr>
        <w:tc>
          <w:tcPr>
            <w:tcW w:type="dxa" w:w="1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Tech Free</w:t>
            </w:r>
          </w:p>
        </w:tc>
        <w:tc>
          <w:tcPr>
            <w:tcW w:type="dxa" w:w="1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$0</w:t>
            </w:r>
          </w:p>
        </w:tc>
        <w:tc>
          <w:tcPr>
            <w:tcW w:type="dxa" w:w="20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Solo tech, side-shop owner</w:t>
            </w:r>
          </w:p>
        </w:tc>
        <w:tc>
          <w:tcPr>
            <w:tcW w:type="dxa" w:w="20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3 assets, 25 docs each</w:t>
            </w:r>
          </w:p>
        </w:tc>
        <w:tc>
          <w:tcPr>
            <w:tcW w:type="dxa" w:w="20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They build a knowledge base they don’t want to leave behind</w:t>
            </w:r>
          </w:p>
        </w:tc>
      </w:tr>
      <w:tr>
        <w:tc>
          <w:tcPr>
            <w:tcW w:type="dxa" w:w="15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Crew</w:t>
            </w:r>
          </w:p>
        </w:tc>
        <w:tc>
          <w:tcPr>
            <w:tcW w:type="dxa" w:w="15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$39 / seat</w:t>
            </w:r>
          </w:p>
        </w:tc>
        <w:tc>
          <w:tcPr>
            <w:tcW w:type="dxa" w:w="20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2–10 person maint. team</w:t>
            </w:r>
          </w:p>
        </w:tc>
        <w:tc>
          <w:tcPr>
            <w:tcW w:type="dxa" w:w="20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25 assets, unlimited docs</w:t>
            </w:r>
          </w:p>
        </w:tc>
        <w:tc>
          <w:tcPr>
            <w:tcW w:type="dxa" w:w="20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Shared crew memory + handoff replays</w:t>
            </w:r>
          </w:p>
        </w:tc>
      </w:tr>
      <w:tr>
        <w:tc>
          <w:tcPr>
            <w:tcW w:type="dxa" w:w="1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Plant</w:t>
            </w:r>
          </w:p>
        </w:tc>
        <w:tc>
          <w:tcPr>
            <w:tcW w:type="dxa" w:w="15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$899 + $19/seat</w:t>
            </w:r>
          </w:p>
        </w:tc>
        <w:tc>
          <w:tcPr>
            <w:tcW w:type="dxa" w:w="20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Single-site reliability mgr</w:t>
            </w:r>
          </w:p>
        </w:tc>
        <w:tc>
          <w:tcPr>
            <w:tcW w:type="dxa" w:w="20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Unlimited + sensor ingest</w:t>
            </w:r>
          </w:p>
        </w:tc>
        <w:tc>
          <w:tcPr>
            <w:tcW w:type="dxa" w:w="20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CMMS work-order link, OEM manuals, Atlas integration</w:t>
            </w:r>
          </w:p>
        </w:tc>
      </w:tr>
      <w:tr>
        <w:tc>
          <w:tcPr>
            <w:tcW w:type="dxa" w:w="15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Enterprise</w:t>
            </w:r>
          </w:p>
        </w:tc>
        <w:tc>
          <w:tcPr>
            <w:tcW w:type="dxa" w:w="15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Custom</w:t>
            </w:r>
          </w:p>
        </w:tc>
        <w:tc>
          <w:tcPr>
            <w:tcW w:type="dxa" w:w="20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Multi-site, EHS, insurance</w:t>
            </w:r>
          </w:p>
        </w:tc>
        <w:tc>
          <w:tcPr>
            <w:tcW w:type="dxa" w:w="20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Tenant SSO, audit export</w:t>
            </w:r>
          </w:p>
        </w:tc>
        <w:tc>
          <w:tcPr>
            <w:tcW w:type="dxa" w:w="20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Compliance trail, on-prem option, SOC 2</w:t>
            </w:r>
          </w:p>
        </w:tc>
      </w:tr>
    </w:tbl>
    <w:p>
      <w:pPr>
        <w:pStyle w:val="Heading1"/>
        <w:spacing w:after="180" w:before="360"/>
      </w:pPr>
      <w:r>
        <w:rPr>
          <w:b/>
          <w:bCs/>
          <w:color w:val="1B365D"/>
          <w:sz w:val="36"/>
          <w:szCs w:val="36"/>
        </w:rPr>
        <w:t xml:space="preserve">7. How We Take It to Market</w:t>
      </w:r>
    </w:p>
    <w:p>
      <w:pPr>
        <w:pStyle w:val="ListParagraph"/>
        <w:numPr>
          <w:ilvl w:val="0"/>
          <w:numId w:val="2"/>
        </w:numPr>
        <w:spacing w:after="40" w:before="40" w:line="280"/>
      </w:pPr>
      <w:r>
        <w:rPr>
          <w:b/>
          <w:bCs/>
        </w:rPr>
        <w:t xml:space="preserve">Wedge: </w:t>
      </w:r>
      <w:r>
        <w:t xml:space="preserve">Free tier in maintenance Slack/Discord/Reddit communities (r/maintenance, r/PLC, r/Reliability). Lead with one product video: “Watch ChatGPT Lose Your Manual” — we record the silent-truncation bug, side-by-side with MIRA loudly catching the same file. 90 seconds. Posted weekly.</w:t>
      </w:r>
    </w:p>
    <w:p>
      <w:pPr>
        <w:pStyle w:val="ListParagraph"/>
        <w:numPr>
          <w:ilvl w:val="0"/>
          <w:numId w:val="2"/>
        </w:numPr>
        <w:spacing w:after="40" w:before="40" w:line="280"/>
      </w:pPr>
      <w:r>
        <w:rPr>
          <w:b/>
          <w:bCs/>
        </w:rPr>
        <w:t xml:space="preserve">Land: </w:t>
      </w:r>
      <w:r>
        <w:t xml:space="preserve">Free tier converts to Crew when a second tech on the same team signs up. Built-in invite + crew handoff feature drives this. We do not sell to the team — the team self-organizes around the existing user.</w:t>
      </w:r>
    </w:p>
    <w:p>
      <w:pPr>
        <w:pStyle w:val="ListParagraph"/>
        <w:numPr>
          <w:ilvl w:val="0"/>
          <w:numId w:val="2"/>
        </w:numPr>
        <w:spacing w:after="40" w:before="40" w:line="280"/>
      </w:pPr>
      <w:r>
        <w:rPr>
          <w:b/>
          <w:bCs/>
        </w:rPr>
        <w:t xml:space="preserve">Expand: </w:t>
      </w:r>
      <w:r>
        <w:t xml:space="preserve">Crew converts to Plant when (a) the team starts ingesting sensor data or (b) the manager wants the audit trail. Both happen by month three for active teams.</w:t>
      </w:r>
    </w:p>
    <w:p>
      <w:pPr>
        <w:pStyle w:val="ListParagraph"/>
        <w:numPr>
          <w:ilvl w:val="0"/>
          <w:numId w:val="2"/>
        </w:numPr>
        <w:spacing w:after="40" w:before="40" w:line="280"/>
      </w:pPr>
      <w:r>
        <w:rPr>
          <w:b/>
          <w:bCs/>
        </w:rPr>
        <w:t xml:space="preserve">Lock: </w:t>
      </w:r>
      <w:r>
        <w:t xml:space="preserve">Plant converts to Enterprise when EHS, insurance, or corporate reliability ask for the audit export and SOC 2 — events we trigger by selling the plant manager a six-page “why your insurance carrier will love this” one-pager every quarter.</w:t>
      </w:r>
    </w:p>
    <w:p>
      <w:pPr>
        <w:pStyle w:val="ListParagraph"/>
        <w:numPr>
          <w:ilvl w:val="0"/>
          <w:numId w:val="2"/>
        </w:numPr>
        <w:spacing w:after="40" w:before="40" w:line="280"/>
      </w:pPr>
      <w:r>
        <w:rPr>
          <w:b/>
          <w:bCs/>
        </w:rPr>
        <w:t xml:space="preserve">Channel: </w:t>
      </w:r>
      <w:r>
        <w:t xml:space="preserve">OEM partnerships. Every equipment manufacturer ships a 200-page manual and resents the fact that nobody reads it. We give them a co-branded “MIRA-ready” badge in exchange for them shipping their manuals into MIRA pre-indexed. They sell more spare parts; we get distribution.</w:t>
      </w:r>
    </w:p>
    <w:p>
      <w:pPr>
        <w:pStyle w:val="Heading1"/>
        <w:spacing w:after="180" w:before="360"/>
      </w:pPr>
      <w:r>
        <w:rPr>
          <w:b/>
          <w:bCs/>
          <w:color w:val="1B365D"/>
          <w:sz w:val="36"/>
          <w:szCs w:val="36"/>
        </w:rPr>
        <w:t xml:space="preserve">8. The 90-Day Plan</w:t>
      </w:r>
    </w:p>
    <w:p>
      <w:pPr>
        <w:pStyle w:val="ListParagraph"/>
        <w:numPr>
          <w:ilvl w:val="0"/>
          <w:numId w:val="2"/>
        </w:numPr>
        <w:spacing w:after="40" w:before="40" w:line="280"/>
      </w:pPr>
      <w:r>
        <w:rPr>
          <w:b/>
          <w:bCs/>
        </w:rPr>
        <w:t xml:space="preserve">Days 0–30: </w:t>
      </w:r>
      <w:r>
        <w:t xml:space="preserve">Ship Direction A (Asset Page) end-to-end on top of the existing mira-mcp + Atlas CMMS + mira-pipeline stack. One paying pilot plant. One sales video per week. Three OEM conversations open.</w:t>
      </w:r>
    </w:p>
    <w:p>
      <w:pPr>
        <w:pStyle w:val="ListParagraph"/>
        <w:numPr>
          <w:ilvl w:val="0"/>
          <w:numId w:val="2"/>
        </w:numPr>
        <w:spacing w:after="40" w:before="40" w:line="280"/>
      </w:pPr>
      <w:r>
        <w:rPr>
          <w:b/>
          <w:bCs/>
        </w:rPr>
        <w:t xml:space="preserve">Days 31–60: </w:t>
      </w:r>
      <w:r>
        <w:t xml:space="preserve">Add Direction B (Crew Workspace) primitives — handoff replay, comment, presence. Convert pilot plant to Crew. Launch free tier publicly.</w:t>
      </w:r>
    </w:p>
    <w:p>
      <w:pPr>
        <w:pStyle w:val="ListParagraph"/>
        <w:numPr>
          <w:ilvl w:val="0"/>
          <w:numId w:val="2"/>
        </w:numPr>
        <w:spacing w:after="40" w:before="40" w:line="280"/>
      </w:pPr>
      <w:r>
        <w:rPr>
          <w:b/>
          <w:bCs/>
        </w:rPr>
        <w:t xml:space="preserve">Days 61–90: </w:t>
      </w:r>
      <w:r>
        <w:t xml:space="preserve">Add Direction C (Investigation) and the audit export. First Plant-tier paying customer. SOC 2 Type 1 kickoff. First OEM partnership signed.</w:t>
      </w:r>
    </w:p>
    <w:p>
      <w:pPr>
        <w:pStyle w:val="Heading1"/>
        <w:spacing w:after="180" w:before="360"/>
      </w:pPr>
      <w:r>
        <w:rPr>
          <w:b/>
          <w:bCs/>
          <w:color w:val="1B365D"/>
          <w:sz w:val="36"/>
          <w:szCs w:val="36"/>
        </w:rPr>
        <w:t xml:space="preserve">9. The Ask — What This Funds</w:t>
      </w:r>
    </w:p>
    <w:p>
      <w:pPr>
        <w:spacing w:after="80" w:before="80" w:line="300"/>
      </w:pPr>
      <w:r>
        <w:t xml:space="preserve">Two engineers for ninety days, focused exclusively on Projects. One growth marketer to ship the weekly “Watch ChatGPT Lose Your Manual” series and run the Reddit/Discord wedge. One design contractor for the mobile-glove pass on shipped screens. Estimated cost — see attached PRD, Section 9. Estimated outcome — a paid tier that prices a plant’s reliability function at less than the cost of one unplanned hour of downtime per month, and a free tier that builds a moat the consumer AIs cannot follow us into.</w:t>
      </w:r>
    </w:p>
    <w:p>
      <w:pPr>
        <w:pBdr>
          <w:bottom w:val="single" w:color="1B365D" w:sz="6" w:space="4"/>
        </w:pBdr>
        <w:spacing w:after="80" w:before="80"/>
      </w:pPr>
      <w:r>
        <w:t xml:space="preserve"/>
      </w:r>
    </w:p>
    <w:p>
      <w:pPr>
        <w:spacing w:after="80" w:before="80" w:line="300"/>
      </w:pPr>
      <w:r>
        <w:rPr>
          <w:b/>
          <w:bCs/>
          <w:color w:val="1B365D"/>
        </w:rPr>
        <w:t xml:space="preserve">Companion artifacts: </w:t>
      </w:r>
      <w:r>
        <w:rPr>
          <w:color w:val="5C6770"/>
        </w:rPr>
        <w:t xml:space="preserve">(1) Interactive prototype — mira-projects-prototype.html. (2) Product Requirements Document — MIRA-Projects-PRD-v1.docx. Both saved in /docs/proposals/.</w:t>
      </w:r>
    </w:p>
    <w:p>
      <w:pPr>
        <w:spacing w:after="80" w:before="80" w:line="300"/>
      </w:pPr>
      <w:r>
        <w:rPr>
          <w:color w:val="5C6770"/>
        </w:rPr>
        <w:t xml:space="preserve">Document version: </w:t>
      </w:r>
      <w:r>
        <w:rPr>
          <w:color w:val="5C6770"/>
        </w:rPr>
        <w:t xml:space="preserve">v1.0 · 2026-04-22 · FactoryLM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C6770"/>
        <w:sz w:val="16"/>
        <w:szCs w:val="16"/>
      </w:rPr>
      <w:t xml:space="preserve">FactoryLM · CONFIDENTIAL</w:t>
    </w:r>
    <w:r>
      <w:rPr>
        <w:color w:val="5C6770"/>
        <w:sz w:val="16"/>
        <w:szCs w:val="16"/>
      </w:rPr>
      <w:t xml:space="preserve">	Page </w:t>
    </w:r>
    <w:r>
      <w:rPr>
        <w:color w:val="5C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770"/>
        <w:sz w:val="16"/>
        <w:szCs w:val="16"/>
      </w:rPr>
      <w:t xml:space="preserve">MIRA Projects · Strategy Memo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365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953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5i6i-rif9m_dglrt2chb" Type="http://schemas.openxmlformats.org/officeDocument/2006/relationships/hyperlink" Target="https://dev.to/kiwibreaksme/claude-code-keeps-forgetting-your-project-heres-the-fix-2026-3flm" TargetMode="External"/><Relationship Id="rId-7qtxoadz_8ofbe39ykk2" Type="http://schemas.openxmlformats.org/officeDocument/2006/relationships/hyperlink" Target="https://golev.com/post/claude-saves-tokens-forgets-everything/" TargetMode="External"/><Relationship Id="rIdjpsd-plgoiadzitbrf6g_" Type="http://schemas.openxmlformats.org/officeDocument/2006/relationships/hyperlink" Target="https://community.openai.com/t/critical-gpt-5-1-silently-truncates-uploaded-documents-30-60-kb-limit-while-claiming-full-read-confirmed-by-4-major-ai-models/1368746" TargetMode="External"/><Relationship Id="rIdagjwwduvlupl6bxupitzw" Type="http://schemas.openxmlformats.org/officeDocument/2006/relationships/hyperlink" Target="https://community.openai.com/t/pro-user-hitting-10-file-limit-in-chatgpt-projects-uploads-freeze-edits-fail-despite-20-file-allowance-anyone-else-experiencing-this/1304217" TargetMode="External"/><Relationship Id="rId4e7wpceti1_aaxprowzrd" Type="http://schemas.openxmlformats.org/officeDocument/2006/relationships/hyperlink" Target="https://www.atlasworkspace.ai/blog/notebooklm-limitations" TargetMode="External"/><Relationship Id="rIdxjmuijncintl1wigcbupj" Type="http://schemas.openxmlformats.org/officeDocument/2006/relationships/hyperlink" Target="https://www.xda-developers.com/notebooklms-source-limit-is-its-biggest-problem/"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2026-04-22T20:57:06.731Z</dcterms:created>
  <dcterms:modified xsi:type="dcterms:W3CDTF">2026-04-22T20:57:06.731Z</dcterms:modified>
</cp:coreProperties>
</file>

<file path=docProps/custom.xml><?xml version="1.0" encoding="utf-8"?>
<Properties xmlns="http://schemas.openxmlformats.org/officeDocument/2006/custom-properties" xmlns:vt="http://schemas.openxmlformats.org/officeDocument/2006/docPropsVTypes"/>
</file>