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E70C33" w14:textId="77777777" w:rsidR="00AE0392" w:rsidRPr="006E60EA" w:rsidRDefault="00B24756" w:rsidP="006E60EA">
      <w:pPr>
        <w:spacing w:line="360" w:lineRule="auto"/>
        <w:jc w:val="center"/>
        <w:rPr>
          <w:b/>
          <w:bCs/>
          <w:sz w:val="28"/>
          <w:szCs w:val="28"/>
        </w:rPr>
      </w:pPr>
      <w:r w:rsidRPr="006E60EA">
        <w:rPr>
          <w:b/>
          <w:bCs/>
          <w:noProof/>
          <w:sz w:val="28"/>
          <w:szCs w:val="28"/>
        </w:rPr>
        <w:drawing>
          <wp:inline distT="0" distB="0" distL="0" distR="0" wp14:anchorId="2084F7D6" wp14:editId="28249C8B">
            <wp:extent cx="3721100" cy="13843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4-27 121747.png"/>
                    <pic:cNvPicPr/>
                  </pic:nvPicPr>
                  <pic:blipFill>
                    <a:blip r:embed="rId8">
                      <a:extLst>
                        <a:ext uri="{28A0092B-C50C-407E-A947-70E740481C1C}">
                          <a14:useLocalDpi xmlns:a14="http://schemas.microsoft.com/office/drawing/2010/main" val="0"/>
                        </a:ext>
                      </a:extLst>
                    </a:blip>
                    <a:stretch>
                      <a:fillRect/>
                    </a:stretch>
                  </pic:blipFill>
                  <pic:spPr>
                    <a:xfrm>
                      <a:off x="0" y="0"/>
                      <a:ext cx="3721630" cy="1384497"/>
                    </a:xfrm>
                    <a:prstGeom prst="rect">
                      <a:avLst/>
                    </a:prstGeom>
                  </pic:spPr>
                </pic:pic>
              </a:graphicData>
            </a:graphic>
          </wp:inline>
        </w:drawing>
      </w:r>
    </w:p>
    <w:p w14:paraId="7BCBC53C" w14:textId="77777777" w:rsidR="00AE0392" w:rsidRPr="006E60EA" w:rsidRDefault="00AE0392" w:rsidP="004840E4">
      <w:pPr>
        <w:spacing w:line="360" w:lineRule="auto"/>
        <w:rPr>
          <w:b/>
          <w:bCs/>
          <w:sz w:val="28"/>
          <w:szCs w:val="28"/>
        </w:rPr>
      </w:pPr>
    </w:p>
    <w:p w14:paraId="535A7E4A" w14:textId="77777777" w:rsidR="004840E4" w:rsidRPr="004840E4" w:rsidRDefault="00AE0392" w:rsidP="004840E4">
      <w:pPr>
        <w:spacing w:line="360" w:lineRule="auto"/>
        <w:jc w:val="center"/>
        <w:rPr>
          <w:b/>
          <w:bCs/>
          <w:sz w:val="28"/>
          <w:szCs w:val="28"/>
        </w:rPr>
      </w:pPr>
      <w:r w:rsidRPr="006E60EA">
        <w:rPr>
          <w:b/>
          <w:bCs/>
          <w:sz w:val="28"/>
          <w:szCs w:val="28"/>
        </w:rPr>
        <w:t>BACHELOR OF LAWS (LLB) PROGRAM</w:t>
      </w:r>
    </w:p>
    <w:p w14:paraId="51ABC183" w14:textId="77777777" w:rsidR="004840E4" w:rsidRPr="006E60EA" w:rsidRDefault="004840E4" w:rsidP="004840E4">
      <w:pPr>
        <w:spacing w:after="160" w:line="360" w:lineRule="auto"/>
        <w:jc w:val="center"/>
        <w:rPr>
          <w:b/>
          <w:bCs/>
          <w:sz w:val="32"/>
          <w:szCs w:val="32"/>
        </w:rPr>
      </w:pPr>
    </w:p>
    <w:p w14:paraId="452B9642" w14:textId="77777777" w:rsidR="00B24756" w:rsidRPr="004840E4" w:rsidRDefault="004840E4" w:rsidP="004840E4">
      <w:pPr>
        <w:spacing w:after="160" w:line="360" w:lineRule="auto"/>
        <w:jc w:val="center"/>
        <w:rPr>
          <w:b/>
          <w:bCs/>
          <w:sz w:val="32"/>
          <w:szCs w:val="32"/>
        </w:rPr>
      </w:pPr>
      <w:r w:rsidRPr="006E60EA">
        <w:rPr>
          <w:b/>
          <w:bCs/>
          <w:sz w:val="32"/>
          <w:szCs w:val="32"/>
        </w:rPr>
        <w:t>MAY, 2026</w:t>
      </w:r>
    </w:p>
    <w:p w14:paraId="34302962" w14:textId="77777777" w:rsidR="00CC1296" w:rsidRPr="006E60EA" w:rsidRDefault="00CC1296" w:rsidP="006E60EA">
      <w:pPr>
        <w:spacing w:line="360" w:lineRule="auto"/>
        <w:jc w:val="center"/>
        <w:rPr>
          <w:rFonts w:eastAsia="Garamond"/>
          <w:b/>
          <w:sz w:val="28"/>
          <w:szCs w:val="40"/>
        </w:rPr>
      </w:pPr>
    </w:p>
    <w:p w14:paraId="36B0726A" w14:textId="77777777" w:rsidR="00AE0392" w:rsidRPr="006E60EA" w:rsidRDefault="00AE0392" w:rsidP="006E60EA">
      <w:pPr>
        <w:spacing w:line="360" w:lineRule="auto"/>
        <w:jc w:val="center"/>
        <w:rPr>
          <w:b/>
          <w:bCs/>
          <w:sz w:val="28"/>
          <w:szCs w:val="28"/>
        </w:rPr>
      </w:pPr>
      <w:r w:rsidRPr="006E60EA">
        <w:rPr>
          <w:b/>
          <w:bCs/>
          <w:sz w:val="28"/>
          <w:szCs w:val="28"/>
        </w:rPr>
        <w:t>RLB 404: RESEARCH PAPER I</w:t>
      </w:r>
    </w:p>
    <w:p w14:paraId="2A220FDF" w14:textId="77777777" w:rsidR="00B24756" w:rsidRPr="006E60EA" w:rsidRDefault="00B24756" w:rsidP="004840E4">
      <w:pPr>
        <w:spacing w:line="360" w:lineRule="auto"/>
        <w:rPr>
          <w:b/>
          <w:bCs/>
          <w:sz w:val="28"/>
          <w:szCs w:val="28"/>
        </w:rPr>
      </w:pPr>
    </w:p>
    <w:p w14:paraId="77C79CCC" w14:textId="77777777" w:rsidR="00AE0392" w:rsidRPr="006E60EA" w:rsidRDefault="00AE0392" w:rsidP="006E60EA">
      <w:pPr>
        <w:spacing w:line="360" w:lineRule="auto"/>
        <w:jc w:val="center"/>
        <w:rPr>
          <w:b/>
          <w:bCs/>
          <w:sz w:val="28"/>
          <w:szCs w:val="28"/>
        </w:rPr>
      </w:pPr>
      <w:r w:rsidRPr="006E60EA">
        <w:rPr>
          <w:b/>
          <w:bCs/>
          <w:sz w:val="28"/>
          <w:szCs w:val="28"/>
        </w:rPr>
        <w:t>VIRGINIA WANJIKU NDUNGU</w:t>
      </w:r>
    </w:p>
    <w:p w14:paraId="3FD7468E" w14:textId="77777777" w:rsidR="00AE0392" w:rsidRPr="006E60EA" w:rsidRDefault="00AE0392" w:rsidP="006E60EA">
      <w:pPr>
        <w:spacing w:line="360" w:lineRule="auto"/>
        <w:jc w:val="center"/>
        <w:rPr>
          <w:b/>
          <w:bCs/>
          <w:sz w:val="28"/>
          <w:szCs w:val="28"/>
        </w:rPr>
      </w:pPr>
    </w:p>
    <w:p w14:paraId="40BA8695" w14:textId="77777777" w:rsidR="00AE0392" w:rsidRPr="006E60EA" w:rsidRDefault="00AE0392" w:rsidP="006E60EA">
      <w:pPr>
        <w:spacing w:line="360" w:lineRule="auto"/>
        <w:jc w:val="center"/>
        <w:rPr>
          <w:b/>
          <w:bCs/>
          <w:sz w:val="28"/>
          <w:szCs w:val="28"/>
        </w:rPr>
      </w:pPr>
      <w:r w:rsidRPr="006E60EA">
        <w:rPr>
          <w:b/>
          <w:bCs/>
          <w:sz w:val="28"/>
          <w:szCs w:val="28"/>
        </w:rPr>
        <w:t>ADMISSION: 22ZAD107064</w:t>
      </w:r>
    </w:p>
    <w:p w14:paraId="4EC9E988" w14:textId="77777777" w:rsidR="00B24756" w:rsidRPr="006E60EA" w:rsidRDefault="00B24756" w:rsidP="004840E4">
      <w:pPr>
        <w:spacing w:line="360" w:lineRule="auto"/>
        <w:rPr>
          <w:b/>
          <w:bCs/>
          <w:sz w:val="28"/>
          <w:szCs w:val="28"/>
        </w:rPr>
      </w:pPr>
    </w:p>
    <w:p w14:paraId="3310D35C" w14:textId="77777777" w:rsidR="00B24756" w:rsidRPr="006E60EA" w:rsidRDefault="00B24756" w:rsidP="004840E4">
      <w:pPr>
        <w:spacing w:line="360" w:lineRule="auto"/>
        <w:rPr>
          <w:b/>
          <w:bCs/>
          <w:sz w:val="28"/>
          <w:szCs w:val="28"/>
        </w:rPr>
      </w:pPr>
    </w:p>
    <w:p w14:paraId="278938CE" w14:textId="77777777" w:rsidR="00AE0392" w:rsidRPr="006E60EA" w:rsidRDefault="00AE0392" w:rsidP="006E60EA">
      <w:pPr>
        <w:spacing w:line="360" w:lineRule="auto"/>
        <w:jc w:val="center"/>
        <w:rPr>
          <w:b/>
          <w:bCs/>
          <w:sz w:val="28"/>
          <w:szCs w:val="28"/>
        </w:rPr>
      </w:pPr>
    </w:p>
    <w:p w14:paraId="5654FC25" w14:textId="77777777" w:rsidR="00AE0392" w:rsidRPr="006E60EA" w:rsidRDefault="00AE0392" w:rsidP="006E60EA">
      <w:pPr>
        <w:spacing w:line="360" w:lineRule="auto"/>
        <w:jc w:val="center"/>
        <w:rPr>
          <w:b/>
          <w:bCs/>
          <w:sz w:val="28"/>
          <w:szCs w:val="28"/>
        </w:rPr>
      </w:pPr>
      <w:r w:rsidRPr="006E60EA">
        <w:rPr>
          <w:b/>
          <w:bCs/>
          <w:sz w:val="28"/>
          <w:szCs w:val="28"/>
        </w:rPr>
        <w:t>RIGHT TO REPRODUCTIVE HEALTH AS PART OF RIGHT TO HEALTH IN KENYA: A CRITICAL APPRAISAL</w:t>
      </w:r>
    </w:p>
    <w:p w14:paraId="1559F1F5" w14:textId="77777777" w:rsidR="00CC1296" w:rsidRPr="006E60EA" w:rsidRDefault="00CC1296" w:rsidP="006E60EA">
      <w:pPr>
        <w:spacing w:line="360" w:lineRule="auto"/>
        <w:jc w:val="center"/>
        <w:rPr>
          <w:b/>
          <w:bCs/>
          <w:sz w:val="28"/>
          <w:szCs w:val="28"/>
        </w:rPr>
      </w:pPr>
    </w:p>
    <w:p w14:paraId="36A407AA" w14:textId="77777777" w:rsidR="00AE0392" w:rsidRPr="006E60EA" w:rsidRDefault="00AE0392" w:rsidP="006E60EA">
      <w:pPr>
        <w:spacing w:line="360" w:lineRule="auto"/>
        <w:jc w:val="center"/>
        <w:rPr>
          <w:b/>
          <w:bCs/>
          <w:sz w:val="28"/>
          <w:szCs w:val="28"/>
        </w:rPr>
      </w:pPr>
    </w:p>
    <w:p w14:paraId="4DC6DF6C" w14:textId="77777777" w:rsidR="00AE0392" w:rsidRPr="006E60EA" w:rsidRDefault="00AE0392" w:rsidP="006E60EA">
      <w:pPr>
        <w:spacing w:line="360" w:lineRule="auto"/>
        <w:jc w:val="center"/>
        <w:rPr>
          <w:b/>
          <w:bCs/>
          <w:sz w:val="28"/>
          <w:szCs w:val="28"/>
        </w:rPr>
      </w:pPr>
      <w:r w:rsidRPr="006E60EA">
        <w:rPr>
          <w:b/>
          <w:bCs/>
          <w:sz w:val="28"/>
          <w:szCs w:val="28"/>
        </w:rPr>
        <w:t xml:space="preserve">A RESEARCH </w:t>
      </w:r>
      <w:r w:rsidR="00CC1296" w:rsidRPr="006E60EA">
        <w:rPr>
          <w:b/>
          <w:bCs/>
          <w:sz w:val="28"/>
          <w:szCs w:val="28"/>
        </w:rPr>
        <w:t>REPORT</w:t>
      </w:r>
      <w:r w:rsidRPr="006E60EA">
        <w:rPr>
          <w:b/>
          <w:bCs/>
          <w:sz w:val="28"/>
          <w:szCs w:val="28"/>
        </w:rPr>
        <w:t xml:space="preserve"> SUBMITTED IN PARTIAL FUL</w:t>
      </w:r>
      <w:r w:rsidR="00CC1296" w:rsidRPr="006E60EA">
        <w:rPr>
          <w:b/>
          <w:bCs/>
          <w:sz w:val="28"/>
          <w:szCs w:val="28"/>
        </w:rPr>
        <w:t xml:space="preserve">FILMENT OF THE REQUIREMENTS OF </w:t>
      </w:r>
      <w:r w:rsidRPr="006E60EA">
        <w:rPr>
          <w:b/>
          <w:bCs/>
          <w:sz w:val="28"/>
          <w:szCs w:val="28"/>
        </w:rPr>
        <w:t>THE BACHELORS OF LAW,</w:t>
      </w:r>
      <w:r w:rsidR="00CC1296" w:rsidRPr="006E60EA">
        <w:rPr>
          <w:b/>
          <w:bCs/>
          <w:sz w:val="28"/>
          <w:szCs w:val="28"/>
        </w:rPr>
        <w:t xml:space="preserve"> </w:t>
      </w:r>
      <w:r w:rsidRPr="006E60EA">
        <w:rPr>
          <w:b/>
          <w:bCs/>
          <w:sz w:val="28"/>
          <w:szCs w:val="28"/>
        </w:rPr>
        <w:t>RIARA LAW SCHOOL, RIARA UNIVERSITY</w:t>
      </w:r>
    </w:p>
    <w:p w14:paraId="617603D4" w14:textId="77777777" w:rsidR="00AE0392" w:rsidRPr="006E60EA" w:rsidRDefault="00AE0392" w:rsidP="006E60EA">
      <w:pPr>
        <w:spacing w:after="160" w:line="360" w:lineRule="auto"/>
        <w:jc w:val="center"/>
        <w:rPr>
          <w:b/>
          <w:bCs/>
          <w:sz w:val="32"/>
          <w:szCs w:val="32"/>
        </w:rPr>
      </w:pPr>
    </w:p>
    <w:p w14:paraId="01598ED3" w14:textId="71001677" w:rsidR="0072532A" w:rsidRPr="007512C1" w:rsidRDefault="0072532A" w:rsidP="007512C1">
      <w:pPr>
        <w:spacing w:line="360" w:lineRule="auto"/>
        <w:jc w:val="center"/>
        <w:rPr>
          <w:b/>
        </w:rPr>
      </w:pPr>
      <w:r w:rsidRPr="006E60EA">
        <w:br w:type="page"/>
      </w:r>
      <w:r w:rsidRPr="006E60EA">
        <w:rPr>
          <w:b/>
        </w:rPr>
        <w:lastRenderedPageBreak/>
        <w:t>DECLARATION</w:t>
      </w:r>
    </w:p>
    <w:p w14:paraId="28C72D9D" w14:textId="070D84B4" w:rsidR="007512C1" w:rsidRPr="002E13AD" w:rsidRDefault="007512C1" w:rsidP="007512C1">
      <w:pPr>
        <w:spacing w:line="360" w:lineRule="auto"/>
      </w:pPr>
      <w:r w:rsidRPr="002E13AD">
        <w:t>I, VIRGINIA WANJIKU NDUNG’U, do hereby declare that this research is my</w:t>
      </w:r>
      <w:r>
        <w:t xml:space="preserve"> </w:t>
      </w:r>
      <w:r w:rsidRPr="002E13AD">
        <w:t xml:space="preserve">original work and that to the best of my belief; it has not been previously, in </w:t>
      </w:r>
      <w:r>
        <w:t>its entirety</w:t>
      </w:r>
      <w:r w:rsidRPr="002E13AD">
        <w:t xml:space="preserve"> or in part, been submitted to any other university for a degree or diploma.</w:t>
      </w:r>
      <w:r>
        <w:t xml:space="preserve"> </w:t>
      </w:r>
      <w:r w:rsidRPr="002E13AD">
        <w:t>Other works cited or referred to are accordingly acknowledged.</w:t>
      </w:r>
    </w:p>
    <w:p w14:paraId="7C2DAB56" w14:textId="7D73D7C2" w:rsidR="007512C1" w:rsidRDefault="007512C1" w:rsidP="007512C1">
      <w:pPr>
        <w:spacing w:line="360" w:lineRule="auto"/>
      </w:pPr>
    </w:p>
    <w:p w14:paraId="60291660" w14:textId="77777777" w:rsidR="007512C1" w:rsidRDefault="007512C1" w:rsidP="007512C1">
      <w:pPr>
        <w:spacing w:line="360" w:lineRule="auto"/>
      </w:pPr>
    </w:p>
    <w:p w14:paraId="7F12F122" w14:textId="2DAF7A89" w:rsidR="007512C1" w:rsidRDefault="007512C1" w:rsidP="007512C1">
      <w:pPr>
        <w:spacing w:line="360" w:lineRule="auto"/>
      </w:pPr>
      <w:r w:rsidRPr="002E13AD">
        <w:t>Signed:</w:t>
      </w:r>
    </w:p>
    <w:p w14:paraId="3FFC93C4" w14:textId="77777777" w:rsidR="007512C1" w:rsidRPr="002E13AD" w:rsidRDefault="007512C1" w:rsidP="007512C1">
      <w:pPr>
        <w:spacing w:line="360" w:lineRule="auto"/>
      </w:pPr>
    </w:p>
    <w:p w14:paraId="14B99EF7" w14:textId="77777777" w:rsidR="007512C1" w:rsidRPr="002E13AD" w:rsidRDefault="007512C1" w:rsidP="007512C1">
      <w:pPr>
        <w:spacing w:line="360" w:lineRule="auto"/>
      </w:pPr>
      <w:r w:rsidRPr="002E13AD">
        <w:t>Date:</w:t>
      </w:r>
    </w:p>
    <w:p w14:paraId="301415B7" w14:textId="2843C5FF" w:rsidR="007512C1" w:rsidRDefault="007512C1" w:rsidP="007512C1">
      <w:pPr>
        <w:spacing w:line="360" w:lineRule="auto"/>
      </w:pPr>
    </w:p>
    <w:p w14:paraId="4B0F8873" w14:textId="0028AFE0" w:rsidR="007512C1" w:rsidRDefault="007512C1" w:rsidP="007512C1">
      <w:pPr>
        <w:spacing w:line="360" w:lineRule="auto"/>
      </w:pPr>
    </w:p>
    <w:p w14:paraId="33EFC784" w14:textId="773E0F26" w:rsidR="007512C1" w:rsidRDefault="007512C1" w:rsidP="007512C1">
      <w:pPr>
        <w:spacing w:line="360" w:lineRule="auto"/>
      </w:pPr>
    </w:p>
    <w:p w14:paraId="22D821B6" w14:textId="77777777" w:rsidR="007512C1" w:rsidRDefault="007512C1" w:rsidP="007512C1">
      <w:pPr>
        <w:spacing w:line="360" w:lineRule="auto"/>
      </w:pPr>
    </w:p>
    <w:p w14:paraId="3ADC3992" w14:textId="77777777" w:rsidR="007512C1" w:rsidRPr="002E13AD" w:rsidRDefault="007512C1" w:rsidP="007512C1">
      <w:pPr>
        <w:spacing w:line="360" w:lineRule="auto"/>
      </w:pPr>
    </w:p>
    <w:p w14:paraId="0D91D8DD" w14:textId="77777777" w:rsidR="007512C1" w:rsidRPr="002E13AD" w:rsidRDefault="007512C1" w:rsidP="007512C1">
      <w:pPr>
        <w:spacing w:line="360" w:lineRule="auto"/>
      </w:pPr>
      <w:r w:rsidRPr="002E13AD">
        <w:t>This dissertation has been submitted for examination with my approval as University Supervisor.</w:t>
      </w:r>
    </w:p>
    <w:p w14:paraId="2F393F6C" w14:textId="77777777" w:rsidR="007512C1" w:rsidRDefault="007512C1" w:rsidP="007512C1">
      <w:pPr>
        <w:spacing w:line="360" w:lineRule="auto"/>
      </w:pPr>
      <w:r w:rsidRPr="002E13AD">
        <w:t>Signed</w:t>
      </w:r>
      <w:r>
        <w:t>:</w:t>
      </w:r>
    </w:p>
    <w:p w14:paraId="2B53449F" w14:textId="77777777" w:rsidR="0072532A" w:rsidRPr="006E60EA" w:rsidRDefault="0072532A" w:rsidP="007512C1"/>
    <w:p w14:paraId="347C625A" w14:textId="77777777" w:rsidR="0072532A" w:rsidRPr="006E60EA" w:rsidRDefault="0072532A" w:rsidP="006E60EA">
      <w:pPr>
        <w:spacing w:after="160" w:line="360" w:lineRule="auto"/>
        <w:jc w:val="center"/>
        <w:rPr>
          <w:b/>
          <w:bCs/>
          <w:sz w:val="32"/>
          <w:szCs w:val="32"/>
        </w:rPr>
      </w:pPr>
    </w:p>
    <w:p w14:paraId="22D5E153" w14:textId="77777777" w:rsidR="0072532A" w:rsidRPr="006E60EA" w:rsidRDefault="0072532A" w:rsidP="006E60EA">
      <w:pPr>
        <w:spacing w:after="160" w:line="360" w:lineRule="auto"/>
        <w:jc w:val="center"/>
        <w:rPr>
          <w:b/>
          <w:bCs/>
          <w:sz w:val="32"/>
          <w:szCs w:val="32"/>
        </w:rPr>
      </w:pPr>
    </w:p>
    <w:p w14:paraId="023203B3" w14:textId="77777777" w:rsidR="0072532A" w:rsidRPr="006E60EA" w:rsidRDefault="0072532A" w:rsidP="006E60EA">
      <w:pPr>
        <w:spacing w:after="160" w:line="360" w:lineRule="auto"/>
        <w:jc w:val="center"/>
        <w:rPr>
          <w:b/>
          <w:bCs/>
          <w:sz w:val="32"/>
          <w:szCs w:val="32"/>
        </w:rPr>
      </w:pPr>
    </w:p>
    <w:p w14:paraId="53C495A2" w14:textId="77777777" w:rsidR="0072532A" w:rsidRPr="006E60EA" w:rsidRDefault="0072532A" w:rsidP="006E60EA">
      <w:pPr>
        <w:spacing w:after="160" w:line="360" w:lineRule="auto"/>
        <w:jc w:val="center"/>
        <w:rPr>
          <w:b/>
          <w:bCs/>
          <w:sz w:val="32"/>
          <w:szCs w:val="32"/>
        </w:rPr>
      </w:pPr>
    </w:p>
    <w:p w14:paraId="37AD5D1E" w14:textId="77777777" w:rsidR="0072532A" w:rsidRPr="006E60EA" w:rsidRDefault="0072532A" w:rsidP="006E60EA">
      <w:pPr>
        <w:spacing w:after="160" w:line="360" w:lineRule="auto"/>
        <w:jc w:val="center"/>
        <w:rPr>
          <w:b/>
          <w:bCs/>
          <w:sz w:val="32"/>
          <w:szCs w:val="32"/>
        </w:rPr>
      </w:pPr>
    </w:p>
    <w:p w14:paraId="10DA1CA5" w14:textId="77777777" w:rsidR="0072532A" w:rsidRPr="006E60EA" w:rsidRDefault="0072532A" w:rsidP="006E60EA">
      <w:pPr>
        <w:spacing w:after="160" w:line="360" w:lineRule="auto"/>
        <w:jc w:val="center"/>
        <w:rPr>
          <w:b/>
          <w:bCs/>
          <w:sz w:val="32"/>
          <w:szCs w:val="32"/>
        </w:rPr>
      </w:pPr>
    </w:p>
    <w:p w14:paraId="3163AFE8" w14:textId="1BB39DBD" w:rsidR="0072532A" w:rsidRPr="006E60EA" w:rsidRDefault="0072532A" w:rsidP="006E60EA">
      <w:pPr>
        <w:spacing w:after="160" w:line="360" w:lineRule="auto"/>
        <w:jc w:val="center"/>
        <w:rPr>
          <w:b/>
          <w:bCs/>
          <w:sz w:val="32"/>
          <w:szCs w:val="32"/>
        </w:rPr>
      </w:pPr>
    </w:p>
    <w:p w14:paraId="0DB5E3F1" w14:textId="70E492B2" w:rsidR="0072532A" w:rsidRPr="006E60EA" w:rsidRDefault="0072532A" w:rsidP="006E60EA">
      <w:pPr>
        <w:spacing w:line="360" w:lineRule="auto"/>
        <w:jc w:val="center"/>
        <w:rPr>
          <w:b/>
          <w:bCs/>
        </w:rPr>
      </w:pPr>
      <w:r w:rsidRPr="006E60EA">
        <w:rPr>
          <w:b/>
        </w:rPr>
        <w:lastRenderedPageBreak/>
        <w:t>DEDICATED TO</w:t>
      </w:r>
    </w:p>
    <w:p w14:paraId="39E1D4E3" w14:textId="77777777" w:rsidR="007512C1" w:rsidRPr="00E955C5" w:rsidRDefault="007512C1" w:rsidP="007512C1">
      <w:pPr>
        <w:spacing w:line="360" w:lineRule="auto"/>
      </w:pPr>
      <w:r w:rsidRPr="00E955C5">
        <w:rPr>
          <w:i/>
          <w:iCs/>
        </w:rPr>
        <w:t>To every woman whose voice has been silenced, whose pain has been overlooked, and whose rights are still being fought for — this work is for you.</w:t>
      </w:r>
    </w:p>
    <w:p w14:paraId="27B0EC45" w14:textId="77777777" w:rsidR="007512C1" w:rsidRPr="00E955C5" w:rsidRDefault="007512C1" w:rsidP="007512C1">
      <w:pPr>
        <w:spacing w:line="360" w:lineRule="auto"/>
      </w:pPr>
      <w:r w:rsidRPr="00E955C5">
        <w:t>There are no words sufficient enough to thank my parents</w:t>
      </w:r>
      <w:r>
        <w:t>, Francis Kamau and Beth Wangari,</w:t>
      </w:r>
      <w:r w:rsidRPr="00E955C5">
        <w:t xml:space="preserve"> for everything they have poured into me. Their love, sacrifices, and quiet, steadfast belief in me have been the foundation upon which every achievement in my life stands. This degree belongs to them just as much as it belongs to me.</w:t>
      </w:r>
    </w:p>
    <w:p w14:paraId="4964EACF" w14:textId="77777777" w:rsidR="007512C1" w:rsidRPr="00E955C5" w:rsidRDefault="007512C1" w:rsidP="007512C1">
      <w:pPr>
        <w:spacing w:line="360" w:lineRule="auto"/>
      </w:pPr>
      <w:r w:rsidRPr="00E955C5">
        <w:t>My aunt, Margaret Wambui, is one of the greatest gifts in my life. She stepped in, showed up, and never let me walk this journey alone. Her kindness, generosity, and unwavering support held me together in ways I will never forget. This is as much her victory as it is mine.</w:t>
      </w:r>
    </w:p>
    <w:p w14:paraId="3F90D593" w14:textId="77777777" w:rsidR="007512C1" w:rsidRPr="00E955C5" w:rsidRDefault="007512C1" w:rsidP="007512C1">
      <w:pPr>
        <w:spacing w:line="360" w:lineRule="auto"/>
      </w:pPr>
      <w:r w:rsidRPr="00E955C5">
        <w:t>My cousins Betty, Wanjiku, Allan, and Diana have been my cheerleaders when I could not cheer for myself. Their words of encouragement landed exactly when I needed them most, and I am so grateful to do life alongside each of them.</w:t>
      </w:r>
    </w:p>
    <w:p w14:paraId="325E4218" w14:textId="78C3CAFB" w:rsidR="007512C1" w:rsidRPr="00E955C5" w:rsidRDefault="007512C1" w:rsidP="007512C1">
      <w:pPr>
        <w:spacing w:line="360" w:lineRule="auto"/>
      </w:pPr>
      <w:r w:rsidRPr="00E955C5">
        <w:t>Michael, my</w:t>
      </w:r>
      <w:r w:rsidR="009B4E2C">
        <w:t xml:space="preserve"> best</w:t>
      </w:r>
      <w:r w:rsidRPr="00E955C5">
        <w:t xml:space="preserve"> friend</w:t>
      </w:r>
      <w:r>
        <w:t xml:space="preserve">, </w:t>
      </w:r>
      <w:r w:rsidRPr="00E955C5">
        <w:t>thank you for being the kind of friend who listens without judgment, shows up without being asked, and stays through every rant, every breakdown, and every in-between moment. Truly irreplaceable.</w:t>
      </w:r>
    </w:p>
    <w:p w14:paraId="651A5674" w14:textId="77777777" w:rsidR="007512C1" w:rsidRPr="00E955C5" w:rsidRDefault="007512C1" w:rsidP="007512C1">
      <w:pPr>
        <w:spacing w:line="360" w:lineRule="auto"/>
      </w:pPr>
      <w:r w:rsidRPr="00E955C5">
        <w:t>Tabby, Lixine, Wanjiku Mathara, Nikki, Komu, Karwitha, and Bill</w:t>
      </w:r>
      <w:r>
        <w:t xml:space="preserve">, </w:t>
      </w:r>
      <w:r w:rsidRPr="00E955C5">
        <w:t>thank you for the laughter, the memories, and for reminding me that balance is everything. You made the hard seasons lighter and the good ones unforgettable. I am so lucky to call y</w:t>
      </w:r>
      <w:r>
        <w:t xml:space="preserve">’all </w:t>
      </w:r>
      <w:r w:rsidRPr="00E955C5">
        <w:t>my people.</w:t>
      </w:r>
    </w:p>
    <w:p w14:paraId="3E7381C6" w14:textId="77777777" w:rsidR="007512C1" w:rsidRPr="002E13AD" w:rsidRDefault="007512C1" w:rsidP="007512C1">
      <w:pPr>
        <w:spacing w:line="360" w:lineRule="auto"/>
      </w:pPr>
      <w:r w:rsidRPr="00E955C5">
        <w:t>And to myself</w:t>
      </w:r>
      <w:r>
        <w:t xml:space="preserve">; </w:t>
      </w:r>
      <w:r w:rsidRPr="00E955C5">
        <w:t>I want to take a moment to thank me. I want to thank me for believing in me, for doing all this hard work, for showing up even when it was difficult, for never quitting, for just being me at all times. Through every sleepless night, every moment of doubt, and every time the finish line felt impossibly far</w:t>
      </w:r>
      <w:r>
        <w:t xml:space="preserve">, </w:t>
      </w:r>
      <w:r w:rsidRPr="00E955C5">
        <w:t>I kept going. That took strength. That took courage. That took everything I had. So</w:t>
      </w:r>
      <w:r>
        <w:t>,</w:t>
      </w:r>
      <w:r w:rsidRPr="00E955C5">
        <w:t xml:space="preserve"> this one is for me.</w:t>
      </w:r>
    </w:p>
    <w:p w14:paraId="15F65119" w14:textId="77777777" w:rsidR="0072532A" w:rsidRPr="006E60EA" w:rsidRDefault="0072532A" w:rsidP="007512C1">
      <w:r w:rsidRPr="006E60EA">
        <w:br w:type="page"/>
      </w:r>
    </w:p>
    <w:p w14:paraId="66E15223" w14:textId="03438744" w:rsidR="00AE0392" w:rsidRDefault="0072532A" w:rsidP="007512C1">
      <w:pPr>
        <w:spacing w:after="160" w:line="360" w:lineRule="auto"/>
        <w:jc w:val="center"/>
        <w:rPr>
          <w:b/>
          <w:bCs/>
          <w:sz w:val="32"/>
          <w:szCs w:val="32"/>
        </w:rPr>
      </w:pPr>
      <w:r w:rsidRPr="006E60EA">
        <w:rPr>
          <w:b/>
        </w:rPr>
        <w:lastRenderedPageBreak/>
        <w:t>ACKNOWLEDGEMENTS</w:t>
      </w:r>
    </w:p>
    <w:p w14:paraId="1D2B31DE" w14:textId="77777777" w:rsidR="007512C1" w:rsidRPr="00C33CFC" w:rsidRDefault="007512C1" w:rsidP="007512C1">
      <w:pPr>
        <w:spacing w:line="360" w:lineRule="auto"/>
      </w:pPr>
      <w:r w:rsidRPr="00C33CFC">
        <w:t>The completion of this dissertation stands as a testament to the grace of God and the generous support of many remarkable people, to whom I owe a gratitude that words can scarcely capture.</w:t>
      </w:r>
    </w:p>
    <w:p w14:paraId="1D24CD12" w14:textId="77777777" w:rsidR="007512C1" w:rsidRDefault="007512C1" w:rsidP="007512C1">
      <w:pPr>
        <w:spacing w:line="360" w:lineRule="auto"/>
      </w:pPr>
      <w:r w:rsidRPr="00C33CFC">
        <w:t>To my supervisor, Mr. Fred Ogwel</w:t>
      </w:r>
      <w:r>
        <w:t>,</w:t>
      </w:r>
      <w:r w:rsidRPr="00C33CFC">
        <w:t xml:space="preserve"> thank you for your patience, wisdom, and unwavering dedication throughout this journey. Your guidance pushed me beyond my own expectations and gave this work both its direction and its depth. I could not have asked for a more committed mentor.</w:t>
      </w:r>
    </w:p>
    <w:p w14:paraId="27DBE097" w14:textId="77777777" w:rsidR="007512C1" w:rsidRDefault="007512C1" w:rsidP="007512C1">
      <w:pPr>
        <w:spacing w:line="360" w:lineRule="auto"/>
      </w:pPr>
      <w:r w:rsidRPr="00C33CFC">
        <w:t>I am deeply grateful to Dr. Jackline Nyaga, whose foundational contributions to this area of research served as both a compass and an inspiration, and to Ms. Cynthia Njoroge, my Health Law lecturer, whose passionate teaching brought the profound intersection of law and human wellbeing to life in ways that shaped this dissertation immeasurably.</w:t>
      </w:r>
    </w:p>
    <w:p w14:paraId="3943CB69" w14:textId="77777777" w:rsidR="007512C1" w:rsidRPr="00C33CFC" w:rsidRDefault="007512C1" w:rsidP="007512C1">
      <w:pPr>
        <w:spacing w:line="360" w:lineRule="auto"/>
      </w:pPr>
      <w:r w:rsidRPr="00C33CFC">
        <w:t>To every lecturer and member of faculty at Riara University who invested in me throughout this undergraduate journey</w:t>
      </w:r>
      <w:r>
        <w:t xml:space="preserve">, </w:t>
      </w:r>
      <w:r w:rsidRPr="00C33CFC">
        <w:t>thank you. Each of you contributed to shaping the legal mind I am becoming, and your dedication will remain with me long after these years have passed. To the University itself, thank you for the enabling environment, the resources, and the sense of community that made this work possible.</w:t>
      </w:r>
    </w:p>
    <w:p w14:paraId="78DF4AB7" w14:textId="77777777" w:rsidR="007512C1" w:rsidRPr="00C33CFC" w:rsidRDefault="007512C1" w:rsidP="007512C1">
      <w:pPr>
        <w:spacing w:line="360" w:lineRule="auto"/>
      </w:pPr>
      <w:r w:rsidRPr="00C33CFC">
        <w:t>To my classmates and friends in the LLB program</w:t>
      </w:r>
      <w:r>
        <w:t xml:space="preserve">, </w:t>
      </w:r>
      <w:r w:rsidRPr="00C33CFC">
        <w:t>thank</w:t>
      </w:r>
      <w:r>
        <w:t xml:space="preserve"> </w:t>
      </w:r>
      <w:r w:rsidRPr="00C33CFC">
        <w:t>you for the camaraderie, the encouragement, and the shared belief that we would all reach this finish line together.</w:t>
      </w:r>
    </w:p>
    <w:p w14:paraId="29424AF0" w14:textId="77777777" w:rsidR="007512C1" w:rsidRPr="00C33CFC" w:rsidRDefault="007512C1" w:rsidP="007512C1">
      <w:pPr>
        <w:spacing w:line="360" w:lineRule="auto"/>
      </w:pPr>
      <w:r w:rsidRPr="00C33CFC">
        <w:t>Above all, I am eternally grateful to God for the gift of life, health, strength, and grace. Without His hand over this journey, none of this would have been possible.</w:t>
      </w:r>
    </w:p>
    <w:p w14:paraId="50A8DED8" w14:textId="1D09B239" w:rsidR="007512C1" w:rsidRDefault="007512C1" w:rsidP="007512C1"/>
    <w:p w14:paraId="1807028F" w14:textId="54210CBB" w:rsidR="007512C1" w:rsidRDefault="007512C1" w:rsidP="007512C1"/>
    <w:p w14:paraId="12F23F5F" w14:textId="10A9B160" w:rsidR="007512C1" w:rsidRDefault="007512C1" w:rsidP="007512C1"/>
    <w:p w14:paraId="59065CAE" w14:textId="632D650B" w:rsidR="007512C1" w:rsidRDefault="007512C1" w:rsidP="007512C1"/>
    <w:p w14:paraId="5F8A41EB" w14:textId="55227B26" w:rsidR="007512C1" w:rsidRDefault="007512C1" w:rsidP="007512C1"/>
    <w:p w14:paraId="26DB383F" w14:textId="1AC2C697" w:rsidR="007512C1" w:rsidRDefault="007512C1" w:rsidP="007512C1"/>
    <w:p w14:paraId="3D4946C1" w14:textId="70A75E1B" w:rsidR="007512C1" w:rsidRDefault="007512C1" w:rsidP="007512C1"/>
    <w:p w14:paraId="5FD21769" w14:textId="025FBA80" w:rsidR="007512C1" w:rsidRDefault="007512C1" w:rsidP="007512C1"/>
    <w:p w14:paraId="2D825EFF" w14:textId="4247A73B" w:rsidR="007512C1" w:rsidRDefault="007512C1" w:rsidP="007512C1"/>
    <w:p w14:paraId="51E74BF0" w14:textId="14D64916" w:rsidR="007512C1" w:rsidRDefault="007512C1" w:rsidP="007512C1"/>
    <w:p w14:paraId="7BBE9CE4" w14:textId="25DAA641" w:rsidR="007512C1" w:rsidRDefault="007512C1" w:rsidP="007512C1"/>
    <w:p w14:paraId="5028E00F" w14:textId="20EFCD3D" w:rsidR="007512C1" w:rsidRDefault="007512C1" w:rsidP="007512C1"/>
    <w:p w14:paraId="2AA15535" w14:textId="45F94E92" w:rsidR="007512C1" w:rsidRDefault="007512C1" w:rsidP="007512C1"/>
    <w:p w14:paraId="08481753" w14:textId="77777777" w:rsidR="007512C1" w:rsidRPr="007512C1" w:rsidRDefault="007512C1" w:rsidP="007512C1"/>
    <w:sdt>
      <w:sdtPr>
        <w:rPr>
          <w:rFonts w:eastAsia="Times New Roman" w:cs="Times New Roman"/>
          <w:b w:val="0"/>
          <w:color w:val="auto"/>
          <w:sz w:val="24"/>
          <w:szCs w:val="24"/>
        </w:rPr>
        <w:id w:val="-1943978990"/>
        <w:docPartObj>
          <w:docPartGallery w:val="Table of Contents"/>
          <w:docPartUnique/>
        </w:docPartObj>
      </w:sdtPr>
      <w:sdtEndPr>
        <w:rPr>
          <w:bCs/>
          <w:noProof/>
        </w:rPr>
      </w:sdtEndPr>
      <w:sdtContent>
        <w:bookmarkStart w:id="0" w:name="_GoBack" w:displacedByCustomXml="prev"/>
        <w:bookmarkEnd w:id="0" w:displacedByCustomXml="prev"/>
        <w:p w14:paraId="6D190445" w14:textId="77777777" w:rsidR="00236FC8" w:rsidRPr="006E60EA" w:rsidRDefault="00236FC8" w:rsidP="006E60EA">
          <w:pPr>
            <w:pStyle w:val="TOCHeading"/>
            <w:spacing w:line="360" w:lineRule="auto"/>
            <w:rPr>
              <w:rFonts w:cs="Times New Roman"/>
            </w:rPr>
          </w:pPr>
          <w:r w:rsidRPr="006E60EA">
            <w:rPr>
              <w:rFonts w:cs="Times New Roman"/>
            </w:rPr>
            <w:t>Table of Contents</w:t>
          </w:r>
        </w:p>
        <w:p w14:paraId="73BBBC0C" w14:textId="4F640F23" w:rsidR="005E0520" w:rsidRDefault="00236FC8">
          <w:pPr>
            <w:pStyle w:val="TOC1"/>
            <w:tabs>
              <w:tab w:val="right" w:leader="dot" w:pos="8990"/>
            </w:tabs>
            <w:rPr>
              <w:rFonts w:asciiTheme="minorHAnsi" w:eastAsiaTheme="minorEastAsia" w:hAnsiTheme="minorHAnsi" w:cstheme="minorBidi"/>
              <w:noProof/>
              <w:sz w:val="22"/>
              <w:szCs w:val="22"/>
            </w:rPr>
          </w:pPr>
          <w:r w:rsidRPr="006E60EA">
            <w:fldChar w:fldCharType="begin"/>
          </w:r>
          <w:r w:rsidRPr="006E60EA">
            <w:instrText xml:space="preserve"> TOC \o "1-3" \h \z \u </w:instrText>
          </w:r>
          <w:r w:rsidRPr="006E60EA">
            <w:fldChar w:fldCharType="separate"/>
          </w:r>
          <w:hyperlink w:anchor="_Toc231382970" w:history="1">
            <w:r w:rsidR="005E0520" w:rsidRPr="00B26ED0">
              <w:rPr>
                <w:rStyle w:val="Hyperlink"/>
                <w:noProof/>
              </w:rPr>
              <w:t>CHAPTER ONE</w:t>
            </w:r>
            <w:r w:rsidR="005E0520">
              <w:rPr>
                <w:noProof/>
                <w:webHidden/>
              </w:rPr>
              <w:tab/>
            </w:r>
            <w:r w:rsidR="005E0520">
              <w:rPr>
                <w:noProof/>
                <w:webHidden/>
              </w:rPr>
              <w:fldChar w:fldCharType="begin"/>
            </w:r>
            <w:r w:rsidR="005E0520">
              <w:rPr>
                <w:noProof/>
                <w:webHidden/>
              </w:rPr>
              <w:instrText xml:space="preserve"> PAGEREF _Toc231382970 \h </w:instrText>
            </w:r>
            <w:r w:rsidR="005E0520">
              <w:rPr>
                <w:noProof/>
                <w:webHidden/>
              </w:rPr>
            </w:r>
            <w:r w:rsidR="005E0520">
              <w:rPr>
                <w:noProof/>
                <w:webHidden/>
              </w:rPr>
              <w:fldChar w:fldCharType="separate"/>
            </w:r>
            <w:r w:rsidR="005E0520">
              <w:rPr>
                <w:noProof/>
                <w:webHidden/>
              </w:rPr>
              <w:t>1</w:t>
            </w:r>
            <w:r w:rsidR="005E0520">
              <w:rPr>
                <w:noProof/>
                <w:webHidden/>
              </w:rPr>
              <w:fldChar w:fldCharType="end"/>
            </w:r>
          </w:hyperlink>
        </w:p>
        <w:p w14:paraId="042A0589" w14:textId="33E0506A"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71" w:history="1">
            <w:r w:rsidRPr="00B26ED0">
              <w:rPr>
                <w:rStyle w:val="Hyperlink"/>
                <w:noProof/>
              </w:rPr>
              <w:t>Introduction</w:t>
            </w:r>
            <w:r>
              <w:rPr>
                <w:noProof/>
                <w:webHidden/>
              </w:rPr>
              <w:tab/>
            </w:r>
            <w:r>
              <w:rPr>
                <w:noProof/>
                <w:webHidden/>
              </w:rPr>
              <w:fldChar w:fldCharType="begin"/>
            </w:r>
            <w:r>
              <w:rPr>
                <w:noProof/>
                <w:webHidden/>
              </w:rPr>
              <w:instrText xml:space="preserve"> PAGEREF _Toc231382971 \h </w:instrText>
            </w:r>
            <w:r>
              <w:rPr>
                <w:noProof/>
                <w:webHidden/>
              </w:rPr>
            </w:r>
            <w:r>
              <w:rPr>
                <w:noProof/>
                <w:webHidden/>
              </w:rPr>
              <w:fldChar w:fldCharType="separate"/>
            </w:r>
            <w:r>
              <w:rPr>
                <w:noProof/>
                <w:webHidden/>
              </w:rPr>
              <w:t>1</w:t>
            </w:r>
            <w:r>
              <w:rPr>
                <w:noProof/>
                <w:webHidden/>
              </w:rPr>
              <w:fldChar w:fldCharType="end"/>
            </w:r>
          </w:hyperlink>
        </w:p>
        <w:p w14:paraId="5B22FEE8" w14:textId="4BF072FF"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72" w:history="1">
            <w:r w:rsidRPr="00B26ED0">
              <w:rPr>
                <w:rStyle w:val="Hyperlink"/>
                <w:noProof/>
              </w:rPr>
              <w:t>Study Background</w:t>
            </w:r>
            <w:r>
              <w:rPr>
                <w:noProof/>
                <w:webHidden/>
              </w:rPr>
              <w:tab/>
            </w:r>
            <w:r>
              <w:rPr>
                <w:noProof/>
                <w:webHidden/>
              </w:rPr>
              <w:fldChar w:fldCharType="begin"/>
            </w:r>
            <w:r>
              <w:rPr>
                <w:noProof/>
                <w:webHidden/>
              </w:rPr>
              <w:instrText xml:space="preserve"> PAGEREF _Toc231382972 \h </w:instrText>
            </w:r>
            <w:r>
              <w:rPr>
                <w:noProof/>
                <w:webHidden/>
              </w:rPr>
            </w:r>
            <w:r>
              <w:rPr>
                <w:noProof/>
                <w:webHidden/>
              </w:rPr>
              <w:fldChar w:fldCharType="separate"/>
            </w:r>
            <w:r>
              <w:rPr>
                <w:noProof/>
                <w:webHidden/>
              </w:rPr>
              <w:t>2</w:t>
            </w:r>
            <w:r>
              <w:rPr>
                <w:noProof/>
                <w:webHidden/>
              </w:rPr>
              <w:fldChar w:fldCharType="end"/>
            </w:r>
          </w:hyperlink>
        </w:p>
        <w:p w14:paraId="6899F594" w14:textId="7BD69AE2"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73" w:history="1">
            <w:r w:rsidRPr="00B26ED0">
              <w:rPr>
                <w:rStyle w:val="Hyperlink"/>
                <w:noProof/>
              </w:rPr>
              <w:t>Statement of the Problem</w:t>
            </w:r>
            <w:r>
              <w:rPr>
                <w:noProof/>
                <w:webHidden/>
              </w:rPr>
              <w:tab/>
            </w:r>
            <w:r>
              <w:rPr>
                <w:noProof/>
                <w:webHidden/>
              </w:rPr>
              <w:fldChar w:fldCharType="begin"/>
            </w:r>
            <w:r>
              <w:rPr>
                <w:noProof/>
                <w:webHidden/>
              </w:rPr>
              <w:instrText xml:space="preserve"> PAGEREF _Toc231382973 \h </w:instrText>
            </w:r>
            <w:r>
              <w:rPr>
                <w:noProof/>
                <w:webHidden/>
              </w:rPr>
            </w:r>
            <w:r>
              <w:rPr>
                <w:noProof/>
                <w:webHidden/>
              </w:rPr>
              <w:fldChar w:fldCharType="separate"/>
            </w:r>
            <w:r>
              <w:rPr>
                <w:noProof/>
                <w:webHidden/>
              </w:rPr>
              <w:t>4</w:t>
            </w:r>
            <w:r>
              <w:rPr>
                <w:noProof/>
                <w:webHidden/>
              </w:rPr>
              <w:fldChar w:fldCharType="end"/>
            </w:r>
          </w:hyperlink>
        </w:p>
        <w:p w14:paraId="756F0CCC" w14:textId="3CDED733"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74" w:history="1">
            <w:r w:rsidRPr="00B26ED0">
              <w:rPr>
                <w:rStyle w:val="Hyperlink"/>
                <w:noProof/>
              </w:rPr>
              <w:t>Research Objectives</w:t>
            </w:r>
            <w:r>
              <w:rPr>
                <w:noProof/>
                <w:webHidden/>
              </w:rPr>
              <w:tab/>
            </w:r>
            <w:r>
              <w:rPr>
                <w:noProof/>
                <w:webHidden/>
              </w:rPr>
              <w:fldChar w:fldCharType="begin"/>
            </w:r>
            <w:r>
              <w:rPr>
                <w:noProof/>
                <w:webHidden/>
              </w:rPr>
              <w:instrText xml:space="preserve"> PAGEREF _Toc231382974 \h </w:instrText>
            </w:r>
            <w:r>
              <w:rPr>
                <w:noProof/>
                <w:webHidden/>
              </w:rPr>
            </w:r>
            <w:r>
              <w:rPr>
                <w:noProof/>
                <w:webHidden/>
              </w:rPr>
              <w:fldChar w:fldCharType="separate"/>
            </w:r>
            <w:r>
              <w:rPr>
                <w:noProof/>
                <w:webHidden/>
              </w:rPr>
              <w:t>5</w:t>
            </w:r>
            <w:r>
              <w:rPr>
                <w:noProof/>
                <w:webHidden/>
              </w:rPr>
              <w:fldChar w:fldCharType="end"/>
            </w:r>
          </w:hyperlink>
        </w:p>
        <w:p w14:paraId="404AECBD" w14:textId="3DDF5138"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75" w:history="1">
            <w:r w:rsidRPr="00B26ED0">
              <w:rPr>
                <w:rStyle w:val="Hyperlink"/>
                <w:noProof/>
              </w:rPr>
              <w:t>Research Questions</w:t>
            </w:r>
            <w:r>
              <w:rPr>
                <w:noProof/>
                <w:webHidden/>
              </w:rPr>
              <w:tab/>
            </w:r>
            <w:r>
              <w:rPr>
                <w:noProof/>
                <w:webHidden/>
              </w:rPr>
              <w:fldChar w:fldCharType="begin"/>
            </w:r>
            <w:r>
              <w:rPr>
                <w:noProof/>
                <w:webHidden/>
              </w:rPr>
              <w:instrText xml:space="preserve"> PAGEREF _Toc231382975 \h </w:instrText>
            </w:r>
            <w:r>
              <w:rPr>
                <w:noProof/>
                <w:webHidden/>
              </w:rPr>
            </w:r>
            <w:r>
              <w:rPr>
                <w:noProof/>
                <w:webHidden/>
              </w:rPr>
              <w:fldChar w:fldCharType="separate"/>
            </w:r>
            <w:r>
              <w:rPr>
                <w:noProof/>
                <w:webHidden/>
              </w:rPr>
              <w:t>6</w:t>
            </w:r>
            <w:r>
              <w:rPr>
                <w:noProof/>
                <w:webHidden/>
              </w:rPr>
              <w:fldChar w:fldCharType="end"/>
            </w:r>
          </w:hyperlink>
        </w:p>
        <w:p w14:paraId="1568E79A" w14:textId="64089ADA"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76" w:history="1">
            <w:r w:rsidRPr="00B26ED0">
              <w:rPr>
                <w:rStyle w:val="Hyperlink"/>
                <w:noProof/>
              </w:rPr>
              <w:t>Hypothesis</w:t>
            </w:r>
            <w:r>
              <w:rPr>
                <w:noProof/>
                <w:webHidden/>
              </w:rPr>
              <w:tab/>
            </w:r>
            <w:r>
              <w:rPr>
                <w:noProof/>
                <w:webHidden/>
              </w:rPr>
              <w:fldChar w:fldCharType="begin"/>
            </w:r>
            <w:r>
              <w:rPr>
                <w:noProof/>
                <w:webHidden/>
              </w:rPr>
              <w:instrText xml:space="preserve"> PAGEREF _Toc231382976 \h </w:instrText>
            </w:r>
            <w:r>
              <w:rPr>
                <w:noProof/>
                <w:webHidden/>
              </w:rPr>
            </w:r>
            <w:r>
              <w:rPr>
                <w:noProof/>
                <w:webHidden/>
              </w:rPr>
              <w:fldChar w:fldCharType="separate"/>
            </w:r>
            <w:r>
              <w:rPr>
                <w:noProof/>
                <w:webHidden/>
              </w:rPr>
              <w:t>6</w:t>
            </w:r>
            <w:r>
              <w:rPr>
                <w:noProof/>
                <w:webHidden/>
              </w:rPr>
              <w:fldChar w:fldCharType="end"/>
            </w:r>
          </w:hyperlink>
        </w:p>
        <w:p w14:paraId="7489C9B9" w14:textId="41B6599C"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77" w:history="1">
            <w:r w:rsidRPr="00B26ED0">
              <w:rPr>
                <w:rStyle w:val="Hyperlink"/>
                <w:noProof/>
              </w:rPr>
              <w:t>wLiterature Review</w:t>
            </w:r>
            <w:r>
              <w:rPr>
                <w:noProof/>
                <w:webHidden/>
              </w:rPr>
              <w:tab/>
            </w:r>
            <w:r>
              <w:rPr>
                <w:noProof/>
                <w:webHidden/>
              </w:rPr>
              <w:fldChar w:fldCharType="begin"/>
            </w:r>
            <w:r>
              <w:rPr>
                <w:noProof/>
                <w:webHidden/>
              </w:rPr>
              <w:instrText xml:space="preserve"> PAGEREF _Toc231382977 \h </w:instrText>
            </w:r>
            <w:r>
              <w:rPr>
                <w:noProof/>
                <w:webHidden/>
              </w:rPr>
            </w:r>
            <w:r>
              <w:rPr>
                <w:noProof/>
                <w:webHidden/>
              </w:rPr>
              <w:fldChar w:fldCharType="separate"/>
            </w:r>
            <w:r>
              <w:rPr>
                <w:noProof/>
                <w:webHidden/>
              </w:rPr>
              <w:t>7</w:t>
            </w:r>
            <w:r>
              <w:rPr>
                <w:noProof/>
                <w:webHidden/>
              </w:rPr>
              <w:fldChar w:fldCharType="end"/>
            </w:r>
          </w:hyperlink>
        </w:p>
        <w:p w14:paraId="650CA2AF" w14:textId="751E663B"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78" w:history="1">
            <w:r w:rsidRPr="00B26ED0">
              <w:rPr>
                <w:rStyle w:val="Hyperlink"/>
                <w:noProof/>
              </w:rPr>
              <w:t>Theoretical Framework</w:t>
            </w:r>
            <w:r>
              <w:rPr>
                <w:noProof/>
                <w:webHidden/>
              </w:rPr>
              <w:tab/>
            </w:r>
            <w:r>
              <w:rPr>
                <w:noProof/>
                <w:webHidden/>
              </w:rPr>
              <w:fldChar w:fldCharType="begin"/>
            </w:r>
            <w:r>
              <w:rPr>
                <w:noProof/>
                <w:webHidden/>
              </w:rPr>
              <w:instrText xml:space="preserve"> PAGEREF _Toc231382978 \h </w:instrText>
            </w:r>
            <w:r>
              <w:rPr>
                <w:noProof/>
                <w:webHidden/>
              </w:rPr>
            </w:r>
            <w:r>
              <w:rPr>
                <w:noProof/>
                <w:webHidden/>
              </w:rPr>
              <w:fldChar w:fldCharType="separate"/>
            </w:r>
            <w:r>
              <w:rPr>
                <w:noProof/>
                <w:webHidden/>
              </w:rPr>
              <w:t>10</w:t>
            </w:r>
            <w:r>
              <w:rPr>
                <w:noProof/>
                <w:webHidden/>
              </w:rPr>
              <w:fldChar w:fldCharType="end"/>
            </w:r>
          </w:hyperlink>
        </w:p>
        <w:p w14:paraId="30CA03BE" w14:textId="1EE2FF3D"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79" w:history="1">
            <w:r w:rsidRPr="00B26ED0">
              <w:rPr>
                <w:rStyle w:val="Hyperlink"/>
                <w:noProof/>
              </w:rPr>
              <w:t>Justification of the Study</w:t>
            </w:r>
            <w:r>
              <w:rPr>
                <w:noProof/>
                <w:webHidden/>
              </w:rPr>
              <w:tab/>
            </w:r>
            <w:r>
              <w:rPr>
                <w:noProof/>
                <w:webHidden/>
              </w:rPr>
              <w:fldChar w:fldCharType="begin"/>
            </w:r>
            <w:r>
              <w:rPr>
                <w:noProof/>
                <w:webHidden/>
              </w:rPr>
              <w:instrText xml:space="preserve"> PAGEREF _Toc231382979 \h </w:instrText>
            </w:r>
            <w:r>
              <w:rPr>
                <w:noProof/>
                <w:webHidden/>
              </w:rPr>
            </w:r>
            <w:r>
              <w:rPr>
                <w:noProof/>
                <w:webHidden/>
              </w:rPr>
              <w:fldChar w:fldCharType="separate"/>
            </w:r>
            <w:r>
              <w:rPr>
                <w:noProof/>
                <w:webHidden/>
              </w:rPr>
              <w:t>13</w:t>
            </w:r>
            <w:r>
              <w:rPr>
                <w:noProof/>
                <w:webHidden/>
              </w:rPr>
              <w:fldChar w:fldCharType="end"/>
            </w:r>
          </w:hyperlink>
        </w:p>
        <w:p w14:paraId="50FE66A4" w14:textId="6E018A1C"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80" w:history="1">
            <w:r w:rsidRPr="00B26ED0">
              <w:rPr>
                <w:rStyle w:val="Hyperlink"/>
                <w:noProof/>
              </w:rPr>
              <w:t>Research Methodology</w:t>
            </w:r>
            <w:r>
              <w:rPr>
                <w:noProof/>
                <w:webHidden/>
              </w:rPr>
              <w:tab/>
            </w:r>
            <w:r>
              <w:rPr>
                <w:noProof/>
                <w:webHidden/>
              </w:rPr>
              <w:fldChar w:fldCharType="begin"/>
            </w:r>
            <w:r>
              <w:rPr>
                <w:noProof/>
                <w:webHidden/>
              </w:rPr>
              <w:instrText xml:space="preserve"> PAGEREF _Toc231382980 \h </w:instrText>
            </w:r>
            <w:r>
              <w:rPr>
                <w:noProof/>
                <w:webHidden/>
              </w:rPr>
            </w:r>
            <w:r>
              <w:rPr>
                <w:noProof/>
                <w:webHidden/>
              </w:rPr>
              <w:fldChar w:fldCharType="separate"/>
            </w:r>
            <w:r>
              <w:rPr>
                <w:noProof/>
                <w:webHidden/>
              </w:rPr>
              <w:t>15</w:t>
            </w:r>
            <w:r>
              <w:rPr>
                <w:noProof/>
                <w:webHidden/>
              </w:rPr>
              <w:fldChar w:fldCharType="end"/>
            </w:r>
          </w:hyperlink>
        </w:p>
        <w:p w14:paraId="4AB47A85" w14:textId="3F47BD30"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81" w:history="1">
            <w:r w:rsidRPr="00B26ED0">
              <w:rPr>
                <w:rStyle w:val="Hyperlink"/>
                <w:noProof/>
              </w:rPr>
              <w:t>Chapter Breakdown</w:t>
            </w:r>
            <w:r>
              <w:rPr>
                <w:noProof/>
                <w:webHidden/>
              </w:rPr>
              <w:tab/>
            </w:r>
            <w:r>
              <w:rPr>
                <w:noProof/>
                <w:webHidden/>
              </w:rPr>
              <w:fldChar w:fldCharType="begin"/>
            </w:r>
            <w:r>
              <w:rPr>
                <w:noProof/>
                <w:webHidden/>
              </w:rPr>
              <w:instrText xml:space="preserve"> PAGEREF _Toc231382981 \h </w:instrText>
            </w:r>
            <w:r>
              <w:rPr>
                <w:noProof/>
                <w:webHidden/>
              </w:rPr>
            </w:r>
            <w:r>
              <w:rPr>
                <w:noProof/>
                <w:webHidden/>
              </w:rPr>
              <w:fldChar w:fldCharType="separate"/>
            </w:r>
            <w:r>
              <w:rPr>
                <w:noProof/>
                <w:webHidden/>
              </w:rPr>
              <w:t>15</w:t>
            </w:r>
            <w:r>
              <w:rPr>
                <w:noProof/>
                <w:webHidden/>
              </w:rPr>
              <w:fldChar w:fldCharType="end"/>
            </w:r>
          </w:hyperlink>
        </w:p>
        <w:p w14:paraId="08CD0B19" w14:textId="55546B23" w:rsidR="005E0520" w:rsidRDefault="005E0520">
          <w:pPr>
            <w:pStyle w:val="TOC1"/>
            <w:tabs>
              <w:tab w:val="right" w:leader="dot" w:pos="8990"/>
            </w:tabs>
            <w:rPr>
              <w:rFonts w:asciiTheme="minorHAnsi" w:eastAsiaTheme="minorEastAsia" w:hAnsiTheme="minorHAnsi" w:cstheme="minorBidi"/>
              <w:noProof/>
              <w:sz w:val="22"/>
              <w:szCs w:val="22"/>
            </w:rPr>
          </w:pPr>
          <w:hyperlink w:anchor="_Toc231382982" w:history="1">
            <w:r w:rsidRPr="00B26ED0">
              <w:rPr>
                <w:rStyle w:val="Hyperlink"/>
                <w:noProof/>
              </w:rPr>
              <w:t>CHAPTER 2: LEGAL, HISTORICAL AND CONCEPTUAL FRAMEWORKS OF REPRODUCTIVE HEALTH RIGHTS</w:t>
            </w:r>
            <w:r>
              <w:rPr>
                <w:noProof/>
                <w:webHidden/>
              </w:rPr>
              <w:tab/>
            </w:r>
            <w:r>
              <w:rPr>
                <w:noProof/>
                <w:webHidden/>
              </w:rPr>
              <w:fldChar w:fldCharType="begin"/>
            </w:r>
            <w:r>
              <w:rPr>
                <w:noProof/>
                <w:webHidden/>
              </w:rPr>
              <w:instrText xml:space="preserve"> PAGEREF _Toc231382982 \h </w:instrText>
            </w:r>
            <w:r>
              <w:rPr>
                <w:noProof/>
                <w:webHidden/>
              </w:rPr>
            </w:r>
            <w:r>
              <w:rPr>
                <w:noProof/>
                <w:webHidden/>
              </w:rPr>
              <w:fldChar w:fldCharType="separate"/>
            </w:r>
            <w:r>
              <w:rPr>
                <w:noProof/>
                <w:webHidden/>
              </w:rPr>
              <w:t>18</w:t>
            </w:r>
            <w:r>
              <w:rPr>
                <w:noProof/>
                <w:webHidden/>
              </w:rPr>
              <w:fldChar w:fldCharType="end"/>
            </w:r>
          </w:hyperlink>
        </w:p>
        <w:p w14:paraId="3D2F7C33" w14:textId="6229B552"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83" w:history="1">
            <w:r w:rsidRPr="00B26ED0">
              <w:rPr>
                <w:rStyle w:val="Hyperlink"/>
                <w:noProof/>
              </w:rPr>
              <w:t>2.1 Introduction</w:t>
            </w:r>
            <w:r>
              <w:rPr>
                <w:noProof/>
                <w:webHidden/>
              </w:rPr>
              <w:tab/>
            </w:r>
            <w:r>
              <w:rPr>
                <w:noProof/>
                <w:webHidden/>
              </w:rPr>
              <w:fldChar w:fldCharType="begin"/>
            </w:r>
            <w:r>
              <w:rPr>
                <w:noProof/>
                <w:webHidden/>
              </w:rPr>
              <w:instrText xml:space="preserve"> PAGEREF _Toc231382983 \h </w:instrText>
            </w:r>
            <w:r>
              <w:rPr>
                <w:noProof/>
                <w:webHidden/>
              </w:rPr>
            </w:r>
            <w:r>
              <w:rPr>
                <w:noProof/>
                <w:webHidden/>
              </w:rPr>
              <w:fldChar w:fldCharType="separate"/>
            </w:r>
            <w:r>
              <w:rPr>
                <w:noProof/>
                <w:webHidden/>
              </w:rPr>
              <w:t>18</w:t>
            </w:r>
            <w:r>
              <w:rPr>
                <w:noProof/>
                <w:webHidden/>
              </w:rPr>
              <w:fldChar w:fldCharType="end"/>
            </w:r>
          </w:hyperlink>
        </w:p>
        <w:p w14:paraId="61BC7A41" w14:textId="4381AD23"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84" w:history="1">
            <w:r w:rsidRPr="00B26ED0">
              <w:rPr>
                <w:rStyle w:val="Hyperlink"/>
                <w:noProof/>
              </w:rPr>
              <w:t>2.2 Conceptualizing Reproductive Health as a Human Right</w:t>
            </w:r>
            <w:r>
              <w:rPr>
                <w:noProof/>
                <w:webHidden/>
              </w:rPr>
              <w:tab/>
            </w:r>
            <w:r>
              <w:rPr>
                <w:noProof/>
                <w:webHidden/>
              </w:rPr>
              <w:fldChar w:fldCharType="begin"/>
            </w:r>
            <w:r>
              <w:rPr>
                <w:noProof/>
                <w:webHidden/>
              </w:rPr>
              <w:instrText xml:space="preserve"> PAGEREF _Toc231382984 \h </w:instrText>
            </w:r>
            <w:r>
              <w:rPr>
                <w:noProof/>
                <w:webHidden/>
              </w:rPr>
            </w:r>
            <w:r>
              <w:rPr>
                <w:noProof/>
                <w:webHidden/>
              </w:rPr>
              <w:fldChar w:fldCharType="separate"/>
            </w:r>
            <w:r>
              <w:rPr>
                <w:noProof/>
                <w:webHidden/>
              </w:rPr>
              <w:t>18</w:t>
            </w:r>
            <w:r>
              <w:rPr>
                <w:noProof/>
                <w:webHidden/>
              </w:rPr>
              <w:fldChar w:fldCharType="end"/>
            </w:r>
          </w:hyperlink>
        </w:p>
        <w:p w14:paraId="16AB05A1" w14:textId="7163709B"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85" w:history="1">
            <w:r w:rsidRPr="00B26ED0">
              <w:rPr>
                <w:rStyle w:val="Hyperlink"/>
                <w:noProof/>
              </w:rPr>
              <w:t>2.3 The International Legal Framework</w:t>
            </w:r>
            <w:r>
              <w:rPr>
                <w:noProof/>
                <w:webHidden/>
              </w:rPr>
              <w:tab/>
            </w:r>
            <w:r>
              <w:rPr>
                <w:noProof/>
                <w:webHidden/>
              </w:rPr>
              <w:fldChar w:fldCharType="begin"/>
            </w:r>
            <w:r>
              <w:rPr>
                <w:noProof/>
                <w:webHidden/>
              </w:rPr>
              <w:instrText xml:space="preserve"> PAGEREF _Toc231382985 \h </w:instrText>
            </w:r>
            <w:r>
              <w:rPr>
                <w:noProof/>
                <w:webHidden/>
              </w:rPr>
            </w:r>
            <w:r>
              <w:rPr>
                <w:noProof/>
                <w:webHidden/>
              </w:rPr>
              <w:fldChar w:fldCharType="separate"/>
            </w:r>
            <w:r>
              <w:rPr>
                <w:noProof/>
                <w:webHidden/>
              </w:rPr>
              <w:t>18</w:t>
            </w:r>
            <w:r>
              <w:rPr>
                <w:noProof/>
                <w:webHidden/>
              </w:rPr>
              <w:fldChar w:fldCharType="end"/>
            </w:r>
          </w:hyperlink>
        </w:p>
        <w:p w14:paraId="3A03A830" w14:textId="40C745BF"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86" w:history="1">
            <w:r w:rsidRPr="00B26ED0">
              <w:rPr>
                <w:rStyle w:val="Hyperlink"/>
                <w:noProof/>
              </w:rPr>
              <w:t>2.4 The Regional African Framework</w:t>
            </w:r>
            <w:r>
              <w:rPr>
                <w:noProof/>
                <w:webHidden/>
              </w:rPr>
              <w:tab/>
            </w:r>
            <w:r>
              <w:rPr>
                <w:noProof/>
                <w:webHidden/>
              </w:rPr>
              <w:fldChar w:fldCharType="begin"/>
            </w:r>
            <w:r>
              <w:rPr>
                <w:noProof/>
                <w:webHidden/>
              </w:rPr>
              <w:instrText xml:space="preserve"> PAGEREF _Toc231382986 \h </w:instrText>
            </w:r>
            <w:r>
              <w:rPr>
                <w:noProof/>
                <w:webHidden/>
              </w:rPr>
            </w:r>
            <w:r>
              <w:rPr>
                <w:noProof/>
                <w:webHidden/>
              </w:rPr>
              <w:fldChar w:fldCharType="separate"/>
            </w:r>
            <w:r>
              <w:rPr>
                <w:noProof/>
                <w:webHidden/>
              </w:rPr>
              <w:t>18</w:t>
            </w:r>
            <w:r>
              <w:rPr>
                <w:noProof/>
                <w:webHidden/>
              </w:rPr>
              <w:fldChar w:fldCharType="end"/>
            </w:r>
          </w:hyperlink>
        </w:p>
        <w:p w14:paraId="395803D8" w14:textId="1EA2AA2E"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87" w:history="1">
            <w:r w:rsidRPr="00B26ED0">
              <w:rPr>
                <w:rStyle w:val="Hyperlink"/>
                <w:noProof/>
              </w:rPr>
              <w:t>2.5 Kenya’s Constitutional and Domestic Legal Framework</w:t>
            </w:r>
            <w:r>
              <w:rPr>
                <w:noProof/>
                <w:webHidden/>
              </w:rPr>
              <w:tab/>
            </w:r>
            <w:r>
              <w:rPr>
                <w:noProof/>
                <w:webHidden/>
              </w:rPr>
              <w:fldChar w:fldCharType="begin"/>
            </w:r>
            <w:r>
              <w:rPr>
                <w:noProof/>
                <w:webHidden/>
              </w:rPr>
              <w:instrText xml:space="preserve"> PAGEREF _Toc231382987 \h </w:instrText>
            </w:r>
            <w:r>
              <w:rPr>
                <w:noProof/>
                <w:webHidden/>
              </w:rPr>
            </w:r>
            <w:r>
              <w:rPr>
                <w:noProof/>
                <w:webHidden/>
              </w:rPr>
              <w:fldChar w:fldCharType="separate"/>
            </w:r>
            <w:r>
              <w:rPr>
                <w:noProof/>
                <w:webHidden/>
              </w:rPr>
              <w:t>18</w:t>
            </w:r>
            <w:r>
              <w:rPr>
                <w:noProof/>
                <w:webHidden/>
              </w:rPr>
              <w:fldChar w:fldCharType="end"/>
            </w:r>
          </w:hyperlink>
        </w:p>
        <w:p w14:paraId="0098371C" w14:textId="5936A596"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88" w:history="1">
            <w:r w:rsidRPr="00B26ED0">
              <w:rPr>
                <w:rStyle w:val="Hyperlink"/>
                <w:noProof/>
              </w:rPr>
              <w:t>2.6 Theoretical Framework</w:t>
            </w:r>
            <w:r>
              <w:rPr>
                <w:noProof/>
                <w:webHidden/>
              </w:rPr>
              <w:tab/>
            </w:r>
            <w:r>
              <w:rPr>
                <w:noProof/>
                <w:webHidden/>
              </w:rPr>
              <w:fldChar w:fldCharType="begin"/>
            </w:r>
            <w:r>
              <w:rPr>
                <w:noProof/>
                <w:webHidden/>
              </w:rPr>
              <w:instrText xml:space="preserve"> PAGEREF _Toc231382988 \h </w:instrText>
            </w:r>
            <w:r>
              <w:rPr>
                <w:noProof/>
                <w:webHidden/>
              </w:rPr>
            </w:r>
            <w:r>
              <w:rPr>
                <w:noProof/>
                <w:webHidden/>
              </w:rPr>
              <w:fldChar w:fldCharType="separate"/>
            </w:r>
            <w:r>
              <w:rPr>
                <w:noProof/>
                <w:webHidden/>
              </w:rPr>
              <w:t>18</w:t>
            </w:r>
            <w:r>
              <w:rPr>
                <w:noProof/>
                <w:webHidden/>
              </w:rPr>
              <w:fldChar w:fldCharType="end"/>
            </w:r>
          </w:hyperlink>
        </w:p>
        <w:p w14:paraId="6A86E524" w14:textId="5F1807E6"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89" w:history="1">
            <w:r w:rsidRPr="00B26ED0">
              <w:rPr>
                <w:rStyle w:val="Hyperlink"/>
                <w:noProof/>
              </w:rPr>
              <w:t>2.7 Conclusion</w:t>
            </w:r>
            <w:r>
              <w:rPr>
                <w:noProof/>
                <w:webHidden/>
              </w:rPr>
              <w:tab/>
            </w:r>
            <w:r>
              <w:rPr>
                <w:noProof/>
                <w:webHidden/>
              </w:rPr>
              <w:fldChar w:fldCharType="begin"/>
            </w:r>
            <w:r>
              <w:rPr>
                <w:noProof/>
                <w:webHidden/>
              </w:rPr>
              <w:instrText xml:space="preserve"> PAGEREF _Toc231382989 \h </w:instrText>
            </w:r>
            <w:r>
              <w:rPr>
                <w:noProof/>
                <w:webHidden/>
              </w:rPr>
            </w:r>
            <w:r>
              <w:rPr>
                <w:noProof/>
                <w:webHidden/>
              </w:rPr>
              <w:fldChar w:fldCharType="separate"/>
            </w:r>
            <w:r>
              <w:rPr>
                <w:noProof/>
                <w:webHidden/>
              </w:rPr>
              <w:t>18</w:t>
            </w:r>
            <w:r>
              <w:rPr>
                <w:noProof/>
                <w:webHidden/>
              </w:rPr>
              <w:fldChar w:fldCharType="end"/>
            </w:r>
          </w:hyperlink>
        </w:p>
        <w:p w14:paraId="54118A38" w14:textId="1E5A3665" w:rsidR="005E0520" w:rsidRDefault="005E0520">
          <w:pPr>
            <w:pStyle w:val="TOC1"/>
            <w:tabs>
              <w:tab w:val="right" w:leader="dot" w:pos="8990"/>
            </w:tabs>
            <w:rPr>
              <w:rFonts w:asciiTheme="minorHAnsi" w:eastAsiaTheme="minorEastAsia" w:hAnsiTheme="minorHAnsi" w:cstheme="minorBidi"/>
              <w:noProof/>
              <w:sz w:val="22"/>
              <w:szCs w:val="22"/>
            </w:rPr>
          </w:pPr>
          <w:hyperlink w:anchor="_Toc231382990" w:history="1">
            <w:r w:rsidRPr="00B26ED0">
              <w:rPr>
                <w:rStyle w:val="Hyperlink"/>
                <w:noProof/>
              </w:rPr>
              <w:t>CHAPTER 3: BARRIERS, COMPARATIVE JURISPRUDENCE, AND THE LIMITS OF LEGAL REFORM</w:t>
            </w:r>
            <w:r>
              <w:rPr>
                <w:noProof/>
                <w:webHidden/>
              </w:rPr>
              <w:tab/>
            </w:r>
            <w:r>
              <w:rPr>
                <w:noProof/>
                <w:webHidden/>
              </w:rPr>
              <w:fldChar w:fldCharType="begin"/>
            </w:r>
            <w:r>
              <w:rPr>
                <w:noProof/>
                <w:webHidden/>
              </w:rPr>
              <w:instrText xml:space="preserve"> PAGEREF _Toc231382990 \h </w:instrText>
            </w:r>
            <w:r>
              <w:rPr>
                <w:noProof/>
                <w:webHidden/>
              </w:rPr>
            </w:r>
            <w:r>
              <w:rPr>
                <w:noProof/>
                <w:webHidden/>
              </w:rPr>
              <w:fldChar w:fldCharType="separate"/>
            </w:r>
            <w:r>
              <w:rPr>
                <w:noProof/>
                <w:webHidden/>
              </w:rPr>
              <w:t>18</w:t>
            </w:r>
            <w:r>
              <w:rPr>
                <w:noProof/>
                <w:webHidden/>
              </w:rPr>
              <w:fldChar w:fldCharType="end"/>
            </w:r>
          </w:hyperlink>
        </w:p>
        <w:p w14:paraId="3FF05A1D" w14:textId="67796BCF"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91" w:history="1">
            <w:r w:rsidRPr="00B26ED0">
              <w:rPr>
                <w:rStyle w:val="Hyperlink"/>
                <w:noProof/>
              </w:rPr>
              <w:t>3.1 Introduction: The Gap between Legal Text and Lived Reality</w:t>
            </w:r>
            <w:r>
              <w:rPr>
                <w:noProof/>
                <w:webHidden/>
              </w:rPr>
              <w:tab/>
            </w:r>
            <w:r>
              <w:rPr>
                <w:noProof/>
                <w:webHidden/>
              </w:rPr>
              <w:fldChar w:fldCharType="begin"/>
            </w:r>
            <w:r>
              <w:rPr>
                <w:noProof/>
                <w:webHidden/>
              </w:rPr>
              <w:instrText xml:space="preserve"> PAGEREF _Toc231382991 \h </w:instrText>
            </w:r>
            <w:r>
              <w:rPr>
                <w:noProof/>
                <w:webHidden/>
              </w:rPr>
            </w:r>
            <w:r>
              <w:rPr>
                <w:noProof/>
                <w:webHidden/>
              </w:rPr>
              <w:fldChar w:fldCharType="separate"/>
            </w:r>
            <w:r>
              <w:rPr>
                <w:noProof/>
                <w:webHidden/>
              </w:rPr>
              <w:t>18</w:t>
            </w:r>
            <w:r>
              <w:rPr>
                <w:noProof/>
                <w:webHidden/>
              </w:rPr>
              <w:fldChar w:fldCharType="end"/>
            </w:r>
          </w:hyperlink>
        </w:p>
        <w:p w14:paraId="02BDE73A" w14:textId="1C38378B"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92" w:history="1">
            <w:r w:rsidRPr="00B26ED0">
              <w:rPr>
                <w:rStyle w:val="Hyperlink"/>
                <w:noProof/>
              </w:rPr>
              <w:t>3.2 Barriers Preventing Access to Reproductive Health Services for Marginalized Groups</w:t>
            </w:r>
            <w:r>
              <w:rPr>
                <w:noProof/>
                <w:webHidden/>
              </w:rPr>
              <w:tab/>
            </w:r>
            <w:r>
              <w:rPr>
                <w:noProof/>
                <w:webHidden/>
              </w:rPr>
              <w:fldChar w:fldCharType="begin"/>
            </w:r>
            <w:r>
              <w:rPr>
                <w:noProof/>
                <w:webHidden/>
              </w:rPr>
              <w:instrText xml:space="preserve"> PAGEREF _Toc231382992 \h </w:instrText>
            </w:r>
            <w:r>
              <w:rPr>
                <w:noProof/>
                <w:webHidden/>
              </w:rPr>
            </w:r>
            <w:r>
              <w:rPr>
                <w:noProof/>
                <w:webHidden/>
              </w:rPr>
              <w:fldChar w:fldCharType="separate"/>
            </w:r>
            <w:r>
              <w:rPr>
                <w:noProof/>
                <w:webHidden/>
              </w:rPr>
              <w:t>18</w:t>
            </w:r>
            <w:r>
              <w:rPr>
                <w:noProof/>
                <w:webHidden/>
              </w:rPr>
              <w:fldChar w:fldCharType="end"/>
            </w:r>
          </w:hyperlink>
        </w:p>
        <w:p w14:paraId="4A5C43A2" w14:textId="33C5B105"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93" w:history="1">
            <w:r w:rsidRPr="00B26ED0">
              <w:rPr>
                <w:rStyle w:val="Hyperlink"/>
                <w:noProof/>
              </w:rPr>
              <w:t>3.3 Cultural, Economic, and Social Influences on the Realization of Reproductive Health Rights</w:t>
            </w:r>
            <w:r>
              <w:rPr>
                <w:noProof/>
                <w:webHidden/>
              </w:rPr>
              <w:tab/>
            </w:r>
            <w:r>
              <w:rPr>
                <w:noProof/>
                <w:webHidden/>
              </w:rPr>
              <w:fldChar w:fldCharType="begin"/>
            </w:r>
            <w:r>
              <w:rPr>
                <w:noProof/>
                <w:webHidden/>
              </w:rPr>
              <w:instrText xml:space="preserve"> PAGEREF _Toc231382993 \h </w:instrText>
            </w:r>
            <w:r>
              <w:rPr>
                <w:noProof/>
                <w:webHidden/>
              </w:rPr>
            </w:r>
            <w:r>
              <w:rPr>
                <w:noProof/>
                <w:webHidden/>
              </w:rPr>
              <w:fldChar w:fldCharType="separate"/>
            </w:r>
            <w:r>
              <w:rPr>
                <w:noProof/>
                <w:webHidden/>
              </w:rPr>
              <w:t>18</w:t>
            </w:r>
            <w:r>
              <w:rPr>
                <w:noProof/>
                <w:webHidden/>
              </w:rPr>
              <w:fldChar w:fldCharType="end"/>
            </w:r>
          </w:hyperlink>
        </w:p>
        <w:p w14:paraId="509B7418" w14:textId="650FDBA0"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94" w:history="1">
            <w:r w:rsidRPr="00B26ED0">
              <w:rPr>
                <w:rStyle w:val="Hyperlink"/>
                <w:noProof/>
              </w:rPr>
              <w:t>3.4 Kenya’s Reproductive Health Jurisprudence: Three Landmark Cases</w:t>
            </w:r>
            <w:r>
              <w:rPr>
                <w:noProof/>
                <w:webHidden/>
              </w:rPr>
              <w:tab/>
            </w:r>
            <w:r>
              <w:rPr>
                <w:noProof/>
                <w:webHidden/>
              </w:rPr>
              <w:fldChar w:fldCharType="begin"/>
            </w:r>
            <w:r>
              <w:rPr>
                <w:noProof/>
                <w:webHidden/>
              </w:rPr>
              <w:instrText xml:space="preserve"> PAGEREF _Toc231382994 \h </w:instrText>
            </w:r>
            <w:r>
              <w:rPr>
                <w:noProof/>
                <w:webHidden/>
              </w:rPr>
            </w:r>
            <w:r>
              <w:rPr>
                <w:noProof/>
                <w:webHidden/>
              </w:rPr>
              <w:fldChar w:fldCharType="separate"/>
            </w:r>
            <w:r>
              <w:rPr>
                <w:noProof/>
                <w:webHidden/>
              </w:rPr>
              <w:t>18</w:t>
            </w:r>
            <w:r>
              <w:rPr>
                <w:noProof/>
                <w:webHidden/>
              </w:rPr>
              <w:fldChar w:fldCharType="end"/>
            </w:r>
          </w:hyperlink>
        </w:p>
        <w:p w14:paraId="76C1B02E" w14:textId="00495FED"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95" w:history="1">
            <w:r w:rsidRPr="00B26ED0">
              <w:rPr>
                <w:rStyle w:val="Hyperlink"/>
                <w:noProof/>
              </w:rPr>
              <w:t>3.4.1 JMM v Attorney General &amp; Others [2018] eKLR</w:t>
            </w:r>
            <w:r>
              <w:rPr>
                <w:noProof/>
                <w:webHidden/>
              </w:rPr>
              <w:tab/>
            </w:r>
            <w:r>
              <w:rPr>
                <w:noProof/>
                <w:webHidden/>
              </w:rPr>
              <w:fldChar w:fldCharType="begin"/>
            </w:r>
            <w:r>
              <w:rPr>
                <w:noProof/>
                <w:webHidden/>
              </w:rPr>
              <w:instrText xml:space="preserve"> PAGEREF _Toc231382995 \h </w:instrText>
            </w:r>
            <w:r>
              <w:rPr>
                <w:noProof/>
                <w:webHidden/>
              </w:rPr>
            </w:r>
            <w:r>
              <w:rPr>
                <w:noProof/>
                <w:webHidden/>
              </w:rPr>
              <w:fldChar w:fldCharType="separate"/>
            </w:r>
            <w:r>
              <w:rPr>
                <w:noProof/>
                <w:webHidden/>
              </w:rPr>
              <w:t>18</w:t>
            </w:r>
            <w:r>
              <w:rPr>
                <w:noProof/>
                <w:webHidden/>
              </w:rPr>
              <w:fldChar w:fldCharType="end"/>
            </w:r>
          </w:hyperlink>
        </w:p>
        <w:p w14:paraId="7F90D163" w14:textId="49D1B6FD"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96" w:history="1">
            <w:r w:rsidRPr="00B26ED0">
              <w:rPr>
                <w:rStyle w:val="Hyperlink"/>
                <w:noProof/>
              </w:rPr>
              <w:t>3.4.2 FIDA-Kenya &amp; CRR v Attorney General &amp; Others [2019] eKLR</w:t>
            </w:r>
            <w:r>
              <w:rPr>
                <w:noProof/>
                <w:webHidden/>
              </w:rPr>
              <w:tab/>
            </w:r>
            <w:r>
              <w:rPr>
                <w:noProof/>
                <w:webHidden/>
              </w:rPr>
              <w:fldChar w:fldCharType="begin"/>
            </w:r>
            <w:r>
              <w:rPr>
                <w:noProof/>
                <w:webHidden/>
              </w:rPr>
              <w:instrText xml:space="preserve"> PAGEREF _Toc231382996 \h </w:instrText>
            </w:r>
            <w:r>
              <w:rPr>
                <w:noProof/>
                <w:webHidden/>
              </w:rPr>
            </w:r>
            <w:r>
              <w:rPr>
                <w:noProof/>
                <w:webHidden/>
              </w:rPr>
              <w:fldChar w:fldCharType="separate"/>
            </w:r>
            <w:r>
              <w:rPr>
                <w:noProof/>
                <w:webHidden/>
              </w:rPr>
              <w:t>18</w:t>
            </w:r>
            <w:r>
              <w:rPr>
                <w:noProof/>
                <w:webHidden/>
              </w:rPr>
              <w:fldChar w:fldCharType="end"/>
            </w:r>
          </w:hyperlink>
        </w:p>
        <w:p w14:paraId="71BDCCC1" w14:textId="67E0A45A"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97" w:history="1">
            <w:r w:rsidRPr="00B26ED0">
              <w:rPr>
                <w:rStyle w:val="Hyperlink"/>
                <w:noProof/>
              </w:rPr>
              <w:t>3.4.3 PAK &amp; Salim Mohammed v Attorney General &amp; Others [2022] eKLR and the Court of Appeal (2026)</w:t>
            </w:r>
            <w:r>
              <w:rPr>
                <w:noProof/>
                <w:webHidden/>
              </w:rPr>
              <w:tab/>
            </w:r>
            <w:r>
              <w:rPr>
                <w:noProof/>
                <w:webHidden/>
              </w:rPr>
              <w:fldChar w:fldCharType="begin"/>
            </w:r>
            <w:r>
              <w:rPr>
                <w:noProof/>
                <w:webHidden/>
              </w:rPr>
              <w:instrText xml:space="preserve"> PAGEREF _Toc231382997 \h </w:instrText>
            </w:r>
            <w:r>
              <w:rPr>
                <w:noProof/>
                <w:webHidden/>
              </w:rPr>
            </w:r>
            <w:r>
              <w:rPr>
                <w:noProof/>
                <w:webHidden/>
              </w:rPr>
              <w:fldChar w:fldCharType="separate"/>
            </w:r>
            <w:r>
              <w:rPr>
                <w:noProof/>
                <w:webHidden/>
              </w:rPr>
              <w:t>18</w:t>
            </w:r>
            <w:r>
              <w:rPr>
                <w:noProof/>
                <w:webHidden/>
              </w:rPr>
              <w:fldChar w:fldCharType="end"/>
            </w:r>
          </w:hyperlink>
        </w:p>
        <w:p w14:paraId="196509D1" w14:textId="6972B3EF"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98" w:history="1">
            <w:r w:rsidRPr="00B26ED0">
              <w:rPr>
                <w:rStyle w:val="Hyperlink"/>
                <w:noProof/>
              </w:rPr>
              <w:t>3.5 Effectiveness of Current Interventions and Policies</w:t>
            </w:r>
            <w:r>
              <w:rPr>
                <w:noProof/>
                <w:webHidden/>
              </w:rPr>
              <w:tab/>
            </w:r>
            <w:r>
              <w:rPr>
                <w:noProof/>
                <w:webHidden/>
              </w:rPr>
              <w:fldChar w:fldCharType="begin"/>
            </w:r>
            <w:r>
              <w:rPr>
                <w:noProof/>
                <w:webHidden/>
              </w:rPr>
              <w:instrText xml:space="preserve"> PAGEREF _Toc231382998 \h </w:instrText>
            </w:r>
            <w:r>
              <w:rPr>
                <w:noProof/>
                <w:webHidden/>
              </w:rPr>
            </w:r>
            <w:r>
              <w:rPr>
                <w:noProof/>
                <w:webHidden/>
              </w:rPr>
              <w:fldChar w:fldCharType="separate"/>
            </w:r>
            <w:r>
              <w:rPr>
                <w:noProof/>
                <w:webHidden/>
              </w:rPr>
              <w:t>18</w:t>
            </w:r>
            <w:r>
              <w:rPr>
                <w:noProof/>
                <w:webHidden/>
              </w:rPr>
              <w:fldChar w:fldCharType="end"/>
            </w:r>
          </w:hyperlink>
        </w:p>
        <w:p w14:paraId="54365A96" w14:textId="3E3E36D7"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2999" w:history="1">
            <w:r w:rsidRPr="00B26ED0">
              <w:rPr>
                <w:rStyle w:val="Hyperlink"/>
                <w:noProof/>
              </w:rPr>
              <w:t>3.6 Comparative Jurisprudence: Kenya in Global Context</w:t>
            </w:r>
            <w:r>
              <w:rPr>
                <w:noProof/>
                <w:webHidden/>
              </w:rPr>
              <w:tab/>
            </w:r>
            <w:r>
              <w:rPr>
                <w:noProof/>
                <w:webHidden/>
              </w:rPr>
              <w:fldChar w:fldCharType="begin"/>
            </w:r>
            <w:r>
              <w:rPr>
                <w:noProof/>
                <w:webHidden/>
              </w:rPr>
              <w:instrText xml:space="preserve"> PAGEREF _Toc231382999 \h </w:instrText>
            </w:r>
            <w:r>
              <w:rPr>
                <w:noProof/>
                <w:webHidden/>
              </w:rPr>
            </w:r>
            <w:r>
              <w:rPr>
                <w:noProof/>
                <w:webHidden/>
              </w:rPr>
              <w:fldChar w:fldCharType="separate"/>
            </w:r>
            <w:r>
              <w:rPr>
                <w:noProof/>
                <w:webHidden/>
              </w:rPr>
              <w:t>18</w:t>
            </w:r>
            <w:r>
              <w:rPr>
                <w:noProof/>
                <w:webHidden/>
              </w:rPr>
              <w:fldChar w:fldCharType="end"/>
            </w:r>
          </w:hyperlink>
        </w:p>
        <w:p w14:paraId="443E0728" w14:textId="548D3873"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3000" w:history="1">
            <w:r w:rsidRPr="00B26ED0">
              <w:rPr>
                <w:rStyle w:val="Hyperlink"/>
                <w:noProof/>
              </w:rPr>
              <w:t>3.7 Conclusion</w:t>
            </w:r>
            <w:r>
              <w:rPr>
                <w:noProof/>
                <w:webHidden/>
              </w:rPr>
              <w:tab/>
            </w:r>
            <w:r>
              <w:rPr>
                <w:noProof/>
                <w:webHidden/>
              </w:rPr>
              <w:fldChar w:fldCharType="begin"/>
            </w:r>
            <w:r>
              <w:rPr>
                <w:noProof/>
                <w:webHidden/>
              </w:rPr>
              <w:instrText xml:space="preserve"> PAGEREF _Toc231383000 \h </w:instrText>
            </w:r>
            <w:r>
              <w:rPr>
                <w:noProof/>
                <w:webHidden/>
              </w:rPr>
            </w:r>
            <w:r>
              <w:rPr>
                <w:noProof/>
                <w:webHidden/>
              </w:rPr>
              <w:fldChar w:fldCharType="separate"/>
            </w:r>
            <w:r>
              <w:rPr>
                <w:noProof/>
                <w:webHidden/>
              </w:rPr>
              <w:t>18</w:t>
            </w:r>
            <w:r>
              <w:rPr>
                <w:noProof/>
                <w:webHidden/>
              </w:rPr>
              <w:fldChar w:fldCharType="end"/>
            </w:r>
          </w:hyperlink>
        </w:p>
        <w:p w14:paraId="1AA55B21" w14:textId="45269844" w:rsidR="005E0520" w:rsidRDefault="005E0520">
          <w:pPr>
            <w:pStyle w:val="TOC1"/>
            <w:tabs>
              <w:tab w:val="right" w:leader="dot" w:pos="8990"/>
            </w:tabs>
            <w:rPr>
              <w:rFonts w:asciiTheme="minorHAnsi" w:eastAsiaTheme="minorEastAsia" w:hAnsiTheme="minorHAnsi" w:cstheme="minorBidi"/>
              <w:noProof/>
              <w:sz w:val="22"/>
              <w:szCs w:val="22"/>
            </w:rPr>
          </w:pPr>
          <w:hyperlink w:anchor="_Toc231383001" w:history="1">
            <w:r w:rsidRPr="00B26ED0">
              <w:rPr>
                <w:rStyle w:val="Hyperlink"/>
                <w:noProof/>
              </w:rPr>
              <w:t>CHAPTER 4: CONCLUSIONS AND RECOMMENDATIONS</w:t>
            </w:r>
            <w:r>
              <w:rPr>
                <w:noProof/>
                <w:webHidden/>
              </w:rPr>
              <w:tab/>
            </w:r>
            <w:r>
              <w:rPr>
                <w:noProof/>
                <w:webHidden/>
              </w:rPr>
              <w:fldChar w:fldCharType="begin"/>
            </w:r>
            <w:r>
              <w:rPr>
                <w:noProof/>
                <w:webHidden/>
              </w:rPr>
              <w:instrText xml:space="preserve"> PAGEREF _Toc231383001 \h </w:instrText>
            </w:r>
            <w:r>
              <w:rPr>
                <w:noProof/>
                <w:webHidden/>
              </w:rPr>
            </w:r>
            <w:r>
              <w:rPr>
                <w:noProof/>
                <w:webHidden/>
              </w:rPr>
              <w:fldChar w:fldCharType="separate"/>
            </w:r>
            <w:r>
              <w:rPr>
                <w:noProof/>
                <w:webHidden/>
              </w:rPr>
              <w:t>18</w:t>
            </w:r>
            <w:r>
              <w:rPr>
                <w:noProof/>
                <w:webHidden/>
              </w:rPr>
              <w:fldChar w:fldCharType="end"/>
            </w:r>
          </w:hyperlink>
        </w:p>
        <w:p w14:paraId="54A5D369" w14:textId="18437206"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3002" w:history="1">
            <w:r w:rsidRPr="00B26ED0">
              <w:rPr>
                <w:rStyle w:val="Hyperlink"/>
                <w:noProof/>
              </w:rPr>
              <w:t>4.1 Introduction: From Research Questions to Reform Agenda</w:t>
            </w:r>
            <w:r>
              <w:rPr>
                <w:noProof/>
                <w:webHidden/>
              </w:rPr>
              <w:tab/>
            </w:r>
            <w:r>
              <w:rPr>
                <w:noProof/>
                <w:webHidden/>
              </w:rPr>
              <w:fldChar w:fldCharType="begin"/>
            </w:r>
            <w:r>
              <w:rPr>
                <w:noProof/>
                <w:webHidden/>
              </w:rPr>
              <w:instrText xml:space="preserve"> PAGEREF _Toc231383002 \h </w:instrText>
            </w:r>
            <w:r>
              <w:rPr>
                <w:noProof/>
                <w:webHidden/>
              </w:rPr>
            </w:r>
            <w:r>
              <w:rPr>
                <w:noProof/>
                <w:webHidden/>
              </w:rPr>
              <w:fldChar w:fldCharType="separate"/>
            </w:r>
            <w:r>
              <w:rPr>
                <w:noProof/>
                <w:webHidden/>
              </w:rPr>
              <w:t>18</w:t>
            </w:r>
            <w:r>
              <w:rPr>
                <w:noProof/>
                <w:webHidden/>
              </w:rPr>
              <w:fldChar w:fldCharType="end"/>
            </w:r>
          </w:hyperlink>
        </w:p>
        <w:p w14:paraId="78AC357D" w14:textId="14F965EA"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3003" w:history="1">
            <w:r w:rsidRPr="00B26ED0">
              <w:rPr>
                <w:rStyle w:val="Hyperlink"/>
                <w:noProof/>
              </w:rPr>
              <w:t>4.2 Principal Findings</w:t>
            </w:r>
            <w:r>
              <w:rPr>
                <w:noProof/>
                <w:webHidden/>
              </w:rPr>
              <w:tab/>
            </w:r>
            <w:r>
              <w:rPr>
                <w:noProof/>
                <w:webHidden/>
              </w:rPr>
              <w:fldChar w:fldCharType="begin"/>
            </w:r>
            <w:r>
              <w:rPr>
                <w:noProof/>
                <w:webHidden/>
              </w:rPr>
              <w:instrText xml:space="preserve"> PAGEREF _Toc231383003 \h </w:instrText>
            </w:r>
            <w:r>
              <w:rPr>
                <w:noProof/>
                <w:webHidden/>
              </w:rPr>
            </w:r>
            <w:r>
              <w:rPr>
                <w:noProof/>
                <w:webHidden/>
              </w:rPr>
              <w:fldChar w:fldCharType="separate"/>
            </w:r>
            <w:r>
              <w:rPr>
                <w:noProof/>
                <w:webHidden/>
              </w:rPr>
              <w:t>18</w:t>
            </w:r>
            <w:r>
              <w:rPr>
                <w:noProof/>
                <w:webHidden/>
              </w:rPr>
              <w:fldChar w:fldCharType="end"/>
            </w:r>
          </w:hyperlink>
        </w:p>
        <w:p w14:paraId="018CEE28" w14:textId="52B91630"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3004" w:history="1">
            <w:r w:rsidRPr="00B26ED0">
              <w:rPr>
                <w:rStyle w:val="Hyperlink"/>
                <w:noProof/>
              </w:rPr>
              <w:t>4.3 Conclusions</w:t>
            </w:r>
            <w:r>
              <w:rPr>
                <w:noProof/>
                <w:webHidden/>
              </w:rPr>
              <w:tab/>
            </w:r>
            <w:r>
              <w:rPr>
                <w:noProof/>
                <w:webHidden/>
              </w:rPr>
              <w:fldChar w:fldCharType="begin"/>
            </w:r>
            <w:r>
              <w:rPr>
                <w:noProof/>
                <w:webHidden/>
              </w:rPr>
              <w:instrText xml:space="preserve"> PAGEREF _Toc231383004 \h </w:instrText>
            </w:r>
            <w:r>
              <w:rPr>
                <w:noProof/>
                <w:webHidden/>
              </w:rPr>
            </w:r>
            <w:r>
              <w:rPr>
                <w:noProof/>
                <w:webHidden/>
              </w:rPr>
              <w:fldChar w:fldCharType="separate"/>
            </w:r>
            <w:r>
              <w:rPr>
                <w:noProof/>
                <w:webHidden/>
              </w:rPr>
              <w:t>21</w:t>
            </w:r>
            <w:r>
              <w:rPr>
                <w:noProof/>
                <w:webHidden/>
              </w:rPr>
              <w:fldChar w:fldCharType="end"/>
            </w:r>
          </w:hyperlink>
        </w:p>
        <w:p w14:paraId="16991DD2" w14:textId="7AB025E9"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3005" w:history="1">
            <w:r w:rsidRPr="00B26ED0">
              <w:rPr>
                <w:rStyle w:val="Hyperlink"/>
                <w:noProof/>
              </w:rPr>
              <w:t>4.4 Recommendations</w:t>
            </w:r>
            <w:r>
              <w:rPr>
                <w:noProof/>
                <w:webHidden/>
              </w:rPr>
              <w:tab/>
            </w:r>
            <w:r>
              <w:rPr>
                <w:noProof/>
                <w:webHidden/>
              </w:rPr>
              <w:fldChar w:fldCharType="begin"/>
            </w:r>
            <w:r>
              <w:rPr>
                <w:noProof/>
                <w:webHidden/>
              </w:rPr>
              <w:instrText xml:space="preserve"> PAGEREF _Toc231383005 \h </w:instrText>
            </w:r>
            <w:r>
              <w:rPr>
                <w:noProof/>
                <w:webHidden/>
              </w:rPr>
            </w:r>
            <w:r>
              <w:rPr>
                <w:noProof/>
                <w:webHidden/>
              </w:rPr>
              <w:fldChar w:fldCharType="separate"/>
            </w:r>
            <w:r>
              <w:rPr>
                <w:noProof/>
                <w:webHidden/>
              </w:rPr>
              <w:t>22</w:t>
            </w:r>
            <w:r>
              <w:rPr>
                <w:noProof/>
                <w:webHidden/>
              </w:rPr>
              <w:fldChar w:fldCharType="end"/>
            </w:r>
          </w:hyperlink>
        </w:p>
        <w:p w14:paraId="0B19B7FE" w14:textId="07400E4A" w:rsidR="005E0520" w:rsidRDefault="005E0520">
          <w:pPr>
            <w:pStyle w:val="TOC2"/>
            <w:tabs>
              <w:tab w:val="right" w:leader="dot" w:pos="8990"/>
            </w:tabs>
            <w:rPr>
              <w:rFonts w:asciiTheme="minorHAnsi" w:eastAsiaTheme="minorEastAsia" w:hAnsiTheme="minorHAnsi" w:cstheme="minorBidi"/>
              <w:noProof/>
              <w:sz w:val="22"/>
              <w:szCs w:val="22"/>
            </w:rPr>
          </w:pPr>
          <w:hyperlink w:anchor="_Toc231383006" w:history="1">
            <w:r w:rsidRPr="00B26ED0">
              <w:rPr>
                <w:rStyle w:val="Hyperlink"/>
                <w:noProof/>
              </w:rPr>
              <w:t>4.5 Final Remarks: From Constitutional Aspiration to Living Reality</w:t>
            </w:r>
            <w:r>
              <w:rPr>
                <w:noProof/>
                <w:webHidden/>
              </w:rPr>
              <w:tab/>
            </w:r>
            <w:r>
              <w:rPr>
                <w:noProof/>
                <w:webHidden/>
              </w:rPr>
              <w:fldChar w:fldCharType="begin"/>
            </w:r>
            <w:r>
              <w:rPr>
                <w:noProof/>
                <w:webHidden/>
              </w:rPr>
              <w:instrText xml:space="preserve"> PAGEREF _Toc231383006 \h </w:instrText>
            </w:r>
            <w:r>
              <w:rPr>
                <w:noProof/>
                <w:webHidden/>
              </w:rPr>
            </w:r>
            <w:r>
              <w:rPr>
                <w:noProof/>
                <w:webHidden/>
              </w:rPr>
              <w:fldChar w:fldCharType="separate"/>
            </w:r>
            <w:r>
              <w:rPr>
                <w:noProof/>
                <w:webHidden/>
              </w:rPr>
              <w:t>25</w:t>
            </w:r>
            <w:r>
              <w:rPr>
                <w:noProof/>
                <w:webHidden/>
              </w:rPr>
              <w:fldChar w:fldCharType="end"/>
            </w:r>
          </w:hyperlink>
        </w:p>
        <w:p w14:paraId="74B43AD0" w14:textId="306EEAFE" w:rsidR="005E0520" w:rsidRDefault="005E0520">
          <w:pPr>
            <w:pStyle w:val="TOC1"/>
            <w:tabs>
              <w:tab w:val="right" w:leader="dot" w:pos="8990"/>
            </w:tabs>
            <w:rPr>
              <w:rFonts w:asciiTheme="minorHAnsi" w:eastAsiaTheme="minorEastAsia" w:hAnsiTheme="minorHAnsi" w:cstheme="minorBidi"/>
              <w:noProof/>
              <w:sz w:val="22"/>
              <w:szCs w:val="22"/>
            </w:rPr>
          </w:pPr>
          <w:hyperlink w:anchor="_Toc231383007" w:history="1">
            <w:r w:rsidRPr="00B26ED0">
              <w:rPr>
                <w:rStyle w:val="Hyperlink"/>
                <w:noProof/>
              </w:rPr>
              <w:t>A. TABLE OF CASES</w:t>
            </w:r>
            <w:r>
              <w:rPr>
                <w:noProof/>
                <w:webHidden/>
              </w:rPr>
              <w:tab/>
            </w:r>
            <w:r>
              <w:rPr>
                <w:noProof/>
                <w:webHidden/>
              </w:rPr>
              <w:fldChar w:fldCharType="begin"/>
            </w:r>
            <w:r>
              <w:rPr>
                <w:noProof/>
                <w:webHidden/>
              </w:rPr>
              <w:instrText xml:space="preserve"> PAGEREF _Toc231383007 \h </w:instrText>
            </w:r>
            <w:r>
              <w:rPr>
                <w:noProof/>
                <w:webHidden/>
              </w:rPr>
            </w:r>
            <w:r>
              <w:rPr>
                <w:noProof/>
                <w:webHidden/>
              </w:rPr>
              <w:fldChar w:fldCharType="separate"/>
            </w:r>
            <w:r>
              <w:rPr>
                <w:noProof/>
                <w:webHidden/>
              </w:rPr>
              <w:t>27</w:t>
            </w:r>
            <w:r>
              <w:rPr>
                <w:noProof/>
                <w:webHidden/>
              </w:rPr>
              <w:fldChar w:fldCharType="end"/>
            </w:r>
          </w:hyperlink>
        </w:p>
        <w:p w14:paraId="41413436" w14:textId="297DAD6B" w:rsidR="005E0520" w:rsidRDefault="005E0520">
          <w:pPr>
            <w:pStyle w:val="TOC3"/>
            <w:tabs>
              <w:tab w:val="right" w:leader="dot" w:pos="8990"/>
            </w:tabs>
            <w:rPr>
              <w:rFonts w:asciiTheme="minorHAnsi" w:eastAsiaTheme="minorEastAsia" w:hAnsiTheme="minorHAnsi" w:cstheme="minorBidi"/>
              <w:noProof/>
              <w:sz w:val="22"/>
              <w:szCs w:val="22"/>
            </w:rPr>
          </w:pPr>
          <w:hyperlink w:anchor="_Toc231383008" w:history="1">
            <w:r w:rsidRPr="00B26ED0">
              <w:rPr>
                <w:rStyle w:val="Hyperlink"/>
                <w:noProof/>
              </w:rPr>
              <w:t>Kenyan Cases</w:t>
            </w:r>
            <w:r>
              <w:rPr>
                <w:noProof/>
                <w:webHidden/>
              </w:rPr>
              <w:tab/>
            </w:r>
            <w:r>
              <w:rPr>
                <w:noProof/>
                <w:webHidden/>
              </w:rPr>
              <w:fldChar w:fldCharType="begin"/>
            </w:r>
            <w:r>
              <w:rPr>
                <w:noProof/>
                <w:webHidden/>
              </w:rPr>
              <w:instrText xml:space="preserve"> PAGEREF _Toc231383008 \h </w:instrText>
            </w:r>
            <w:r>
              <w:rPr>
                <w:noProof/>
                <w:webHidden/>
              </w:rPr>
            </w:r>
            <w:r>
              <w:rPr>
                <w:noProof/>
                <w:webHidden/>
              </w:rPr>
              <w:fldChar w:fldCharType="separate"/>
            </w:r>
            <w:r>
              <w:rPr>
                <w:noProof/>
                <w:webHidden/>
              </w:rPr>
              <w:t>27</w:t>
            </w:r>
            <w:r>
              <w:rPr>
                <w:noProof/>
                <w:webHidden/>
              </w:rPr>
              <w:fldChar w:fldCharType="end"/>
            </w:r>
          </w:hyperlink>
        </w:p>
        <w:p w14:paraId="7D7CDA66" w14:textId="05D78AF9" w:rsidR="005E0520" w:rsidRDefault="005E0520">
          <w:pPr>
            <w:pStyle w:val="TOC3"/>
            <w:tabs>
              <w:tab w:val="right" w:leader="dot" w:pos="8990"/>
            </w:tabs>
            <w:rPr>
              <w:rFonts w:asciiTheme="minorHAnsi" w:eastAsiaTheme="minorEastAsia" w:hAnsiTheme="minorHAnsi" w:cstheme="minorBidi"/>
              <w:noProof/>
              <w:sz w:val="22"/>
              <w:szCs w:val="22"/>
            </w:rPr>
          </w:pPr>
          <w:hyperlink w:anchor="_Toc231383009" w:history="1">
            <w:r w:rsidRPr="00B26ED0">
              <w:rPr>
                <w:rStyle w:val="Hyperlink"/>
                <w:noProof/>
              </w:rPr>
              <w:t>International Cases</w:t>
            </w:r>
            <w:r>
              <w:rPr>
                <w:noProof/>
                <w:webHidden/>
              </w:rPr>
              <w:tab/>
            </w:r>
            <w:r>
              <w:rPr>
                <w:noProof/>
                <w:webHidden/>
              </w:rPr>
              <w:fldChar w:fldCharType="begin"/>
            </w:r>
            <w:r>
              <w:rPr>
                <w:noProof/>
                <w:webHidden/>
              </w:rPr>
              <w:instrText xml:space="preserve"> PAGEREF _Toc231383009 \h </w:instrText>
            </w:r>
            <w:r>
              <w:rPr>
                <w:noProof/>
                <w:webHidden/>
              </w:rPr>
            </w:r>
            <w:r>
              <w:rPr>
                <w:noProof/>
                <w:webHidden/>
              </w:rPr>
              <w:fldChar w:fldCharType="separate"/>
            </w:r>
            <w:r>
              <w:rPr>
                <w:noProof/>
                <w:webHidden/>
              </w:rPr>
              <w:t>27</w:t>
            </w:r>
            <w:r>
              <w:rPr>
                <w:noProof/>
                <w:webHidden/>
              </w:rPr>
              <w:fldChar w:fldCharType="end"/>
            </w:r>
          </w:hyperlink>
        </w:p>
        <w:p w14:paraId="39D372A4" w14:textId="5F10C454" w:rsidR="005E0520" w:rsidRDefault="005E0520">
          <w:pPr>
            <w:pStyle w:val="TOC1"/>
            <w:tabs>
              <w:tab w:val="right" w:leader="dot" w:pos="8990"/>
            </w:tabs>
            <w:rPr>
              <w:rFonts w:asciiTheme="minorHAnsi" w:eastAsiaTheme="minorEastAsia" w:hAnsiTheme="minorHAnsi" w:cstheme="minorBidi"/>
              <w:noProof/>
              <w:sz w:val="22"/>
              <w:szCs w:val="22"/>
            </w:rPr>
          </w:pPr>
          <w:hyperlink w:anchor="_Toc231383010" w:history="1">
            <w:r w:rsidRPr="00B26ED0">
              <w:rPr>
                <w:rStyle w:val="Hyperlink"/>
                <w:noProof/>
              </w:rPr>
              <w:t>B. TABLE OF LEGISLATION AND INTERNATIONAL INSTRUMENTS</w:t>
            </w:r>
            <w:r>
              <w:rPr>
                <w:noProof/>
                <w:webHidden/>
              </w:rPr>
              <w:tab/>
            </w:r>
            <w:r>
              <w:rPr>
                <w:noProof/>
                <w:webHidden/>
              </w:rPr>
              <w:fldChar w:fldCharType="begin"/>
            </w:r>
            <w:r>
              <w:rPr>
                <w:noProof/>
                <w:webHidden/>
              </w:rPr>
              <w:instrText xml:space="preserve"> PAGEREF _Toc231383010 \h </w:instrText>
            </w:r>
            <w:r>
              <w:rPr>
                <w:noProof/>
                <w:webHidden/>
              </w:rPr>
            </w:r>
            <w:r>
              <w:rPr>
                <w:noProof/>
                <w:webHidden/>
              </w:rPr>
              <w:fldChar w:fldCharType="separate"/>
            </w:r>
            <w:r>
              <w:rPr>
                <w:noProof/>
                <w:webHidden/>
              </w:rPr>
              <w:t>28</w:t>
            </w:r>
            <w:r>
              <w:rPr>
                <w:noProof/>
                <w:webHidden/>
              </w:rPr>
              <w:fldChar w:fldCharType="end"/>
            </w:r>
          </w:hyperlink>
        </w:p>
        <w:p w14:paraId="7FE1D384" w14:textId="03E24CAF" w:rsidR="005E0520" w:rsidRDefault="005E0520">
          <w:pPr>
            <w:pStyle w:val="TOC3"/>
            <w:tabs>
              <w:tab w:val="right" w:leader="dot" w:pos="8990"/>
            </w:tabs>
            <w:rPr>
              <w:rFonts w:asciiTheme="minorHAnsi" w:eastAsiaTheme="minorEastAsia" w:hAnsiTheme="minorHAnsi" w:cstheme="minorBidi"/>
              <w:noProof/>
              <w:sz w:val="22"/>
              <w:szCs w:val="22"/>
            </w:rPr>
          </w:pPr>
          <w:hyperlink w:anchor="_Toc231383011" w:history="1">
            <w:r w:rsidRPr="00B26ED0">
              <w:rPr>
                <w:rStyle w:val="Hyperlink"/>
                <w:noProof/>
              </w:rPr>
              <w:t>Domestic Legislation</w:t>
            </w:r>
            <w:r>
              <w:rPr>
                <w:noProof/>
                <w:webHidden/>
              </w:rPr>
              <w:tab/>
            </w:r>
            <w:r>
              <w:rPr>
                <w:noProof/>
                <w:webHidden/>
              </w:rPr>
              <w:fldChar w:fldCharType="begin"/>
            </w:r>
            <w:r>
              <w:rPr>
                <w:noProof/>
                <w:webHidden/>
              </w:rPr>
              <w:instrText xml:space="preserve"> PAGEREF _Toc231383011 \h </w:instrText>
            </w:r>
            <w:r>
              <w:rPr>
                <w:noProof/>
                <w:webHidden/>
              </w:rPr>
            </w:r>
            <w:r>
              <w:rPr>
                <w:noProof/>
                <w:webHidden/>
              </w:rPr>
              <w:fldChar w:fldCharType="separate"/>
            </w:r>
            <w:r>
              <w:rPr>
                <w:noProof/>
                <w:webHidden/>
              </w:rPr>
              <w:t>28</w:t>
            </w:r>
            <w:r>
              <w:rPr>
                <w:noProof/>
                <w:webHidden/>
              </w:rPr>
              <w:fldChar w:fldCharType="end"/>
            </w:r>
          </w:hyperlink>
        </w:p>
        <w:p w14:paraId="157C7C45" w14:textId="15A4F2ED" w:rsidR="005E0520" w:rsidRDefault="005E0520">
          <w:pPr>
            <w:pStyle w:val="TOC3"/>
            <w:tabs>
              <w:tab w:val="right" w:leader="dot" w:pos="8990"/>
            </w:tabs>
            <w:rPr>
              <w:rFonts w:asciiTheme="minorHAnsi" w:eastAsiaTheme="minorEastAsia" w:hAnsiTheme="minorHAnsi" w:cstheme="minorBidi"/>
              <w:noProof/>
              <w:sz w:val="22"/>
              <w:szCs w:val="22"/>
            </w:rPr>
          </w:pPr>
          <w:hyperlink w:anchor="_Toc231383012" w:history="1">
            <w:r w:rsidRPr="00B26ED0">
              <w:rPr>
                <w:rStyle w:val="Hyperlink"/>
                <w:noProof/>
              </w:rPr>
              <w:t>International and Regional Instruments</w:t>
            </w:r>
            <w:r>
              <w:rPr>
                <w:noProof/>
                <w:webHidden/>
              </w:rPr>
              <w:tab/>
            </w:r>
            <w:r>
              <w:rPr>
                <w:noProof/>
                <w:webHidden/>
              </w:rPr>
              <w:fldChar w:fldCharType="begin"/>
            </w:r>
            <w:r>
              <w:rPr>
                <w:noProof/>
                <w:webHidden/>
              </w:rPr>
              <w:instrText xml:space="preserve"> PAGEREF _Toc231383012 \h </w:instrText>
            </w:r>
            <w:r>
              <w:rPr>
                <w:noProof/>
                <w:webHidden/>
              </w:rPr>
            </w:r>
            <w:r>
              <w:rPr>
                <w:noProof/>
                <w:webHidden/>
              </w:rPr>
              <w:fldChar w:fldCharType="separate"/>
            </w:r>
            <w:r>
              <w:rPr>
                <w:noProof/>
                <w:webHidden/>
              </w:rPr>
              <w:t>28</w:t>
            </w:r>
            <w:r>
              <w:rPr>
                <w:noProof/>
                <w:webHidden/>
              </w:rPr>
              <w:fldChar w:fldCharType="end"/>
            </w:r>
          </w:hyperlink>
        </w:p>
        <w:p w14:paraId="63B82CB8" w14:textId="13186D47" w:rsidR="005E0520" w:rsidRDefault="005E0520">
          <w:pPr>
            <w:pStyle w:val="TOC3"/>
            <w:tabs>
              <w:tab w:val="right" w:leader="dot" w:pos="8990"/>
            </w:tabs>
            <w:rPr>
              <w:rFonts w:asciiTheme="minorHAnsi" w:eastAsiaTheme="minorEastAsia" w:hAnsiTheme="minorHAnsi" w:cstheme="minorBidi"/>
              <w:noProof/>
              <w:sz w:val="22"/>
              <w:szCs w:val="22"/>
            </w:rPr>
          </w:pPr>
          <w:hyperlink w:anchor="_Toc231383013" w:history="1">
            <w:r w:rsidRPr="00B26ED0">
              <w:rPr>
                <w:rStyle w:val="Hyperlink"/>
                <w:noProof/>
              </w:rPr>
              <w:t>Treaty Body Outputs</w:t>
            </w:r>
            <w:r>
              <w:rPr>
                <w:noProof/>
                <w:webHidden/>
              </w:rPr>
              <w:tab/>
            </w:r>
            <w:r>
              <w:rPr>
                <w:noProof/>
                <w:webHidden/>
              </w:rPr>
              <w:fldChar w:fldCharType="begin"/>
            </w:r>
            <w:r>
              <w:rPr>
                <w:noProof/>
                <w:webHidden/>
              </w:rPr>
              <w:instrText xml:space="preserve"> PAGEREF _Toc231383013 \h </w:instrText>
            </w:r>
            <w:r>
              <w:rPr>
                <w:noProof/>
                <w:webHidden/>
              </w:rPr>
            </w:r>
            <w:r>
              <w:rPr>
                <w:noProof/>
                <w:webHidden/>
              </w:rPr>
              <w:fldChar w:fldCharType="separate"/>
            </w:r>
            <w:r>
              <w:rPr>
                <w:noProof/>
                <w:webHidden/>
              </w:rPr>
              <w:t>29</w:t>
            </w:r>
            <w:r>
              <w:rPr>
                <w:noProof/>
                <w:webHidden/>
              </w:rPr>
              <w:fldChar w:fldCharType="end"/>
            </w:r>
          </w:hyperlink>
        </w:p>
        <w:p w14:paraId="2B987DE4" w14:textId="4B48E982" w:rsidR="005E0520" w:rsidRDefault="005E0520">
          <w:pPr>
            <w:pStyle w:val="TOC1"/>
            <w:tabs>
              <w:tab w:val="right" w:leader="dot" w:pos="8990"/>
            </w:tabs>
            <w:rPr>
              <w:rFonts w:asciiTheme="minorHAnsi" w:eastAsiaTheme="minorEastAsia" w:hAnsiTheme="minorHAnsi" w:cstheme="minorBidi"/>
              <w:noProof/>
              <w:sz w:val="22"/>
              <w:szCs w:val="22"/>
            </w:rPr>
          </w:pPr>
          <w:hyperlink w:anchor="_Toc231383014" w:history="1">
            <w:r w:rsidRPr="00B26ED0">
              <w:rPr>
                <w:rStyle w:val="Hyperlink"/>
                <w:noProof/>
              </w:rPr>
              <w:t>C. BIBLIOGRAPHY</w:t>
            </w:r>
            <w:r>
              <w:rPr>
                <w:noProof/>
                <w:webHidden/>
              </w:rPr>
              <w:tab/>
            </w:r>
            <w:r>
              <w:rPr>
                <w:noProof/>
                <w:webHidden/>
              </w:rPr>
              <w:fldChar w:fldCharType="begin"/>
            </w:r>
            <w:r>
              <w:rPr>
                <w:noProof/>
                <w:webHidden/>
              </w:rPr>
              <w:instrText xml:space="preserve"> PAGEREF _Toc231383014 \h </w:instrText>
            </w:r>
            <w:r>
              <w:rPr>
                <w:noProof/>
                <w:webHidden/>
              </w:rPr>
            </w:r>
            <w:r>
              <w:rPr>
                <w:noProof/>
                <w:webHidden/>
              </w:rPr>
              <w:fldChar w:fldCharType="separate"/>
            </w:r>
            <w:r>
              <w:rPr>
                <w:noProof/>
                <w:webHidden/>
              </w:rPr>
              <w:t>29</w:t>
            </w:r>
            <w:r>
              <w:rPr>
                <w:noProof/>
                <w:webHidden/>
              </w:rPr>
              <w:fldChar w:fldCharType="end"/>
            </w:r>
          </w:hyperlink>
        </w:p>
        <w:p w14:paraId="14224EA6" w14:textId="52852D52" w:rsidR="005E0520" w:rsidRDefault="005E0520">
          <w:pPr>
            <w:pStyle w:val="TOC3"/>
            <w:tabs>
              <w:tab w:val="right" w:leader="dot" w:pos="8990"/>
            </w:tabs>
            <w:rPr>
              <w:rFonts w:asciiTheme="minorHAnsi" w:eastAsiaTheme="minorEastAsia" w:hAnsiTheme="minorHAnsi" w:cstheme="minorBidi"/>
              <w:noProof/>
              <w:sz w:val="22"/>
              <w:szCs w:val="22"/>
            </w:rPr>
          </w:pPr>
          <w:hyperlink w:anchor="_Toc231383015" w:history="1">
            <w:r w:rsidRPr="00B26ED0">
              <w:rPr>
                <w:rStyle w:val="Hyperlink"/>
                <w:noProof/>
              </w:rPr>
              <w:t>Books and Book Chapters</w:t>
            </w:r>
            <w:r>
              <w:rPr>
                <w:noProof/>
                <w:webHidden/>
              </w:rPr>
              <w:tab/>
            </w:r>
            <w:r>
              <w:rPr>
                <w:noProof/>
                <w:webHidden/>
              </w:rPr>
              <w:fldChar w:fldCharType="begin"/>
            </w:r>
            <w:r>
              <w:rPr>
                <w:noProof/>
                <w:webHidden/>
              </w:rPr>
              <w:instrText xml:space="preserve"> PAGEREF _Toc231383015 \h </w:instrText>
            </w:r>
            <w:r>
              <w:rPr>
                <w:noProof/>
                <w:webHidden/>
              </w:rPr>
            </w:r>
            <w:r>
              <w:rPr>
                <w:noProof/>
                <w:webHidden/>
              </w:rPr>
              <w:fldChar w:fldCharType="separate"/>
            </w:r>
            <w:r>
              <w:rPr>
                <w:noProof/>
                <w:webHidden/>
              </w:rPr>
              <w:t>29</w:t>
            </w:r>
            <w:r>
              <w:rPr>
                <w:noProof/>
                <w:webHidden/>
              </w:rPr>
              <w:fldChar w:fldCharType="end"/>
            </w:r>
          </w:hyperlink>
        </w:p>
        <w:p w14:paraId="03300056" w14:textId="0016D128" w:rsidR="005E0520" w:rsidRDefault="005E0520">
          <w:pPr>
            <w:pStyle w:val="TOC3"/>
            <w:tabs>
              <w:tab w:val="right" w:leader="dot" w:pos="8990"/>
            </w:tabs>
            <w:rPr>
              <w:rFonts w:asciiTheme="minorHAnsi" w:eastAsiaTheme="minorEastAsia" w:hAnsiTheme="minorHAnsi" w:cstheme="minorBidi"/>
              <w:noProof/>
              <w:sz w:val="22"/>
              <w:szCs w:val="22"/>
            </w:rPr>
          </w:pPr>
          <w:hyperlink w:anchor="_Toc231383016" w:history="1">
            <w:r w:rsidRPr="00B26ED0">
              <w:rPr>
                <w:rStyle w:val="Hyperlink"/>
                <w:noProof/>
              </w:rPr>
              <w:t>Journal Articles</w:t>
            </w:r>
            <w:r>
              <w:rPr>
                <w:noProof/>
                <w:webHidden/>
              </w:rPr>
              <w:tab/>
            </w:r>
            <w:r>
              <w:rPr>
                <w:noProof/>
                <w:webHidden/>
              </w:rPr>
              <w:fldChar w:fldCharType="begin"/>
            </w:r>
            <w:r>
              <w:rPr>
                <w:noProof/>
                <w:webHidden/>
              </w:rPr>
              <w:instrText xml:space="preserve"> PAGEREF _Toc231383016 \h </w:instrText>
            </w:r>
            <w:r>
              <w:rPr>
                <w:noProof/>
                <w:webHidden/>
              </w:rPr>
            </w:r>
            <w:r>
              <w:rPr>
                <w:noProof/>
                <w:webHidden/>
              </w:rPr>
              <w:fldChar w:fldCharType="separate"/>
            </w:r>
            <w:r>
              <w:rPr>
                <w:noProof/>
                <w:webHidden/>
              </w:rPr>
              <w:t>30</w:t>
            </w:r>
            <w:r>
              <w:rPr>
                <w:noProof/>
                <w:webHidden/>
              </w:rPr>
              <w:fldChar w:fldCharType="end"/>
            </w:r>
          </w:hyperlink>
        </w:p>
        <w:p w14:paraId="6389A866" w14:textId="157ED6E1" w:rsidR="005E0520" w:rsidRDefault="005E0520">
          <w:pPr>
            <w:pStyle w:val="TOC3"/>
            <w:tabs>
              <w:tab w:val="right" w:leader="dot" w:pos="8990"/>
            </w:tabs>
            <w:rPr>
              <w:rFonts w:asciiTheme="minorHAnsi" w:eastAsiaTheme="minorEastAsia" w:hAnsiTheme="minorHAnsi" w:cstheme="minorBidi"/>
              <w:noProof/>
              <w:sz w:val="22"/>
              <w:szCs w:val="22"/>
            </w:rPr>
          </w:pPr>
          <w:hyperlink w:anchor="_Toc231383017" w:history="1">
            <w:r w:rsidRPr="00B26ED0">
              <w:rPr>
                <w:rStyle w:val="Hyperlink"/>
                <w:noProof/>
              </w:rPr>
              <w:t>Reports and Other Sources</w:t>
            </w:r>
            <w:r>
              <w:rPr>
                <w:noProof/>
                <w:webHidden/>
              </w:rPr>
              <w:tab/>
            </w:r>
            <w:r>
              <w:rPr>
                <w:noProof/>
                <w:webHidden/>
              </w:rPr>
              <w:fldChar w:fldCharType="begin"/>
            </w:r>
            <w:r>
              <w:rPr>
                <w:noProof/>
                <w:webHidden/>
              </w:rPr>
              <w:instrText xml:space="preserve"> PAGEREF _Toc231383017 \h </w:instrText>
            </w:r>
            <w:r>
              <w:rPr>
                <w:noProof/>
                <w:webHidden/>
              </w:rPr>
            </w:r>
            <w:r>
              <w:rPr>
                <w:noProof/>
                <w:webHidden/>
              </w:rPr>
              <w:fldChar w:fldCharType="separate"/>
            </w:r>
            <w:r>
              <w:rPr>
                <w:noProof/>
                <w:webHidden/>
              </w:rPr>
              <w:t>32</w:t>
            </w:r>
            <w:r>
              <w:rPr>
                <w:noProof/>
                <w:webHidden/>
              </w:rPr>
              <w:fldChar w:fldCharType="end"/>
            </w:r>
          </w:hyperlink>
        </w:p>
        <w:p w14:paraId="00F0443A" w14:textId="415BA452" w:rsidR="00537530" w:rsidRPr="006E60EA" w:rsidRDefault="00236FC8" w:rsidP="006E60EA">
          <w:pPr>
            <w:spacing w:line="360" w:lineRule="auto"/>
          </w:pPr>
          <w:r w:rsidRPr="006E60EA">
            <w:rPr>
              <w:b/>
              <w:bCs/>
              <w:noProof/>
            </w:rPr>
            <w:fldChar w:fldCharType="end"/>
          </w:r>
        </w:p>
      </w:sdtContent>
    </w:sdt>
    <w:p w14:paraId="1C7604C4" w14:textId="77777777" w:rsidR="00626AD9" w:rsidRDefault="00626AD9" w:rsidP="006E60EA">
      <w:pPr>
        <w:spacing w:before="480" w:after="480" w:line="360" w:lineRule="auto"/>
        <w:jc w:val="center"/>
        <w:rPr>
          <w:b/>
          <w:bCs/>
          <w:sz w:val="28"/>
          <w:szCs w:val="28"/>
        </w:rPr>
      </w:pPr>
    </w:p>
    <w:p w14:paraId="76A1A6AC" w14:textId="77777777" w:rsidR="00626AD9" w:rsidRDefault="00626AD9" w:rsidP="006E60EA">
      <w:pPr>
        <w:spacing w:before="480" w:after="480" w:line="360" w:lineRule="auto"/>
        <w:jc w:val="center"/>
        <w:rPr>
          <w:b/>
          <w:bCs/>
          <w:sz w:val="28"/>
          <w:szCs w:val="28"/>
        </w:rPr>
      </w:pPr>
    </w:p>
    <w:p w14:paraId="3284072A" w14:textId="6A1F9104" w:rsidR="00626AD9" w:rsidRDefault="00626AD9" w:rsidP="006E60EA">
      <w:pPr>
        <w:spacing w:before="480" w:after="480" w:line="360" w:lineRule="auto"/>
        <w:jc w:val="center"/>
        <w:rPr>
          <w:b/>
          <w:bCs/>
          <w:sz w:val="28"/>
          <w:szCs w:val="28"/>
        </w:rPr>
      </w:pPr>
    </w:p>
    <w:p w14:paraId="580B4920" w14:textId="77777777" w:rsidR="00F04AE5" w:rsidRDefault="00F04AE5" w:rsidP="006E60EA">
      <w:pPr>
        <w:spacing w:before="480" w:after="480" w:line="360" w:lineRule="auto"/>
        <w:jc w:val="center"/>
        <w:rPr>
          <w:b/>
          <w:bCs/>
          <w:sz w:val="28"/>
          <w:szCs w:val="28"/>
        </w:rPr>
      </w:pPr>
    </w:p>
    <w:p w14:paraId="0E139D12" w14:textId="77777777" w:rsidR="00626AD9" w:rsidRDefault="00626AD9" w:rsidP="006E60EA">
      <w:pPr>
        <w:spacing w:before="480" w:after="480" w:line="360" w:lineRule="auto"/>
        <w:jc w:val="center"/>
        <w:rPr>
          <w:b/>
          <w:bCs/>
          <w:sz w:val="28"/>
          <w:szCs w:val="28"/>
        </w:rPr>
      </w:pPr>
    </w:p>
    <w:p w14:paraId="217D619B" w14:textId="77777777" w:rsidR="00626AD9" w:rsidRDefault="00626AD9" w:rsidP="006E60EA">
      <w:pPr>
        <w:spacing w:before="480" w:after="480" w:line="360" w:lineRule="auto"/>
        <w:jc w:val="center"/>
        <w:rPr>
          <w:b/>
          <w:bCs/>
          <w:sz w:val="28"/>
          <w:szCs w:val="28"/>
        </w:rPr>
      </w:pPr>
    </w:p>
    <w:p w14:paraId="62163546" w14:textId="77777777" w:rsidR="00626AD9" w:rsidRDefault="00626AD9" w:rsidP="006E60EA">
      <w:pPr>
        <w:spacing w:before="480" w:after="480" w:line="360" w:lineRule="auto"/>
        <w:jc w:val="center"/>
        <w:rPr>
          <w:b/>
          <w:bCs/>
          <w:sz w:val="28"/>
          <w:szCs w:val="28"/>
        </w:rPr>
      </w:pPr>
    </w:p>
    <w:p w14:paraId="0906A097" w14:textId="77777777" w:rsidR="00C37568" w:rsidRPr="006E60EA" w:rsidRDefault="00C37568" w:rsidP="006E60EA">
      <w:pPr>
        <w:spacing w:before="480" w:after="480" w:line="360" w:lineRule="auto"/>
        <w:jc w:val="center"/>
      </w:pPr>
      <w:r w:rsidRPr="006E60EA">
        <w:rPr>
          <w:b/>
          <w:bCs/>
          <w:sz w:val="28"/>
          <w:szCs w:val="28"/>
        </w:rPr>
        <w:t>ABSTRACT</w:t>
      </w:r>
    </w:p>
    <w:p w14:paraId="5E4B7262" w14:textId="00C275A8" w:rsidR="00C37568" w:rsidRPr="006E60EA" w:rsidRDefault="00C37568" w:rsidP="006E60EA">
      <w:pPr>
        <w:spacing w:after="240" w:line="360" w:lineRule="auto"/>
        <w:rPr>
          <w:i/>
        </w:rPr>
      </w:pPr>
      <w:r w:rsidRPr="006E60EA">
        <w:rPr>
          <w:i/>
        </w:rPr>
        <w:t>Despite the constitutional guarantee of reproductive health care under Article 43(1)(a) of the Constitution of Kenya, 2010, and Kenya’s binding obligations under the ICESCR, CEDAW, and the Maputo Protocol, reproductive health rights remain inaccessible to millions of Kenyans. The unresolved conflict between Article 26(4) and Sections 158 to 160 of the Penal Code, the 2012 withdrawal of the Ministry of Health’s safe abortion guidelines, the unenacted Reproductive Healthcare Bill, 2019, and deep-seated cultural, economic, and institutional barriers continue to deny women, adolescents, and marginali</w:t>
      </w:r>
      <w:r w:rsidR="00245A86">
        <w:rPr>
          <w:i/>
        </w:rPr>
        <w:t>z</w:t>
      </w:r>
      <w:r w:rsidRPr="006E60EA">
        <w:rPr>
          <w:i/>
        </w:rPr>
        <w:t>ed communities their constitutional entitlements. This study examines the right to reproductive health as an integral and enforceable component of the right to health in Kenya, interrogating the legal and structural conditions that sustain this implementation gap.</w:t>
      </w:r>
    </w:p>
    <w:p w14:paraId="0F6FF5EB" w14:textId="77777777" w:rsidR="00C37568" w:rsidRPr="006E60EA" w:rsidRDefault="00C37568" w:rsidP="006E60EA">
      <w:pPr>
        <w:spacing w:after="240" w:line="360" w:lineRule="auto"/>
        <w:rPr>
          <w:i/>
        </w:rPr>
      </w:pPr>
      <w:r w:rsidRPr="006E60EA">
        <w:rPr>
          <w:i/>
        </w:rPr>
        <w:t>Through doctrinal and socio-legal analysis, the study examines three landmark cases: JMM v Attorney General &amp; Others [2018] eKLR, which established reproductive health as a justiciable right and affirmed the State’s positive obligations toward post-abortion care; FIDA-Kenya &amp; CRR v Attorney General &amp; Others [2019] eKLR, which held that the withdrawal of safe abortion guidelines was unconstitutional for creating a chilling effect that rendered the Article 26(4) permission practically inaccessible; and PAK &amp; Salim Mohammed v Attorney General &amp; Others [2022] eKLR, the first decision to expressly hold abortion care a fundamental constitutional right, protect patient-provider confidentiality, and direct Parliament to legislate. The study further incorporates the Court of Appeal proceedings in AG &amp; Others v PAK &amp; Another (judgment delivered 27 March 2026), and situates Kenya’s jurisprudence within comparative international standards through L.C. v Peru, K.L. v Peru, and Alyne da Silva Pimentel v Brazil.</w:t>
      </w:r>
    </w:p>
    <w:p w14:paraId="5539E374" w14:textId="77777777" w:rsidR="004C64E9" w:rsidRPr="006E60EA" w:rsidRDefault="00C37568" w:rsidP="006E60EA">
      <w:pPr>
        <w:spacing w:after="240" w:line="360" w:lineRule="auto"/>
        <w:rPr>
          <w:i/>
        </w:rPr>
      </w:pPr>
      <w:r w:rsidRPr="006E60EA">
        <w:rPr>
          <w:i/>
        </w:rPr>
        <w:lastRenderedPageBreak/>
        <w:t>Anchored in the Human Rights-Based Approach to Health and the Social Determinants of Health Theory, the study concludes that while Kenya’s courts have progressively enforced reproductive health rights, judicial intervention alone cannot close the implementation gap. Durable reform requires legislative resolution of the Penal Code contradiction, enactment of a comprehensive Reproductive Healthcare Act, restoration of operational provider guidelines, equitable public funding, and enforcement mechanisms that protect patien</w:t>
      </w:r>
      <w:r w:rsidR="00346335" w:rsidRPr="006E60EA">
        <w:rPr>
          <w:i/>
        </w:rPr>
        <w:t>ts and providers from criminaliz</w:t>
      </w:r>
      <w:r w:rsidRPr="006E60EA">
        <w:rPr>
          <w:i/>
        </w:rPr>
        <w:t>ation. The right to reproductive health in Kenya is constitutionally genuine what it lacks is the political will and institutional architecture to make it real for every Kenyan.</w:t>
      </w:r>
    </w:p>
    <w:p w14:paraId="28D7C3FD" w14:textId="77777777" w:rsidR="004C64E9" w:rsidRPr="006E60EA" w:rsidRDefault="004C64E9" w:rsidP="006E60EA">
      <w:pPr>
        <w:spacing w:after="160" w:line="360" w:lineRule="auto"/>
        <w:rPr>
          <w:i/>
        </w:rPr>
      </w:pPr>
      <w:r w:rsidRPr="006E60EA">
        <w:rPr>
          <w:i/>
        </w:rPr>
        <w:br w:type="page"/>
      </w:r>
    </w:p>
    <w:p w14:paraId="5F084821" w14:textId="5CB6FA53" w:rsidR="00553A67" w:rsidRDefault="00553A67" w:rsidP="00553A67">
      <w:pPr>
        <w:pStyle w:val="Caption"/>
        <w:jc w:val="center"/>
      </w:pPr>
      <w:r>
        <w:lastRenderedPageBreak/>
        <w:t xml:space="preserve">Figure </w:t>
      </w:r>
      <w:fldSimple w:instr=" SEQ Figure \* ARABIC ">
        <w:r w:rsidR="00F0767E">
          <w:rPr>
            <w:noProof/>
          </w:rPr>
          <w:t>1</w:t>
        </w:r>
      </w:fldSimple>
    </w:p>
    <w:p w14:paraId="5BC3F087" w14:textId="77777777" w:rsidR="004C64E9" w:rsidRPr="006E60EA" w:rsidRDefault="004C64E9" w:rsidP="006E60EA">
      <w:pPr>
        <w:spacing w:line="360" w:lineRule="auto"/>
        <w:jc w:val="center"/>
        <w:rPr>
          <w:b/>
        </w:rPr>
      </w:pPr>
      <w:r w:rsidRPr="006E60EA">
        <w:rPr>
          <w:b/>
        </w:rPr>
        <w:t>LIST OF ACRONYMS</w:t>
      </w:r>
    </w:p>
    <w:p w14:paraId="06EF6362" w14:textId="77777777" w:rsidR="0030604B" w:rsidRPr="006E60EA" w:rsidRDefault="0030604B" w:rsidP="006E60EA">
      <w:pPr>
        <w:spacing w:line="360" w:lineRule="auto"/>
        <w:jc w:val="center"/>
        <w:rPr>
          <w:b/>
        </w:rPr>
      </w:pPr>
    </w:p>
    <w:p w14:paraId="28C44F24" w14:textId="77777777" w:rsidR="004C64E9" w:rsidRPr="006E60EA" w:rsidRDefault="004C64E9" w:rsidP="006E60EA">
      <w:pPr>
        <w:spacing w:after="240" w:line="360" w:lineRule="auto"/>
      </w:pPr>
      <w:r w:rsidRPr="006E60EA">
        <w:t>AAAQ — Availability, Accessibility, Acceptability, and Quality</w:t>
      </w:r>
    </w:p>
    <w:p w14:paraId="0E1CD5D3" w14:textId="77777777" w:rsidR="004C64E9" w:rsidRPr="006E60EA" w:rsidRDefault="004C64E9" w:rsidP="006E60EA">
      <w:pPr>
        <w:spacing w:after="240" w:line="360" w:lineRule="auto"/>
      </w:pPr>
      <w:r w:rsidRPr="006E60EA">
        <w:t>APHRC — African Population and Health Research Center</w:t>
      </w:r>
    </w:p>
    <w:p w14:paraId="0343A68B" w14:textId="77777777" w:rsidR="004C64E9" w:rsidRPr="006E60EA" w:rsidRDefault="004C64E9" w:rsidP="006E60EA">
      <w:pPr>
        <w:spacing w:after="240" w:line="360" w:lineRule="auto"/>
      </w:pPr>
      <w:r w:rsidRPr="006E60EA">
        <w:t>CEDAW — Convention on the Elimination of All Forms of Discrimination Against Women</w:t>
      </w:r>
    </w:p>
    <w:p w14:paraId="5558E063" w14:textId="77777777" w:rsidR="004C64E9" w:rsidRPr="006E60EA" w:rsidRDefault="004C64E9" w:rsidP="006E60EA">
      <w:pPr>
        <w:spacing w:after="240" w:line="360" w:lineRule="auto"/>
      </w:pPr>
      <w:r w:rsidRPr="006E60EA">
        <w:t>CESCR — Committee on Economic, Social and Cultural Rights</w:t>
      </w:r>
    </w:p>
    <w:p w14:paraId="4DA51128" w14:textId="77777777" w:rsidR="004C64E9" w:rsidRPr="006E60EA" w:rsidRDefault="004C64E9" w:rsidP="006E60EA">
      <w:pPr>
        <w:spacing w:after="240" w:line="360" w:lineRule="auto"/>
      </w:pPr>
      <w:r w:rsidRPr="006E60EA">
        <w:t>CRR — Centre for Reproductive Rights</w:t>
      </w:r>
    </w:p>
    <w:p w14:paraId="508FF82F" w14:textId="77777777" w:rsidR="004C64E9" w:rsidRPr="006E60EA" w:rsidRDefault="004C64E9" w:rsidP="006E60EA">
      <w:pPr>
        <w:spacing w:after="240" w:line="360" w:lineRule="auto"/>
      </w:pPr>
      <w:r w:rsidRPr="006E60EA">
        <w:t>FIDA-Kenya — Federation of Women Lawyers in Kenya</w:t>
      </w:r>
    </w:p>
    <w:p w14:paraId="3E30F5F2" w14:textId="77777777" w:rsidR="004C64E9" w:rsidRPr="006E60EA" w:rsidRDefault="004C64E9" w:rsidP="006E60EA">
      <w:pPr>
        <w:spacing w:after="240" w:line="360" w:lineRule="auto"/>
      </w:pPr>
      <w:r w:rsidRPr="006E60EA">
        <w:t>HRBA — Human Rights-Based Approach</w:t>
      </w:r>
    </w:p>
    <w:p w14:paraId="77581AB4" w14:textId="77777777" w:rsidR="004C64E9" w:rsidRPr="006E60EA" w:rsidRDefault="004C64E9" w:rsidP="006E60EA">
      <w:pPr>
        <w:spacing w:after="240" w:line="360" w:lineRule="auto"/>
      </w:pPr>
      <w:r w:rsidRPr="006E60EA">
        <w:t>ICCPR — International Covenant on Civil and Political Rights</w:t>
      </w:r>
    </w:p>
    <w:p w14:paraId="0A056AC6" w14:textId="77777777" w:rsidR="004C64E9" w:rsidRPr="006E60EA" w:rsidRDefault="004C64E9" w:rsidP="006E60EA">
      <w:pPr>
        <w:spacing w:after="240" w:line="360" w:lineRule="auto"/>
      </w:pPr>
      <w:r w:rsidRPr="006E60EA">
        <w:t>ICESCR — International Covenant on Economic, Social and Cultural Rights</w:t>
      </w:r>
    </w:p>
    <w:p w14:paraId="0CDDD951" w14:textId="77777777" w:rsidR="004C64E9" w:rsidRPr="006E60EA" w:rsidRDefault="004C64E9" w:rsidP="006E60EA">
      <w:pPr>
        <w:spacing w:after="240" w:line="360" w:lineRule="auto"/>
      </w:pPr>
      <w:r w:rsidRPr="006E60EA">
        <w:t>ICPD — International Conference on Population and Development</w:t>
      </w:r>
    </w:p>
    <w:p w14:paraId="35E6B26C" w14:textId="77777777" w:rsidR="004C64E9" w:rsidRPr="006E60EA" w:rsidRDefault="004C64E9" w:rsidP="006E60EA">
      <w:pPr>
        <w:spacing w:after="240" w:line="360" w:lineRule="auto"/>
      </w:pPr>
      <w:r w:rsidRPr="006E60EA">
        <w:t>KDHS — Kenya Demographic and Health Survey</w:t>
      </w:r>
    </w:p>
    <w:p w14:paraId="6E57A356" w14:textId="77777777" w:rsidR="004C64E9" w:rsidRPr="006E60EA" w:rsidRDefault="004C64E9" w:rsidP="006E60EA">
      <w:pPr>
        <w:spacing w:after="240" w:line="360" w:lineRule="auto"/>
      </w:pPr>
      <w:r w:rsidRPr="006E60EA">
        <w:t>KELIN — Kenya Legal and Ethical Issues Network on HIV and AIDS</w:t>
      </w:r>
    </w:p>
    <w:p w14:paraId="33220CBC" w14:textId="77777777" w:rsidR="004C64E9" w:rsidRPr="006E60EA" w:rsidRDefault="004C64E9" w:rsidP="006E60EA">
      <w:pPr>
        <w:spacing w:after="240" w:line="360" w:lineRule="auto"/>
      </w:pPr>
      <w:r w:rsidRPr="006E60EA">
        <w:t>KNBS — Kenya National Bureau of Statistics</w:t>
      </w:r>
    </w:p>
    <w:p w14:paraId="3C4F50C1" w14:textId="77777777" w:rsidR="004C64E9" w:rsidRPr="006E60EA" w:rsidRDefault="004C64E9" w:rsidP="006E60EA">
      <w:pPr>
        <w:spacing w:after="240" w:line="360" w:lineRule="auto"/>
      </w:pPr>
      <w:r w:rsidRPr="006E60EA">
        <w:t>SDH — Social Determinants of Health</w:t>
      </w:r>
    </w:p>
    <w:p w14:paraId="49D9C864" w14:textId="77777777" w:rsidR="004C64E9" w:rsidRPr="006E60EA" w:rsidRDefault="004C64E9" w:rsidP="006E60EA">
      <w:pPr>
        <w:spacing w:after="240" w:line="360" w:lineRule="auto"/>
      </w:pPr>
      <w:r w:rsidRPr="006E60EA">
        <w:t>SDGs — Sustainable Development Goals</w:t>
      </w:r>
    </w:p>
    <w:p w14:paraId="42E97AB8" w14:textId="77777777" w:rsidR="004C64E9" w:rsidRPr="006E60EA" w:rsidRDefault="004C64E9" w:rsidP="006E60EA">
      <w:pPr>
        <w:spacing w:after="240" w:line="360" w:lineRule="auto"/>
      </w:pPr>
      <w:r w:rsidRPr="006E60EA">
        <w:t>UDHR — Universal Declaration of Human Rights</w:t>
      </w:r>
    </w:p>
    <w:p w14:paraId="1215CF3F" w14:textId="77777777" w:rsidR="00346335" w:rsidRPr="006E60EA" w:rsidRDefault="00346335" w:rsidP="006E60EA">
      <w:pPr>
        <w:spacing w:after="240" w:line="360" w:lineRule="auto"/>
        <w:rPr>
          <w:i/>
        </w:rPr>
      </w:pPr>
    </w:p>
    <w:p w14:paraId="69BC54AA" w14:textId="77777777" w:rsidR="00346335" w:rsidRPr="006E60EA" w:rsidRDefault="00346335" w:rsidP="006E60EA">
      <w:pPr>
        <w:spacing w:line="360" w:lineRule="auto"/>
      </w:pPr>
    </w:p>
    <w:p w14:paraId="7908E11C" w14:textId="77777777" w:rsidR="00346335" w:rsidRPr="006E60EA" w:rsidRDefault="00346335" w:rsidP="006E60EA">
      <w:pPr>
        <w:pStyle w:val="Heading1"/>
        <w:spacing w:line="360" w:lineRule="auto"/>
        <w:rPr>
          <w:rFonts w:cs="Times New Roman"/>
        </w:rPr>
        <w:sectPr w:rsidR="00346335" w:rsidRPr="006E60EA" w:rsidSect="00346335">
          <w:footerReference w:type="default" r:id="rId9"/>
          <w:footerReference w:type="first" r:id="rId10"/>
          <w:pgSz w:w="12240" w:h="15840"/>
          <w:pgMar w:top="1440" w:right="1440" w:bottom="1440" w:left="1800" w:header="708" w:footer="708" w:gutter="0"/>
          <w:pgNumType w:fmt="lowerRoman" w:start="1"/>
          <w:cols w:space="720"/>
          <w:titlePg/>
          <w:docGrid w:linePitch="360"/>
        </w:sectPr>
      </w:pPr>
    </w:p>
    <w:p w14:paraId="64B0E9D4" w14:textId="77777777" w:rsidR="006E60EA" w:rsidRPr="006E60EA" w:rsidRDefault="006E60EA" w:rsidP="006E60EA">
      <w:pPr>
        <w:pStyle w:val="Heading1"/>
        <w:spacing w:line="360" w:lineRule="auto"/>
        <w:rPr>
          <w:rFonts w:cs="Times New Roman"/>
        </w:rPr>
      </w:pPr>
      <w:bookmarkStart w:id="1" w:name="_Toc206662464"/>
      <w:r w:rsidRPr="006E60EA">
        <w:rPr>
          <w:rFonts w:cs="Times New Roman"/>
        </w:rPr>
        <w:lastRenderedPageBreak/>
        <w:t xml:space="preserve"> </w:t>
      </w:r>
      <w:bookmarkStart w:id="2" w:name="_Toc231382970"/>
      <w:r w:rsidRPr="006E60EA">
        <w:rPr>
          <w:rFonts w:cs="Times New Roman"/>
        </w:rPr>
        <w:t xml:space="preserve">CHAPTER </w:t>
      </w:r>
      <w:r w:rsidR="004840E4">
        <w:rPr>
          <w:rFonts w:cs="Times New Roman"/>
        </w:rPr>
        <w:t>ONE</w:t>
      </w:r>
      <w:bookmarkEnd w:id="2"/>
    </w:p>
    <w:p w14:paraId="72075130" w14:textId="77777777" w:rsidR="006E60EA" w:rsidRPr="006E60EA" w:rsidRDefault="006E60EA" w:rsidP="006E60EA">
      <w:pPr>
        <w:pStyle w:val="Heading2"/>
      </w:pPr>
      <w:bookmarkStart w:id="3" w:name="_Toc231382971"/>
      <w:r w:rsidRPr="006E60EA">
        <w:t>Introduction</w:t>
      </w:r>
      <w:bookmarkEnd w:id="1"/>
      <w:bookmarkEnd w:id="3"/>
    </w:p>
    <w:p w14:paraId="1DC2A336" w14:textId="77777777" w:rsidR="006E60EA" w:rsidRPr="006E60EA" w:rsidRDefault="006E60EA" w:rsidP="006E60EA">
      <w:pPr>
        <w:spacing w:line="360" w:lineRule="auto"/>
      </w:pPr>
      <w:r w:rsidRPr="006E60EA">
        <w:t xml:space="preserve">In the 21st century, the concept of health has transcended its traditional boundaries. No longer confined to the absence of illness, health is now understood as a dynamic state of complete physical, mental, and social well-being. </w:t>
      </w:r>
      <w:r w:rsidRPr="006E60EA">
        <w:rPr>
          <w:rStyle w:val="FootnoteReference"/>
        </w:rPr>
        <w:footnoteReference w:id="1"/>
      </w:r>
      <w:r w:rsidRPr="006E60EA">
        <w:t>Within this framework, reproductive health emerges as a cornerstone one that not only affects individuals but also shapes the destiny of families, communities, and entire nations.</w:t>
      </w:r>
    </w:p>
    <w:p w14:paraId="4EFC235C" w14:textId="77777777" w:rsidR="006E60EA" w:rsidRPr="006E60EA" w:rsidRDefault="006E60EA" w:rsidP="006E60EA">
      <w:pPr>
        <w:spacing w:line="360" w:lineRule="auto"/>
      </w:pPr>
      <w:r w:rsidRPr="006E60EA">
        <w:t>Reproductive health is more than a medical concern; it is a matter of human rights, dignity, and social justice.</w:t>
      </w:r>
      <w:r w:rsidRPr="006E60EA">
        <w:rPr>
          <w:rStyle w:val="FootnoteReference"/>
        </w:rPr>
        <w:footnoteReference w:id="2"/>
      </w:r>
      <w:r w:rsidRPr="006E60EA">
        <w:t xml:space="preserve"> It encompasses the ability of individuals to make informed decisions about their reproductive lives, access quality healthcare services, and live free from discrimination, coercion, and violence. The right to reproductive health is deeply intertwined with the right to health, as recognized by international instruments such as the World Health Organization’s Constitution and the International Covenant on Economic, Social and Cultural Rights.</w:t>
      </w:r>
      <w:r w:rsidRPr="006E60EA">
        <w:rPr>
          <w:rStyle w:val="FootnoteReference"/>
        </w:rPr>
        <w:footnoteReference w:id="3"/>
      </w:r>
    </w:p>
    <w:p w14:paraId="39E56AF8" w14:textId="77777777" w:rsidR="006E60EA" w:rsidRPr="006E60EA" w:rsidRDefault="006E60EA" w:rsidP="006E60EA">
      <w:pPr>
        <w:spacing w:line="360" w:lineRule="auto"/>
      </w:pPr>
      <w:r w:rsidRPr="006E60EA">
        <w:t xml:space="preserve">Despite its significance, reproductive health remains a contested and often neglected issue in many societies. Cultural taboos, religious beliefs, and restrictive laws continue to limit access to essential services such as family planning, safe motherhood, and sexual education. </w:t>
      </w:r>
      <w:r w:rsidRPr="006E60EA">
        <w:rPr>
          <w:rStyle w:val="FootnoteReference"/>
        </w:rPr>
        <w:footnoteReference w:id="4"/>
      </w:r>
      <w:r w:rsidRPr="006E60EA">
        <w:t>Women, girls, and marginalized groups are disproportionately affected, facing barriers that undermine their autonomy and well-being. The consequences are far-reaching: high rates of maternal mortality, unintended pregnancies, unsafe abortions, and the spread of sexually transmitted infections.</w:t>
      </w:r>
      <w:r w:rsidRPr="006E60EA">
        <w:rPr>
          <w:rStyle w:val="FootnoteReference"/>
        </w:rPr>
        <w:footnoteReference w:id="5"/>
      </w:r>
    </w:p>
    <w:p w14:paraId="3145912C" w14:textId="77777777" w:rsidR="006E60EA" w:rsidRPr="006E60EA" w:rsidRDefault="006E60EA" w:rsidP="006E60EA">
      <w:pPr>
        <w:spacing w:line="360" w:lineRule="auto"/>
      </w:pPr>
      <w:r w:rsidRPr="006E60EA">
        <w:t xml:space="preserve">The struggle for reproductive health rights is not just a personal battle it is a collective challenge that demands attention from policymakers, healthcare providers, and civil society. Ensuring access to reproductive health services is fundamental to achieving gender equality, </w:t>
      </w:r>
      <w:r w:rsidRPr="006E60EA">
        <w:lastRenderedPageBreak/>
        <w:t>reducing poverty, and promoting sustainable development.</w:t>
      </w:r>
      <w:r w:rsidRPr="006E60EA">
        <w:rPr>
          <w:rStyle w:val="FootnoteReference"/>
        </w:rPr>
        <w:footnoteReference w:id="6"/>
      </w:r>
      <w:r w:rsidRPr="006E60EA">
        <w:t xml:space="preserve"> It empowers individuals to make choices about their bodies and futures, fostering healthier families and stronger communities.</w:t>
      </w:r>
    </w:p>
    <w:p w14:paraId="54DF2019" w14:textId="77777777" w:rsidR="006E60EA" w:rsidRPr="006E60EA" w:rsidRDefault="006E60EA" w:rsidP="006E60EA">
      <w:pPr>
        <w:spacing w:line="360" w:lineRule="auto"/>
      </w:pPr>
      <w:r w:rsidRPr="006E60EA">
        <w:t>In Kenya and across the globe, the journey towards realizing the right to reproductive health is ongoing. Legal reforms, public awareness campaigns, and community-based initiatives have made significant strides, yet gaps persist. The intersection of law, culture, and health policy creates a complex landscape where progress is often slow and uneven. Addressing these challenges requires a holistic approach one that recognizes the diversity of experiences and the need for inclusive, rights-based solutions.</w:t>
      </w:r>
    </w:p>
    <w:p w14:paraId="0EDF3421" w14:textId="77777777" w:rsidR="006E60EA" w:rsidRPr="006E60EA" w:rsidRDefault="006E60EA" w:rsidP="006E60EA">
      <w:pPr>
        <w:pStyle w:val="Heading2"/>
      </w:pPr>
      <w:bookmarkStart w:id="4" w:name="_Toc206662465"/>
      <w:bookmarkStart w:id="5" w:name="_Toc231382972"/>
      <w:r w:rsidRPr="006E60EA">
        <w:t>Study Background</w:t>
      </w:r>
      <w:bookmarkEnd w:id="4"/>
      <w:bookmarkEnd w:id="5"/>
      <w:r w:rsidRPr="006E60EA">
        <w:t xml:space="preserve"> </w:t>
      </w:r>
    </w:p>
    <w:p w14:paraId="23DF8FAF" w14:textId="77777777" w:rsidR="006E60EA" w:rsidRPr="006E60EA" w:rsidRDefault="006E60EA" w:rsidP="006E60EA">
      <w:pPr>
        <w:spacing w:line="360" w:lineRule="auto"/>
      </w:pPr>
      <w:r w:rsidRPr="006E60EA">
        <w:t>The right to reproductive health is a fundamental component of the right to health, enshrined in both international human rights law and Kenya’s constitutional framework. At its core, reproductive health encompasses the ability of individuals to make informed choices about their reproductive lives, access quality health services, and exercise bodily autonomy without discrimination, coercion, or violence.</w:t>
      </w:r>
    </w:p>
    <w:p w14:paraId="5298012B" w14:textId="77777777" w:rsidR="006E60EA" w:rsidRPr="006E60EA" w:rsidRDefault="006E60EA" w:rsidP="006E60EA">
      <w:pPr>
        <w:spacing w:line="360" w:lineRule="auto"/>
      </w:pPr>
      <w:r w:rsidRPr="006E60EA">
        <w:t>Globally, significant milestones such as the 1994 International Conference on Population and Development (ICPD) and the Sustainable Development Goals (SDGs) have highlighted reproductive health as central to gender equality, human dignity, and social justice.</w:t>
      </w:r>
      <w:r w:rsidRPr="006E60EA">
        <w:rPr>
          <w:rStyle w:val="FootnoteReference"/>
        </w:rPr>
        <w:footnoteReference w:id="7"/>
      </w:r>
      <w:r w:rsidRPr="006E60EA">
        <w:t xml:space="preserve"> Regionally, instruments such as the African Charter on Human and Peoples’ Rights and the Maputo Protocol impose obligations on States to guarantee reproductive rights and ensure accessible healthcare services.</w:t>
      </w:r>
      <w:r w:rsidRPr="006E60EA">
        <w:rPr>
          <w:rStyle w:val="FootnoteReference"/>
        </w:rPr>
        <w:footnoteReference w:id="8"/>
      </w:r>
    </w:p>
    <w:p w14:paraId="2C71AB3C" w14:textId="77777777" w:rsidR="006E60EA" w:rsidRPr="006E60EA" w:rsidRDefault="006E60EA" w:rsidP="006E60EA">
      <w:pPr>
        <w:spacing w:line="360" w:lineRule="auto"/>
      </w:pPr>
      <w:r w:rsidRPr="006E60EA">
        <w:t>In Kenya, the Constitution of Kenya (2010) provides a strong legal foundation for the right to reproductive health. Article 43(1) (a) guarantees “the highest attainable standard of health, including reproductive health,” while Article 26(4) permits abortion under specific circumstances, including when the life or health of the mother is at risk or in cases of emergency.</w:t>
      </w:r>
      <w:r w:rsidRPr="006E60EA">
        <w:rPr>
          <w:rStyle w:val="FootnoteReference"/>
        </w:rPr>
        <w:footnoteReference w:id="9"/>
      </w:r>
      <w:r w:rsidRPr="006E60EA">
        <w:t xml:space="preserve"> These constitutional provisions, combined with supporting laws such as the Health Act (2017) and the Reproductive Healthcare Bill (2019), establish a progressive </w:t>
      </w:r>
      <w:r w:rsidRPr="006E60EA">
        <w:lastRenderedPageBreak/>
        <w:t>framework for protecting reproductive rights. However, there remains a significant gap between law and practice, particularly for vulnerable and marginalized groups.</w:t>
      </w:r>
    </w:p>
    <w:p w14:paraId="1FC2E3C2" w14:textId="77777777" w:rsidR="006E60EA" w:rsidRPr="006E60EA" w:rsidRDefault="006E60EA" w:rsidP="006E60EA">
      <w:pPr>
        <w:spacing w:line="360" w:lineRule="auto"/>
      </w:pPr>
      <w:r w:rsidRPr="006E60EA">
        <w:t>Several barriers hinder effective access to reproductive health services.</w:t>
      </w:r>
      <w:r w:rsidRPr="006E60EA">
        <w:rPr>
          <w:b/>
        </w:rPr>
        <w:t xml:space="preserve"> </w:t>
      </w:r>
      <w:r w:rsidRPr="006E60EA">
        <w:t>Access to reproductive health services is impeded by a range of interrelated barriers that cut across the legal, social, economic, and institutional spheres. From a legal standpoint, inconsistencies within statutory and regulatory frameworks continue to frustrate both patients and healthcare providers. For instance, the lack of harmonized and standardized guidelines on abortion and other reproductive health services creates a climate of uncertainty that undermines the right to health. Frequent policy reversals and inconsistent enforcement further complicate the landscape, leaving providers vulnerable to criminal liability and patients unsure of the legality of the services they seek. This legal ambiguity effectively curtails access to safe and reliable reproductive healthcare.</w:t>
      </w:r>
    </w:p>
    <w:p w14:paraId="12A83D7B" w14:textId="77777777" w:rsidR="006E60EA" w:rsidRPr="006E60EA" w:rsidRDefault="006E60EA" w:rsidP="006E60EA">
      <w:pPr>
        <w:spacing w:line="360" w:lineRule="auto"/>
      </w:pPr>
      <w:r w:rsidRPr="006E60EA">
        <w:t>Cultural and social dynamics also constitute formidable obstacles to effective reproductive health access. Deep-seated stigma surrounding issues such as contraception, abortion, and sexuality perpetuates silence and misinformation, particularly among adolescents and young women. Within many communities, discussions on reproductive health are shrouded in cultural taboos, resulting in fear of judgment, discrimination, or ostracization for those who seek services. This social stigma deters individuals from making informed choices, thereby undermining autonomy and perpetuating cycles of reproductive ill-health.</w:t>
      </w:r>
    </w:p>
    <w:p w14:paraId="5B4B4D68" w14:textId="77777777" w:rsidR="006E60EA" w:rsidRPr="006E60EA" w:rsidRDefault="006E60EA" w:rsidP="006E60EA">
      <w:pPr>
        <w:spacing w:line="360" w:lineRule="auto"/>
      </w:pPr>
      <w:r w:rsidRPr="006E60EA">
        <w:t>Economic barriers further exacerbate inequities in reproductive healthcare access. Limited governmental allocation of resources to reproductive health programs means that most services are either underfunded or unavailable in certain regions. Consequently, patients are forced to shoulder high out-of-pocket expenses, which disproportionately affect low-income populations. The disparity between urban and rural facilities is particularly glaring, with rural populations often deprived of essential services due to poor infrastructure and resource allocation. This economic stratification entrenches inequality and restricts the enjoyment of reproductive rights to those who can afford them.</w:t>
      </w:r>
    </w:p>
    <w:p w14:paraId="72E571AF" w14:textId="77777777" w:rsidR="006E60EA" w:rsidRPr="006E60EA" w:rsidRDefault="006E60EA" w:rsidP="006E60EA">
      <w:pPr>
        <w:spacing w:line="360" w:lineRule="auto"/>
      </w:pPr>
      <w:r w:rsidRPr="006E60EA">
        <w:t xml:space="preserve">Institutional weaknesses also play a critical role in undermining the delivery of reproductive health services. Even where policies exist, poor implementation and inadequate oversight render them ineffective. The lack of comprehensive training for healthcare providers contributes to limited capacity in handling sensitive reproductive health issues, while weak </w:t>
      </w:r>
      <w:r w:rsidRPr="006E60EA">
        <w:lastRenderedPageBreak/>
        <w:t>accountability mechanisms foster negligence and gaps in service provision. These institutional deficiencies not only erode the quality of healthcare but also compromise public confidence in the system, thereby discouraging individuals from seeking necessary care.</w:t>
      </w:r>
    </w:p>
    <w:p w14:paraId="67473DC8" w14:textId="33072624" w:rsidR="006E60EA" w:rsidRPr="006E60EA" w:rsidRDefault="006E60EA" w:rsidP="006E60EA">
      <w:pPr>
        <w:spacing w:line="360" w:lineRule="auto"/>
      </w:pPr>
      <w:r w:rsidRPr="006E60EA">
        <w:t>The Kenya Demographic and Health Survey (2022) reveals</w:t>
      </w:r>
      <w:r w:rsidR="003758BF">
        <w:t xml:space="preserve"> </w:t>
      </w:r>
      <w:r w:rsidRPr="006E60EA">
        <w:t>alarming trends: adolescent pregnancies remain high, unsafe abortions continue to drive maternal mortality, and access to modern contraceptives is unequally distributed across counties.</w:t>
      </w:r>
      <w:r w:rsidRPr="006E60EA">
        <w:rPr>
          <w:rStyle w:val="FootnoteReference"/>
        </w:rPr>
        <w:footnoteReference w:id="10"/>
      </w:r>
      <w:r w:rsidRPr="006E60EA">
        <w:t>These challenges expose systemic failures in translating constitutional guarantees into practical realities.</w:t>
      </w:r>
    </w:p>
    <w:p w14:paraId="331A218F" w14:textId="77777777" w:rsidR="006E60EA" w:rsidRPr="006E60EA" w:rsidRDefault="006E60EA" w:rsidP="006E60EA">
      <w:pPr>
        <w:spacing w:line="360" w:lineRule="auto"/>
      </w:pPr>
      <w:r w:rsidRPr="006E60EA">
        <w:t>Courts in Kenya have played an increasingly important role in addressing these gaps. In JMM v Attorney General &amp; Others (2018), the High Court held that the denial of post-abortion care violated the petitioner’s rights to health, dignity, and freedom from cruel treatment under the Constitution.⁵ Similarly, in Centre for Reproductive Rights (CRR) &amp; Others v Kenya (2012), the Court found that the State’s withdrawal of abortion guidelines created confusion among healthcare providers, thereby denying women safe access to reproductive healthcare services.</w:t>
      </w:r>
      <w:r w:rsidRPr="006E60EA">
        <w:rPr>
          <w:rStyle w:val="FootnoteReference"/>
        </w:rPr>
        <w:footnoteReference w:id="11"/>
      </w:r>
      <w:r w:rsidRPr="006E60EA">
        <w:t xml:space="preserve"> These landmark cases reaffirm the State’s positive obligation to develop clear policies, provide adequate resources, and ensure equal access to reproductive healthcare.</w:t>
      </w:r>
    </w:p>
    <w:p w14:paraId="0C86471D" w14:textId="77777777" w:rsidR="006E60EA" w:rsidRPr="006E60EA" w:rsidRDefault="006E60EA" w:rsidP="006E60EA">
      <w:pPr>
        <w:spacing w:line="360" w:lineRule="auto"/>
      </w:pPr>
      <w:r w:rsidRPr="006E60EA">
        <w:t>Despite these judicial advancements, reproductive health in Kenya remains constrained by political, cultural, and institutional challenges. This study therefore seeks to examine the legal and policy frameworks, analyze barriers to implementation, and assess the effectiveness of ongoing interventions, with the aim of recommending strategies to enhance access to reproductive health services as a fundamental human right.</w:t>
      </w:r>
    </w:p>
    <w:p w14:paraId="1662E70C" w14:textId="77777777" w:rsidR="006E60EA" w:rsidRPr="006E60EA" w:rsidRDefault="006E60EA" w:rsidP="006E60EA">
      <w:pPr>
        <w:pStyle w:val="Heading2"/>
      </w:pPr>
      <w:r w:rsidRPr="006E60EA">
        <w:br/>
        <w:t xml:space="preserve"> </w:t>
      </w:r>
      <w:bookmarkStart w:id="6" w:name="_Toc206662466"/>
      <w:bookmarkStart w:id="7" w:name="_Toc231382973"/>
      <w:r w:rsidRPr="006E60EA">
        <w:t>Statement of the Problem</w:t>
      </w:r>
      <w:bookmarkEnd w:id="6"/>
      <w:bookmarkEnd w:id="7"/>
    </w:p>
    <w:p w14:paraId="6B468415" w14:textId="77777777" w:rsidR="006E60EA" w:rsidRPr="006E60EA" w:rsidRDefault="006E60EA" w:rsidP="006E60EA">
      <w:pPr>
        <w:spacing w:line="360" w:lineRule="auto"/>
      </w:pPr>
      <w:bookmarkStart w:id="8" w:name="_Toc206662467"/>
      <w:r w:rsidRPr="006E60EA">
        <w:t>Although the Constitution of Kenya 2010 and various international human rights instruments guarantee the right to the highest attainable standard of health including reproductive health this right remains inaccessible to many Kenyans in practice.</w:t>
      </w:r>
      <w:r w:rsidRPr="006E60EA">
        <w:rPr>
          <w:rStyle w:val="FootnoteReference"/>
        </w:rPr>
        <w:footnoteReference w:id="12"/>
      </w:r>
      <w:r w:rsidRPr="006E60EA">
        <w:t xml:space="preserve">Access to comprehensive </w:t>
      </w:r>
      <w:r w:rsidRPr="006E60EA">
        <w:lastRenderedPageBreak/>
        <w:t>reproductive healthcare is constrained by a combination of restrictive legal frameworks, entrenched cultural norms, economic disparities, and institutional weaknesses.</w:t>
      </w:r>
      <w:r w:rsidRPr="006E60EA">
        <w:rPr>
          <w:rStyle w:val="FootnoteReference"/>
        </w:rPr>
        <w:footnoteReference w:id="13"/>
      </w:r>
    </w:p>
    <w:p w14:paraId="0B4619D6" w14:textId="77777777" w:rsidR="006E60EA" w:rsidRPr="006E60EA" w:rsidRDefault="006E60EA" w:rsidP="006E60EA">
      <w:pPr>
        <w:spacing w:line="360" w:lineRule="auto"/>
      </w:pPr>
      <w:r w:rsidRPr="006E60EA">
        <w:t>Marginalized groups, particularly women, adolescents, persons with disabilities, and rural populations, continue to face systemic barriers such as discrimination, inadequate information, and underdeveloped healthcare infrastructure.</w:t>
      </w:r>
      <w:r w:rsidRPr="006E60EA">
        <w:rPr>
          <w:rStyle w:val="FootnoteReference"/>
        </w:rPr>
        <w:footnoteReference w:id="14"/>
      </w:r>
      <w:r w:rsidRPr="006E60EA">
        <w:t xml:space="preserve"> The stigma surrounding issues like contraception, abortion, and sexuality education not only silences public discourse but also discourages individuals from seeking essential services. As a result, many are denied the ability to make informed reproductive choices, perpetuating cycles of inequality and vulnerability.</w:t>
      </w:r>
      <w:r w:rsidRPr="006E60EA">
        <w:rPr>
          <w:rStyle w:val="FootnoteReference"/>
        </w:rPr>
        <w:footnoteReference w:id="15"/>
      </w:r>
    </w:p>
    <w:p w14:paraId="1B59D221" w14:textId="77777777" w:rsidR="006E60EA" w:rsidRPr="006E60EA" w:rsidRDefault="006E60EA" w:rsidP="006E60EA">
      <w:pPr>
        <w:spacing w:line="360" w:lineRule="auto"/>
      </w:pPr>
      <w:r w:rsidRPr="006E60EA">
        <w:t>The gap between policy commitments and lived reality is reflected in persistently high rates of maternal mortality, adolescent pregnancies, and unsafe abortions, which remain major public health concerns.</w:t>
      </w:r>
      <w:r w:rsidRPr="006E60EA">
        <w:rPr>
          <w:rStyle w:val="FootnoteReference"/>
        </w:rPr>
        <w:footnoteReference w:id="16"/>
      </w:r>
      <w:r w:rsidRPr="006E60EA">
        <w:t>These challenges are compounded by chronic underfunding, insufficiently trained healthcare providers, weak institutional accountability, and fragmented enforcement of existing policies and laws.</w:t>
      </w:r>
      <w:r w:rsidRPr="006E60EA">
        <w:rPr>
          <w:rStyle w:val="FootnoteReference"/>
        </w:rPr>
        <w:footnoteReference w:id="17"/>
      </w:r>
      <w:r w:rsidRPr="006E60EA">
        <w:t>While Kenya has made strides in formulating progressive policies, the failure to translate them into effective, accessible, and equitable services has undermined the constitutional promise of reproductive health as a justiciable and enforceable right.</w:t>
      </w:r>
    </w:p>
    <w:p w14:paraId="5FDEF5FB" w14:textId="77777777" w:rsidR="006E60EA" w:rsidRPr="006E60EA" w:rsidRDefault="006E60EA" w:rsidP="006E60EA">
      <w:pPr>
        <w:spacing w:line="360" w:lineRule="auto"/>
      </w:pPr>
      <w:r w:rsidRPr="006E60EA">
        <w:t>This study seeks to interrogate these challenges, unpack their structural and legal roots, and propose actionable solutions that can bridge the gap between constitutional ideals and the lived realities of reproductive health in Kenya. By situating reproductive health within the broader human rights framework, the study underscores the urgency of judicial, legislative, and policy reforms aimed at transforming reproductive health from an aspirational commitment into a lived reality.</w:t>
      </w:r>
    </w:p>
    <w:p w14:paraId="078F8EA8" w14:textId="77777777" w:rsidR="006E60EA" w:rsidRPr="006E60EA" w:rsidRDefault="006E60EA" w:rsidP="006E60EA">
      <w:pPr>
        <w:pStyle w:val="Heading2"/>
      </w:pPr>
      <w:bookmarkStart w:id="9" w:name="_Toc231382974"/>
      <w:r w:rsidRPr="006E60EA">
        <w:t>Research Objectives</w:t>
      </w:r>
      <w:bookmarkEnd w:id="8"/>
      <w:bookmarkEnd w:id="9"/>
    </w:p>
    <w:p w14:paraId="296068CC" w14:textId="77777777" w:rsidR="006E60EA" w:rsidRPr="006E60EA" w:rsidRDefault="006E60EA" w:rsidP="006E60EA">
      <w:pPr>
        <w:spacing w:line="360" w:lineRule="auto"/>
      </w:pPr>
      <w:r w:rsidRPr="006E60EA">
        <w:t xml:space="preserve">The general aim of this research is to examine whether the existing legislative and institutional frameworks in Kenya effectively and equitably guarantee the right to reproductive health for </w:t>
      </w:r>
      <w:r w:rsidRPr="006E60EA">
        <w:lastRenderedPageBreak/>
        <w:t>all individuals, particularly marginalized groups. The specific research objectives which this study seeks to address are:</w:t>
      </w:r>
    </w:p>
    <w:p w14:paraId="72A12290" w14:textId="77777777" w:rsidR="006E60EA" w:rsidRPr="006E60EA" w:rsidRDefault="006E60EA" w:rsidP="006E60EA">
      <w:pPr>
        <w:pStyle w:val="ListParagraph"/>
        <w:numPr>
          <w:ilvl w:val="0"/>
          <w:numId w:val="7"/>
        </w:numPr>
        <w:spacing w:after="160" w:line="360" w:lineRule="auto"/>
        <w:contextualSpacing/>
        <w:jc w:val="both"/>
      </w:pPr>
      <w:r w:rsidRPr="006E60EA">
        <w:rPr>
          <w:rStyle w:val="Strong"/>
        </w:rPr>
        <w:t>To critically examine</w:t>
      </w:r>
      <w:r w:rsidRPr="006E60EA">
        <w:t xml:space="preserve"> the legal, constitutional, and policy frameworks governing the right to reproductive health in Kenya, with a focus on their alignment with international human rights standards.</w:t>
      </w:r>
    </w:p>
    <w:p w14:paraId="2AB7E0F4" w14:textId="77777777" w:rsidR="006E60EA" w:rsidRPr="006E60EA" w:rsidRDefault="006E60EA" w:rsidP="006E60EA">
      <w:pPr>
        <w:pStyle w:val="ListParagraph"/>
        <w:numPr>
          <w:ilvl w:val="0"/>
          <w:numId w:val="7"/>
        </w:numPr>
        <w:spacing w:after="160" w:line="360" w:lineRule="auto"/>
        <w:contextualSpacing/>
        <w:jc w:val="both"/>
      </w:pPr>
      <w:r w:rsidRPr="006E60EA">
        <w:rPr>
          <w:rStyle w:val="Strong"/>
        </w:rPr>
        <w:t>To investigate</w:t>
      </w:r>
      <w:r w:rsidRPr="006E60EA">
        <w:t xml:space="preserve"> the key barriers legal, cultural, socio-economic, and institutional that limit access to reproductive health services in Kenya.</w:t>
      </w:r>
    </w:p>
    <w:p w14:paraId="6B3DC72E" w14:textId="77777777" w:rsidR="006E60EA" w:rsidRPr="006E60EA" w:rsidRDefault="006E60EA" w:rsidP="006E60EA">
      <w:pPr>
        <w:pStyle w:val="ListParagraph"/>
        <w:numPr>
          <w:ilvl w:val="0"/>
          <w:numId w:val="7"/>
        </w:numPr>
        <w:spacing w:after="160" w:line="360" w:lineRule="auto"/>
        <w:contextualSpacing/>
        <w:jc w:val="both"/>
      </w:pPr>
      <w:r w:rsidRPr="006E60EA">
        <w:rPr>
          <w:rStyle w:val="Strong"/>
        </w:rPr>
        <w:t>To analyse</w:t>
      </w:r>
      <w:r w:rsidRPr="006E60EA">
        <w:t xml:space="preserve"> the disproportionate impact of these barriers on marginalized groups, including women, adolescents, persons with disabilities, and rural populations.</w:t>
      </w:r>
    </w:p>
    <w:p w14:paraId="3C0F280C" w14:textId="77777777" w:rsidR="006E60EA" w:rsidRPr="006E60EA" w:rsidRDefault="006E60EA" w:rsidP="006E60EA">
      <w:pPr>
        <w:pStyle w:val="ListParagraph"/>
        <w:numPr>
          <w:ilvl w:val="0"/>
          <w:numId w:val="7"/>
        </w:numPr>
        <w:spacing w:after="160" w:line="360" w:lineRule="auto"/>
        <w:contextualSpacing/>
        <w:jc w:val="both"/>
      </w:pPr>
      <w:r w:rsidRPr="006E60EA">
        <w:rPr>
          <w:rStyle w:val="Strong"/>
        </w:rPr>
        <w:t>To evaluate</w:t>
      </w:r>
      <w:r w:rsidRPr="006E60EA">
        <w:t xml:space="preserve"> the effectiveness of existing interventions, programs, and policy initiatives aimed at safeguarding and promoting reproductive health rights.</w:t>
      </w:r>
    </w:p>
    <w:p w14:paraId="2C802369" w14:textId="77777777" w:rsidR="006E60EA" w:rsidRPr="006E60EA" w:rsidRDefault="006E60EA" w:rsidP="006E60EA">
      <w:pPr>
        <w:pStyle w:val="ListParagraph"/>
        <w:spacing w:line="360" w:lineRule="auto"/>
        <w:ind w:left="360"/>
      </w:pPr>
    </w:p>
    <w:p w14:paraId="4ADB3ED2" w14:textId="77777777" w:rsidR="006E60EA" w:rsidRPr="006E60EA" w:rsidRDefault="006E60EA" w:rsidP="006E60EA">
      <w:pPr>
        <w:pStyle w:val="Heading2"/>
      </w:pPr>
      <w:r w:rsidRPr="006E60EA">
        <w:t xml:space="preserve"> </w:t>
      </w:r>
      <w:bookmarkStart w:id="10" w:name="_Toc206662468"/>
      <w:bookmarkStart w:id="11" w:name="_Toc231382975"/>
      <w:r w:rsidRPr="006E60EA">
        <w:t>Research Questions</w:t>
      </w:r>
      <w:bookmarkEnd w:id="10"/>
      <w:bookmarkEnd w:id="11"/>
    </w:p>
    <w:p w14:paraId="5805E9A9" w14:textId="77777777" w:rsidR="006E60EA" w:rsidRPr="006E60EA" w:rsidRDefault="006E60EA" w:rsidP="006E60EA">
      <w:pPr>
        <w:pStyle w:val="ListParagraph"/>
        <w:numPr>
          <w:ilvl w:val="0"/>
          <w:numId w:val="8"/>
        </w:numPr>
        <w:spacing w:after="160" w:line="360" w:lineRule="auto"/>
        <w:contextualSpacing/>
        <w:jc w:val="both"/>
      </w:pPr>
      <w:r w:rsidRPr="006E60EA">
        <w:t>What legal and policy frameworks exist in Kenya to protect the right to reproductive health?</w:t>
      </w:r>
    </w:p>
    <w:p w14:paraId="75E1DD65" w14:textId="77777777" w:rsidR="006E60EA" w:rsidRPr="006E60EA" w:rsidRDefault="006E60EA" w:rsidP="006E60EA">
      <w:pPr>
        <w:pStyle w:val="ListParagraph"/>
        <w:numPr>
          <w:ilvl w:val="0"/>
          <w:numId w:val="8"/>
        </w:numPr>
        <w:spacing w:after="160" w:line="360" w:lineRule="auto"/>
        <w:contextualSpacing/>
        <w:jc w:val="both"/>
      </w:pPr>
      <w:r w:rsidRPr="006E60EA">
        <w:t>What are the main barriers preventing access to reproductive health services for marginalized groups?</w:t>
      </w:r>
    </w:p>
    <w:p w14:paraId="74F76632" w14:textId="77777777" w:rsidR="006E60EA" w:rsidRPr="006E60EA" w:rsidRDefault="006E60EA" w:rsidP="006E60EA">
      <w:pPr>
        <w:pStyle w:val="ListParagraph"/>
        <w:numPr>
          <w:ilvl w:val="0"/>
          <w:numId w:val="8"/>
        </w:numPr>
        <w:spacing w:after="160" w:line="360" w:lineRule="auto"/>
        <w:contextualSpacing/>
        <w:jc w:val="both"/>
      </w:pPr>
      <w:r w:rsidRPr="006E60EA">
        <w:t>How do cultural, economic, and social factors influence the realization of reproductive health rights?</w:t>
      </w:r>
    </w:p>
    <w:p w14:paraId="52188BC4" w14:textId="77777777" w:rsidR="006E60EA" w:rsidRPr="006E60EA" w:rsidRDefault="006E60EA" w:rsidP="006E60EA">
      <w:pPr>
        <w:pStyle w:val="ListParagraph"/>
        <w:numPr>
          <w:ilvl w:val="0"/>
          <w:numId w:val="8"/>
        </w:numPr>
        <w:spacing w:after="160" w:line="360" w:lineRule="auto"/>
        <w:contextualSpacing/>
        <w:jc w:val="both"/>
      </w:pPr>
      <w:r w:rsidRPr="006E60EA">
        <w:t>How effective are current interventions and policies in promoting reproductive health as part of the right to health?</w:t>
      </w:r>
    </w:p>
    <w:p w14:paraId="12B6C4EF" w14:textId="77777777" w:rsidR="006E60EA" w:rsidRPr="00F606B9" w:rsidRDefault="006E60EA" w:rsidP="00F606B9">
      <w:pPr>
        <w:pStyle w:val="Heading2"/>
      </w:pPr>
      <w:bookmarkStart w:id="12" w:name="_Toc206662469"/>
      <w:bookmarkStart w:id="13" w:name="_Toc231382976"/>
      <w:r w:rsidRPr="00F606B9">
        <w:t>Hypothesis</w:t>
      </w:r>
      <w:bookmarkEnd w:id="12"/>
      <w:bookmarkEnd w:id="13"/>
    </w:p>
    <w:p w14:paraId="08ADB96D" w14:textId="77777777" w:rsidR="006E60EA" w:rsidRPr="006E60EA" w:rsidRDefault="006E60EA" w:rsidP="006E60EA">
      <w:pPr>
        <w:spacing w:line="360" w:lineRule="auto"/>
      </w:pPr>
      <w:bookmarkStart w:id="14" w:name="_Toc206519700"/>
      <w:bookmarkStart w:id="15" w:name="_Toc206662470"/>
      <w:r w:rsidRPr="006E60EA">
        <w:t>This paper is premised on the following hypotheses:</w:t>
      </w:r>
    </w:p>
    <w:p w14:paraId="0BAF51B5" w14:textId="77777777" w:rsidR="006E60EA" w:rsidRPr="006E60EA" w:rsidRDefault="006E60EA" w:rsidP="006E60EA">
      <w:pPr>
        <w:spacing w:line="360" w:lineRule="auto"/>
      </w:pPr>
      <w:r w:rsidRPr="006E60EA">
        <w:t>a. Despite constitu</w:t>
      </w:r>
      <w:r w:rsidR="00F606B9">
        <w:t xml:space="preserve">tional guarantees, many Kenyans </w:t>
      </w:r>
      <w:r w:rsidRPr="006E60EA">
        <w:t>especially women, adole</w:t>
      </w:r>
      <w:r w:rsidR="00F606B9">
        <w:t xml:space="preserve">scents, and marginalized groups </w:t>
      </w:r>
      <w:r w:rsidRPr="006E60EA">
        <w:t>still struggle to access reproductive health services due to cultural stigma, economic constraints, and inadequate healthcare infrastructure.</w:t>
      </w:r>
    </w:p>
    <w:p w14:paraId="5FDE4EB0" w14:textId="77777777" w:rsidR="006E60EA" w:rsidRPr="006E60EA" w:rsidRDefault="006E60EA" w:rsidP="006E60EA">
      <w:pPr>
        <w:spacing w:line="360" w:lineRule="auto"/>
      </w:pPr>
      <w:r w:rsidRPr="006E60EA">
        <w:lastRenderedPageBreak/>
        <w:t>b. Existing policies and legal frameworks, including Article 43(1)(a) of the Constitution and related guidelines, are often poorly implemented due to insufficient funding, lack of awareness, and weak enforcement mechanisms.</w:t>
      </w:r>
    </w:p>
    <w:p w14:paraId="6E7DB025" w14:textId="77777777" w:rsidR="006E60EA" w:rsidRPr="006E60EA" w:rsidRDefault="006E60EA" w:rsidP="006E60EA">
      <w:pPr>
        <w:spacing w:line="360" w:lineRule="auto"/>
      </w:pPr>
      <w:r w:rsidRPr="006E60EA">
        <w:t>c. Access to reproductive health can be significantly improved through a comprehensive approach that strengthens policy implementation, promotes public education, and addresses socio-economic and cultural barriers affecting service delivery.</w:t>
      </w:r>
    </w:p>
    <w:p w14:paraId="66DB5F18" w14:textId="3C028658" w:rsidR="006E60EA" w:rsidRPr="006E60EA" w:rsidRDefault="009E6054" w:rsidP="001754A4">
      <w:pPr>
        <w:pStyle w:val="Heading2"/>
      </w:pPr>
      <w:bookmarkStart w:id="16" w:name="_Toc206662471"/>
      <w:bookmarkStart w:id="17" w:name="_Toc231382977"/>
      <w:bookmarkEnd w:id="14"/>
      <w:bookmarkEnd w:id="15"/>
      <w:r>
        <w:t>w</w:t>
      </w:r>
      <w:r w:rsidR="006E60EA" w:rsidRPr="006E60EA">
        <w:t>Literature Review</w:t>
      </w:r>
      <w:bookmarkEnd w:id="17"/>
    </w:p>
    <w:p w14:paraId="08DC0C0A" w14:textId="77777777" w:rsidR="006E60EA" w:rsidRPr="006E60EA" w:rsidRDefault="006E60EA" w:rsidP="006E60EA">
      <w:pPr>
        <w:spacing w:line="360" w:lineRule="auto"/>
        <w:rPr>
          <w:b/>
        </w:rPr>
      </w:pPr>
      <w:r w:rsidRPr="006E60EA">
        <w:rPr>
          <w:b/>
        </w:rPr>
        <w:t>Conceptualizing Reproductive Health as a Legal Right</w:t>
      </w:r>
    </w:p>
    <w:p w14:paraId="7CC699D2" w14:textId="77777777" w:rsidR="006E60EA" w:rsidRPr="006E60EA" w:rsidRDefault="006E60EA" w:rsidP="006E60EA">
      <w:pPr>
        <w:spacing w:line="360" w:lineRule="auto"/>
        <w:rPr>
          <w:b/>
        </w:rPr>
      </w:pPr>
      <w:r w:rsidRPr="006E60EA">
        <w:t>Cook, Dickens, and Fathalla, in their foundational monograph Reproductive Health and Human Rights: Integrating Medicine, Ethics, and Law, argue that reproductive health occupies the intersection of medicine, ethics, and law, and that its full realization demands a fundamental reorientation of healthcare systems toward rights-based principles.</w:t>
      </w:r>
      <w:r w:rsidRPr="006E60EA">
        <w:rPr>
          <w:rStyle w:val="FootnoteReference"/>
        </w:rPr>
        <w:footnoteReference w:id="18"/>
      </w:r>
      <w:r w:rsidRPr="006E60EA">
        <w:t>In their journal article “Human Rights Dynamics of Abortion Law Reform,” Cook and Dickens further argue that framing reproductive health as a right transforms discretionary State decisions into justiciable obligations.</w:t>
      </w:r>
      <w:r w:rsidRPr="006E60EA">
        <w:rPr>
          <w:rStyle w:val="FootnoteReference"/>
        </w:rPr>
        <w:footnoteReference w:id="19"/>
      </w:r>
      <w:r w:rsidRPr="006E60EA">
        <w:t>Dixon-Mueller, in her article “The Sexuality Connection in Reproductive Health,” identifies Cairo as a paradigm shift that transformed reproductive health into a rights-based rather than merely developmental obligation.</w:t>
      </w:r>
      <w:r w:rsidRPr="006E60EA">
        <w:rPr>
          <w:rStyle w:val="FootnoteReference"/>
        </w:rPr>
        <w:footnoteReference w:id="20"/>
      </w:r>
      <w:r w:rsidRPr="006E60EA">
        <w:t>Cook, Dickens and Fathalla and Dixon-Mueller agree on this point.</w:t>
      </w:r>
    </w:p>
    <w:p w14:paraId="6A080459" w14:textId="787DA1B9" w:rsidR="006E60EA" w:rsidRPr="006E60EA" w:rsidRDefault="006E60EA" w:rsidP="006E60EA">
      <w:pPr>
        <w:spacing w:after="220" w:line="360" w:lineRule="auto"/>
      </w:pPr>
      <w:r w:rsidRPr="006E60EA">
        <w:t>Corrêa and Petchesky, however, in their book chapter “Reproductive and Sexual Rights: A Feminist Perspective,” caution that rights-based framing can be co-opted to advance selective agendas — endorsing some rights while curtailing others, or advancing rights for privileged women while marginalizing the least powerful.</w:t>
      </w:r>
      <w:r w:rsidRPr="006E60EA">
        <w:rPr>
          <w:rStyle w:val="FootnoteReference"/>
        </w:rPr>
        <w:footnoteReference w:id="21"/>
      </w:r>
      <w:r w:rsidRPr="006E60EA">
        <w:t xml:space="preserve">Their warning is prescient in Kenya, where constitutional progressivism coexists with continued Penal Code criminalization of abortion. Yamin, in her monograph Power, Suffering, and the Struggle for Dignity, extends this </w:t>
      </w:r>
      <w:r w:rsidRPr="006E60EA">
        <w:lastRenderedPageBreak/>
        <w:t>skepticism empirically, demonstrating that litigation victories frequently fail to translate into durable improvements in healthcare access.</w:t>
      </w:r>
      <w:r w:rsidRPr="006E60EA">
        <w:rPr>
          <w:rStyle w:val="FootnoteReference"/>
        </w:rPr>
        <w:footnoteReference w:id="22"/>
      </w:r>
      <w:r w:rsidRPr="006E60EA">
        <w:t>This stands in tension with Yamin and Gloppen’s edited volume Litigating Health Rights, which argues that litigation can produce systemic change when courts engage meaningfully with State obligations.</w:t>
      </w:r>
      <w:r w:rsidRPr="006E60EA">
        <w:rPr>
          <w:rStyle w:val="FootnoteReference"/>
        </w:rPr>
        <w:footnoteReference w:id="23"/>
      </w:r>
      <w:r w:rsidRPr="006E60EA">
        <w:t>Both positions are relevant to Kenya: the cases represent significant victories, but PAK’s arrest in 2019</w:t>
      </w:r>
      <w:r w:rsidR="00245A86">
        <w:t xml:space="preserve">, </w:t>
      </w:r>
      <w:r w:rsidRPr="006E60EA">
        <w:t xml:space="preserve">one year after JMM </w:t>
      </w:r>
      <w:r w:rsidR="00245A86">
        <w:t>,</w:t>
      </w:r>
      <w:r w:rsidRPr="006E60EA">
        <w:t>confirms that judicial victories without institutional follow-through are insufficient.</w:t>
      </w:r>
    </w:p>
    <w:p w14:paraId="509BBC4C" w14:textId="77777777" w:rsidR="006E60EA" w:rsidRPr="006E60EA" w:rsidRDefault="006E60EA" w:rsidP="006E60EA">
      <w:pPr>
        <w:spacing w:line="360" w:lineRule="auto"/>
        <w:rPr>
          <w:b/>
        </w:rPr>
      </w:pPr>
      <w:r w:rsidRPr="006E60EA">
        <w:rPr>
          <w:b/>
        </w:rPr>
        <w:t>The Kenyan Constitutional Framework</w:t>
      </w:r>
    </w:p>
    <w:p w14:paraId="7C403E83" w14:textId="77777777" w:rsidR="00245A86" w:rsidRDefault="006E60EA" w:rsidP="006E60EA">
      <w:pPr>
        <w:spacing w:after="220" w:line="360" w:lineRule="auto"/>
      </w:pPr>
      <w:r w:rsidRPr="006E60EA">
        <w:t>Kameri-Mbote and Akello, in their article “Reproductive Rights under Kenya’s New Constitutional Framework,” observe that Article 43(1)(a) places Kenya at the forefront of constitutionalizing health rights in Africa, and that Article 22’s broad locus standi provisions create a strong platform for public interest litigation.</w:t>
      </w:r>
      <w:r w:rsidRPr="006E60EA">
        <w:rPr>
          <w:rStyle w:val="FootnoteReference"/>
        </w:rPr>
        <w:footnoteReference w:id="24"/>
      </w:r>
      <w:r w:rsidRPr="006E60EA">
        <w:t>Muigua, in his article “Abortion Law, Policy and Practice in Kenya,” reads Article 26(4) more cautiously, arguing that its unresolved relationship with the Penal Code creates legal uncertainty functioning as an effective prohibition.</w:t>
      </w:r>
      <w:r w:rsidRPr="006E60EA">
        <w:rPr>
          <w:rStyle w:val="FootnoteReference"/>
        </w:rPr>
        <w:footnoteReference w:id="25"/>
      </w:r>
    </w:p>
    <w:p w14:paraId="01939404" w14:textId="06B22BA0" w:rsidR="006E60EA" w:rsidRPr="006E60EA" w:rsidRDefault="006E60EA" w:rsidP="006E60EA">
      <w:pPr>
        <w:spacing w:after="220" w:line="360" w:lineRule="auto"/>
      </w:pPr>
      <w:r w:rsidRPr="006E60EA">
        <w:t>Kameri-Mbote and Akello emphasize constitutional potential; Muigua documents the gap between text and practice. Osur et al., in their article “How Unsafe Abortion Is Practiced among Vulnerable Groups in Kenya,” provide the empirical foundation for Muigua’s concern, finding that most providers refused to perform abortions even in constitutionally permitted circumstances, citing fear of prosecution and absence of guidelines.</w:t>
      </w:r>
      <w:r w:rsidRPr="006E60EA">
        <w:rPr>
          <w:rStyle w:val="FootnoteReference"/>
        </w:rPr>
        <w:footnoteReference w:id="26"/>
      </w:r>
      <w:r w:rsidRPr="006E60EA">
        <w:t>Gitahi-Kamau, in her article on the Reproductive Healthcare Bill, adds that the Bill’s continued failure reflects deliberate political obstruction, not legislative inadvertence.</w:t>
      </w:r>
      <w:r w:rsidRPr="006E60EA">
        <w:rPr>
          <w:rStyle w:val="FootnoteReference"/>
        </w:rPr>
        <w:footnoteReference w:id="27"/>
      </w:r>
    </w:p>
    <w:p w14:paraId="0A0EA07F" w14:textId="77777777" w:rsidR="00245A86" w:rsidRDefault="00245A86" w:rsidP="006E60EA">
      <w:pPr>
        <w:spacing w:line="360" w:lineRule="auto"/>
        <w:rPr>
          <w:b/>
        </w:rPr>
      </w:pPr>
    </w:p>
    <w:p w14:paraId="15A22038" w14:textId="47AB19EE" w:rsidR="006E60EA" w:rsidRPr="006E60EA" w:rsidRDefault="006E60EA" w:rsidP="006E60EA">
      <w:pPr>
        <w:spacing w:line="360" w:lineRule="auto"/>
        <w:rPr>
          <w:b/>
        </w:rPr>
      </w:pPr>
      <w:r w:rsidRPr="006E60EA">
        <w:rPr>
          <w:b/>
        </w:rPr>
        <w:lastRenderedPageBreak/>
        <w:t>International and Regional Frameworks</w:t>
      </w:r>
    </w:p>
    <w:p w14:paraId="3E5378D6" w14:textId="77777777" w:rsidR="00245A86" w:rsidRDefault="006E60EA" w:rsidP="006E60EA">
      <w:pPr>
        <w:spacing w:after="220" w:line="360" w:lineRule="auto"/>
      </w:pPr>
      <w:r w:rsidRPr="006E60EA">
        <w:t>Toebes, in The Right to Health as a Human Right in International Law, argues that Article 12 of the ICESCR imposes both immediate and progressive obligations, and that resource scarcity cannot excuse failures of immediate effect including the duty of non-discrimination.</w:t>
      </w:r>
      <w:r w:rsidRPr="006E60EA">
        <w:rPr>
          <w:rStyle w:val="FootnoteReference"/>
        </w:rPr>
        <w:footnoteReference w:id="28"/>
      </w:r>
      <w:r w:rsidRPr="006E60EA">
        <w:t>Banda, in Women, Law and Human Rights: An African Perspective, argues that CEDAW’s most significant contribution is the conceptual linkage between reproductive health and structural gender inequality, shifting the lens from service availability to equitable access.</w:t>
      </w:r>
      <w:r w:rsidRPr="006E60EA">
        <w:rPr>
          <w:rStyle w:val="FootnoteReference"/>
        </w:rPr>
        <w:footnoteReference w:id="29"/>
      </w:r>
      <w:r w:rsidRPr="006E60EA">
        <w:t xml:space="preserve">Both Toebes and Banda agree that compliance must be assessed by outcomes, not ratification. </w:t>
      </w:r>
    </w:p>
    <w:p w14:paraId="07BAB1C1" w14:textId="18867C02" w:rsidR="006E60EA" w:rsidRPr="006E60EA" w:rsidRDefault="006E60EA" w:rsidP="006E60EA">
      <w:pPr>
        <w:spacing w:after="220" w:line="360" w:lineRule="auto"/>
      </w:pPr>
      <w:r w:rsidRPr="006E60EA">
        <w:t>Viljoen, in International Human Rights Law in Africa, describes the Maputo Protocol as addressing African women’s realities with unusual directness, but notes that inconsistent domestication has limited its practical force.</w:t>
      </w:r>
      <w:r w:rsidRPr="006E60EA">
        <w:rPr>
          <w:rStyle w:val="FootnoteReference"/>
        </w:rPr>
        <w:footnoteReference w:id="30"/>
      </w:r>
      <w:r w:rsidRPr="006E60EA">
        <w:t xml:space="preserve">Murray, in The African Commission on Human and Peoples’ Rights and International Law, is more </w:t>
      </w:r>
      <w:r w:rsidR="00F606B9" w:rsidRPr="006E60EA">
        <w:t>skeptical</w:t>
      </w:r>
      <w:r w:rsidRPr="006E60EA">
        <w:t>, arguing that the African human rights system lacks enforcement machinery without State cooperation.</w:t>
      </w:r>
      <w:r w:rsidRPr="006E60EA">
        <w:rPr>
          <w:rStyle w:val="FootnoteReference"/>
        </w:rPr>
        <w:footnoteReference w:id="31"/>
      </w:r>
      <w:r w:rsidRPr="006E60EA">
        <w:t>Viljoen and Murray disagree on the Protocol’s enforcement capacity; Kenya’s experience</w:t>
      </w:r>
      <w:r w:rsidR="00245A86">
        <w:t xml:space="preserve">, </w:t>
      </w:r>
      <w:r w:rsidRPr="006E60EA">
        <w:t>ratification without implementing legislation</w:t>
      </w:r>
      <w:r w:rsidR="00245A86">
        <w:t xml:space="preserve">, </w:t>
      </w:r>
      <w:r w:rsidRPr="006E60EA">
        <w:t>confirms Murray’s concern while vindicating Viljoen’s point that domestic courts can nonetheless give the Protocol practical force.</w:t>
      </w:r>
    </w:p>
    <w:p w14:paraId="2041FAF1" w14:textId="77777777" w:rsidR="006E60EA" w:rsidRPr="006E60EA" w:rsidRDefault="006E60EA" w:rsidP="006E60EA">
      <w:pPr>
        <w:spacing w:line="360" w:lineRule="auto"/>
        <w:rPr>
          <w:b/>
        </w:rPr>
      </w:pPr>
      <w:r w:rsidRPr="006E60EA">
        <w:rPr>
          <w:b/>
        </w:rPr>
        <w:t>Barriers to Access and Identified Research Gaps</w:t>
      </w:r>
    </w:p>
    <w:p w14:paraId="1E44A5C4" w14:textId="77777777" w:rsidR="006E60EA" w:rsidRPr="006E60EA" w:rsidRDefault="006E60EA" w:rsidP="006E60EA">
      <w:pPr>
        <w:spacing w:after="220" w:line="360" w:lineRule="auto"/>
      </w:pPr>
      <w:r w:rsidRPr="006E60EA">
        <w:t>Kamau, in her article “Social and Cultural Factors Affecting Reproductive Health in Kenya,” documents how norms around fertility, gender roles, and sexuality deter individuals from seeking care and shape provider attitudes.</w:t>
      </w:r>
      <w:r w:rsidRPr="006E60EA">
        <w:rPr>
          <w:rStyle w:val="FootnoteReference"/>
        </w:rPr>
        <w:footnoteReference w:id="32"/>
      </w:r>
      <w:r w:rsidRPr="006E60EA">
        <w:t>Chandra-Mouli et al., in “Contraception for Adolescents in Low and Middle Income Countries,” found that provider judgmentalism toward adolescents is an independent barrier that legal reform alone cannot address.</w:t>
      </w:r>
      <w:r w:rsidRPr="006E60EA">
        <w:rPr>
          <w:rStyle w:val="FootnoteReference"/>
        </w:rPr>
        <w:footnoteReference w:id="33"/>
      </w:r>
      <w:r w:rsidRPr="006E60EA">
        <w:t xml:space="preserve">Both scholars agree that cultural barriers operate simultaneously in communities and within healthcare institutions. Zampas and Gher, in “Abortion as a Human Right: International and Regional </w:t>
      </w:r>
      <w:r w:rsidRPr="006E60EA">
        <w:lastRenderedPageBreak/>
        <w:t>Standards,” document how provider refusal renders legal rights inaccessible,</w:t>
      </w:r>
      <w:r w:rsidRPr="006E60EA">
        <w:rPr>
          <w:rStyle w:val="FootnoteReference"/>
        </w:rPr>
        <w:footnoteReference w:id="34"/>
      </w:r>
      <w:r w:rsidRPr="006E60EA">
        <w:t>while Murungi and Galati, in “Is the Right to Health Justiciable?,” argue that legal recognition without enforcement mechanisms and political commitment is inadequate.</w:t>
      </w:r>
      <w:r w:rsidRPr="006E60EA">
        <w:rPr>
          <w:rStyle w:val="FootnoteReference"/>
        </w:rPr>
        <w:footnoteReference w:id="35"/>
      </w:r>
      <w:r w:rsidRPr="006E60EA">
        <w:t>These scholars are broadly convergent: the implementation gap is structural, multi-dimensional, and resistant to legal reform alone.</w:t>
      </w:r>
    </w:p>
    <w:p w14:paraId="4A98007E" w14:textId="77777777" w:rsidR="006E60EA" w:rsidRPr="006E60EA" w:rsidRDefault="006E60EA" w:rsidP="00F606B9">
      <w:pPr>
        <w:spacing w:after="220" w:line="360" w:lineRule="auto"/>
        <w:rPr>
          <w:rStyle w:val="Strong"/>
          <w:b w:val="0"/>
          <w:bCs w:val="0"/>
        </w:rPr>
      </w:pPr>
      <w:r w:rsidRPr="006E60EA">
        <w:t xml:space="preserve">Notwithstanding this scholarship, four gaps remain. No prior work offers a comprehensive integrated legal analysis combining constitutional text, all three landmark cases including PAK and the Court of Appeal proceedings of 27 March 2026, comparative international jurisprudence, and a cohesive reform agenda. No scholarship has engaged with the first appellate-level reproductive health ruling in Kenyan history. The specific compounded vulnerabilities of intersecting </w:t>
      </w:r>
      <w:r w:rsidR="00F606B9" w:rsidRPr="006E60EA">
        <w:t>marginalized</w:t>
      </w:r>
      <w:r w:rsidRPr="006E60EA">
        <w:t xml:space="preserve"> groups remain under-</w:t>
      </w:r>
      <w:r w:rsidR="00F606B9" w:rsidRPr="006E60EA">
        <w:t>theorized</w:t>
      </w:r>
      <w:r w:rsidRPr="006E60EA">
        <w:t>. And no prior work proposes a comprehensive legally grounded reform agenda addressing all four categories of barrier simultaneously. This study fills all four gaps.</w:t>
      </w:r>
    </w:p>
    <w:p w14:paraId="4457D161" w14:textId="77777777" w:rsidR="006E60EA" w:rsidRPr="00F606B9" w:rsidRDefault="006E60EA" w:rsidP="00F606B9">
      <w:pPr>
        <w:pStyle w:val="Heading2"/>
      </w:pPr>
      <w:bookmarkStart w:id="18" w:name="_Toc231382978"/>
      <w:r w:rsidRPr="00F606B9">
        <w:rPr>
          <w:rStyle w:val="Strong"/>
          <w:b/>
          <w:bCs/>
        </w:rPr>
        <w:t>Theoretical Framework</w:t>
      </w:r>
      <w:bookmarkEnd w:id="16"/>
      <w:bookmarkEnd w:id="18"/>
    </w:p>
    <w:p w14:paraId="78085219" w14:textId="77777777" w:rsidR="006E60EA" w:rsidRPr="006E60EA" w:rsidRDefault="006E60EA" w:rsidP="006E60EA">
      <w:pPr>
        <w:spacing w:line="360" w:lineRule="auto"/>
      </w:pPr>
      <w:r w:rsidRPr="006E60EA">
        <w:t>This study is grounded on two key theoretical frameworks: the Human Rights-Based Approach (HRBA) to Health and the Social Determinants of Health (SDH) Theory. Together, they provide a comprehensive foundation for analyzing reproductive health rights within the broader framework of the right to health. The frameworks complement each other by combining the legal obligations of the State with an understanding of social, cultural, and economic barriers that shape access to reproductive healthcare.</w:t>
      </w:r>
    </w:p>
    <w:p w14:paraId="72427D71" w14:textId="77777777" w:rsidR="006E60EA" w:rsidRPr="006E60EA" w:rsidRDefault="006E60EA" w:rsidP="006E60EA">
      <w:pPr>
        <w:spacing w:line="360" w:lineRule="auto"/>
      </w:pPr>
      <w:r w:rsidRPr="006E60EA">
        <w:rPr>
          <w:rStyle w:val="Strong"/>
        </w:rPr>
        <w:t>Human Rights-Based Approach (HRBA) to Health</w:t>
      </w:r>
    </w:p>
    <w:p w14:paraId="7BD35BB2" w14:textId="77777777" w:rsidR="006E60EA" w:rsidRPr="006E60EA" w:rsidRDefault="006E60EA" w:rsidP="006E60EA">
      <w:pPr>
        <w:spacing w:line="360" w:lineRule="auto"/>
      </w:pPr>
      <w:r w:rsidRPr="006E60EA">
        <w:t>The Human Rights-Based Approach (HRBA) views access to reproductive health services not merely as a social or medical issue but as a fundamental human right. This framework draws on international, regional, and domestic legal instruments that establish reproductive health as an inseparable component of the right to health.</w:t>
      </w:r>
    </w:p>
    <w:p w14:paraId="7671C168" w14:textId="77777777" w:rsidR="006E60EA" w:rsidRPr="006E60EA" w:rsidRDefault="006E60EA" w:rsidP="006E60EA">
      <w:pPr>
        <w:pStyle w:val="NormalWeb"/>
        <w:spacing w:line="360" w:lineRule="auto"/>
      </w:pPr>
      <w:r w:rsidRPr="006E60EA">
        <w:lastRenderedPageBreak/>
        <w:t>Key instruments include:</w:t>
      </w:r>
    </w:p>
    <w:p w14:paraId="0515BBD4" w14:textId="77777777" w:rsidR="006E60EA" w:rsidRPr="006E60EA" w:rsidRDefault="006E60EA" w:rsidP="006E60EA">
      <w:pPr>
        <w:pStyle w:val="ListParagraph"/>
        <w:numPr>
          <w:ilvl w:val="0"/>
          <w:numId w:val="9"/>
        </w:numPr>
        <w:spacing w:after="160" w:line="360" w:lineRule="auto"/>
        <w:contextualSpacing/>
        <w:jc w:val="both"/>
      </w:pPr>
      <w:r w:rsidRPr="006E60EA">
        <w:t>The Universal Declaration of Human Rights (UDHR, 1948) – Article 25 recognizes everyone’s right to a standard of living adequate for their health and well-being, explicitly encompassing medical care and related social services.</w:t>
      </w:r>
      <w:r w:rsidRPr="006E60EA">
        <w:rPr>
          <w:rStyle w:val="FootnoteReference"/>
        </w:rPr>
        <w:footnoteReference w:id="36"/>
      </w:r>
    </w:p>
    <w:p w14:paraId="2DD37009" w14:textId="77777777" w:rsidR="006E60EA" w:rsidRPr="006E60EA" w:rsidRDefault="006E60EA" w:rsidP="006E60EA">
      <w:pPr>
        <w:pStyle w:val="ListParagraph"/>
        <w:numPr>
          <w:ilvl w:val="0"/>
          <w:numId w:val="9"/>
        </w:numPr>
        <w:spacing w:after="160" w:line="360" w:lineRule="auto"/>
        <w:contextualSpacing/>
        <w:jc w:val="both"/>
      </w:pPr>
      <w:r w:rsidRPr="006E60EA">
        <w:t>The International Covenant on Economic, Social and Cultural Rights (ICESCR, 1966) – Article 12 guarantees “the right to the highest attainable standard of physical and mental health” and obliges States to take steps to improve maternal and child health services.</w:t>
      </w:r>
      <w:r w:rsidRPr="006E60EA">
        <w:rPr>
          <w:rStyle w:val="FootnoteReference"/>
        </w:rPr>
        <w:footnoteReference w:id="37"/>
      </w:r>
    </w:p>
    <w:p w14:paraId="237DCFB4" w14:textId="77777777" w:rsidR="006E60EA" w:rsidRPr="006E60EA" w:rsidRDefault="006E60EA" w:rsidP="006E60EA">
      <w:pPr>
        <w:pStyle w:val="ListParagraph"/>
        <w:numPr>
          <w:ilvl w:val="0"/>
          <w:numId w:val="9"/>
        </w:numPr>
        <w:spacing w:after="160" w:line="360" w:lineRule="auto"/>
        <w:contextualSpacing/>
        <w:jc w:val="both"/>
      </w:pPr>
      <w:r w:rsidRPr="006E60EA">
        <w:t>The African Charter on Human and Peoples’ Rights (1981) – Article 16 affirms the right to enjoy the best attainable state of physical and mental health and places a duty on African States to protect, promote, and fulfil this right.</w:t>
      </w:r>
      <w:r w:rsidRPr="006E60EA">
        <w:rPr>
          <w:rStyle w:val="FootnoteReference"/>
        </w:rPr>
        <w:footnoteReference w:id="38"/>
      </w:r>
    </w:p>
    <w:p w14:paraId="2C95FC57" w14:textId="77777777" w:rsidR="006E60EA" w:rsidRPr="006E60EA" w:rsidRDefault="006E60EA" w:rsidP="006E60EA">
      <w:pPr>
        <w:pStyle w:val="ListParagraph"/>
        <w:numPr>
          <w:ilvl w:val="0"/>
          <w:numId w:val="9"/>
        </w:numPr>
        <w:spacing w:after="160" w:line="360" w:lineRule="auto"/>
        <w:contextualSpacing/>
        <w:jc w:val="both"/>
      </w:pPr>
      <w:r w:rsidRPr="006E60EA">
        <w:t>The Maputo Protocol on the Rights of Women in Africa (2003) – Article 14 explicitly guarantees women the right to control their reproductive health and obligates States to ensure safe abortion where permitted by law, access to contraceptives, and maternal health services.</w:t>
      </w:r>
      <w:r w:rsidRPr="006E60EA">
        <w:rPr>
          <w:rStyle w:val="FootnoteReference"/>
        </w:rPr>
        <w:footnoteReference w:id="39"/>
      </w:r>
    </w:p>
    <w:p w14:paraId="10FE682E" w14:textId="77777777" w:rsidR="006E60EA" w:rsidRPr="006E60EA" w:rsidRDefault="006E60EA" w:rsidP="006E60EA">
      <w:pPr>
        <w:spacing w:line="360" w:lineRule="auto"/>
      </w:pPr>
      <w:r w:rsidRPr="006E60EA">
        <w:t>Applying HRBA in this study ensures that reproductive health is approached as a legally enforceable entitlement rather than a privilege or policy aspiration. The approach underscores two critical aspects:</w:t>
      </w:r>
    </w:p>
    <w:p w14:paraId="0AEF66A2" w14:textId="614A6D24" w:rsidR="006E60EA" w:rsidRPr="006E60EA" w:rsidRDefault="006E60EA" w:rsidP="006E60EA">
      <w:pPr>
        <w:pStyle w:val="ListParagraph"/>
        <w:numPr>
          <w:ilvl w:val="0"/>
          <w:numId w:val="10"/>
        </w:numPr>
        <w:spacing w:after="160" w:line="360" w:lineRule="auto"/>
        <w:contextualSpacing/>
        <w:jc w:val="both"/>
      </w:pPr>
      <w:r w:rsidRPr="006E60EA">
        <w:t>State Obligations: The State carries three duties</w:t>
      </w:r>
      <w:r w:rsidR="00245A86">
        <w:t xml:space="preserve">; </w:t>
      </w:r>
      <w:r w:rsidRPr="006E60EA">
        <w:t>to respect, protect, and fulfil reproductive health rights. This means avoiding unnecessary restrictions, safeguarding individuals from third-party violations (such as healthcare discrimination), and taking active steps to ensure accessible, affordable, and quality services.</w:t>
      </w:r>
      <w:r w:rsidRPr="006E60EA">
        <w:rPr>
          <w:rStyle w:val="FootnoteReference"/>
        </w:rPr>
        <w:footnoteReference w:id="40"/>
      </w:r>
    </w:p>
    <w:p w14:paraId="1D4117FD" w14:textId="77777777" w:rsidR="006E60EA" w:rsidRPr="006E60EA" w:rsidRDefault="006E60EA" w:rsidP="006E60EA">
      <w:pPr>
        <w:pStyle w:val="ListParagraph"/>
        <w:numPr>
          <w:ilvl w:val="0"/>
          <w:numId w:val="10"/>
        </w:numPr>
        <w:spacing w:after="160" w:line="360" w:lineRule="auto"/>
        <w:contextualSpacing/>
        <w:jc w:val="both"/>
      </w:pPr>
      <w:r w:rsidRPr="006E60EA">
        <w:t xml:space="preserve">Equality and Non-Discrimination: HRBA highlights that access to reproductive healthcare must be provided without discrimination based on gender, age, location, or </w:t>
      </w:r>
      <w:r w:rsidRPr="006E60EA">
        <w:lastRenderedPageBreak/>
        <w:t>socio-economic status, in line with Article 27 of the Constitution of Kenya (2010), which guarantees equality and freedom from discrimination.</w:t>
      </w:r>
    </w:p>
    <w:p w14:paraId="65421528" w14:textId="77777777" w:rsidR="006E60EA" w:rsidRPr="006E60EA" w:rsidRDefault="006E60EA" w:rsidP="006E60EA">
      <w:pPr>
        <w:spacing w:line="360" w:lineRule="auto"/>
      </w:pPr>
      <w:r w:rsidRPr="006E60EA">
        <w:t>This framework is particularly relevant given the findings in JMM v. Attorney General &amp; Others [2018] and FIDA-Kenya &amp; Centre for Reproductive Rights (CRR) v Attorney General &amp; Others [2019], where the judiciary reaffirmed that reproductive health is a justiciable right under Article 43(1)(a) of the Constitution. Both cases illustrate that Kenya’s obligations under international and domestic law converge to create a positive duty on the government to ensure guidelines, training, and facilities that protect reproductive health rights.</w:t>
      </w:r>
      <w:r w:rsidRPr="006E60EA">
        <w:rPr>
          <w:rStyle w:val="FootnoteReference"/>
        </w:rPr>
        <w:footnoteReference w:id="41"/>
      </w:r>
    </w:p>
    <w:p w14:paraId="33328DFA" w14:textId="77777777" w:rsidR="006E60EA" w:rsidRPr="006E60EA" w:rsidRDefault="006E60EA" w:rsidP="006E60EA">
      <w:pPr>
        <w:spacing w:line="360" w:lineRule="auto"/>
      </w:pPr>
      <w:r w:rsidRPr="006E60EA">
        <w:rPr>
          <w:rStyle w:val="Strong"/>
        </w:rPr>
        <w:t>Social Determinants of Health (SDH) Theory</w:t>
      </w:r>
    </w:p>
    <w:p w14:paraId="357D7F9F" w14:textId="77777777" w:rsidR="006E60EA" w:rsidRPr="006E60EA" w:rsidRDefault="006E60EA" w:rsidP="006E60EA">
      <w:pPr>
        <w:spacing w:line="360" w:lineRule="auto"/>
      </w:pPr>
      <w:r w:rsidRPr="006E60EA">
        <w:t>The Social Determinants of Health (SDH) Theory, developed by the World Health Organization (WHO), provides an explanatory lens for understanding why disparities in reproductive health persist despite the existence of legal protections. It argues that health outcomes, including access to reproductive healthcare, are not solely determined by medical services but are deeply influenced by broader socio-economic, cultural, and political factors.</w:t>
      </w:r>
      <w:r w:rsidRPr="006E60EA">
        <w:rPr>
          <w:rStyle w:val="FootnoteReference"/>
        </w:rPr>
        <w:footnoteReference w:id="42"/>
      </w:r>
    </w:p>
    <w:p w14:paraId="2A95BB66" w14:textId="77777777" w:rsidR="006E60EA" w:rsidRPr="006E60EA" w:rsidRDefault="006E60EA" w:rsidP="006E60EA">
      <w:pPr>
        <w:spacing w:line="360" w:lineRule="auto"/>
      </w:pPr>
      <w:r w:rsidRPr="006E60EA">
        <w:t>Key determinants affecting reproductive health in Kenya include:</w:t>
      </w:r>
    </w:p>
    <w:p w14:paraId="4D42FA37" w14:textId="77777777" w:rsidR="006E60EA" w:rsidRPr="006E60EA" w:rsidRDefault="006E60EA" w:rsidP="006E60EA">
      <w:pPr>
        <w:pStyle w:val="ListParagraph"/>
        <w:numPr>
          <w:ilvl w:val="0"/>
          <w:numId w:val="11"/>
        </w:numPr>
        <w:spacing w:after="160" w:line="360" w:lineRule="auto"/>
        <w:contextualSpacing/>
        <w:jc w:val="both"/>
      </w:pPr>
      <w:r w:rsidRPr="006E60EA">
        <w:t>Economic Inequality: Poverty restricts access to quality healthcare, modern contraceptives, safe abortion, and maternal care, disproportionately affecting women in rural and low-income areas.</w:t>
      </w:r>
    </w:p>
    <w:p w14:paraId="1D85F8BC" w14:textId="77777777" w:rsidR="006E60EA" w:rsidRPr="006E60EA" w:rsidRDefault="006E60EA" w:rsidP="006E60EA">
      <w:pPr>
        <w:pStyle w:val="ListParagraph"/>
        <w:numPr>
          <w:ilvl w:val="0"/>
          <w:numId w:val="11"/>
        </w:numPr>
        <w:spacing w:after="160" w:line="360" w:lineRule="auto"/>
        <w:contextualSpacing/>
        <w:jc w:val="both"/>
      </w:pPr>
      <w:r w:rsidRPr="006E60EA">
        <w:t>Cultural and Religious Norms: Conservative norms, gender roles, and stigma around sexuality discourage open discussion and utilization of reproductive health services, especially for adolescents.</w:t>
      </w:r>
    </w:p>
    <w:p w14:paraId="37A3F53A" w14:textId="77777777" w:rsidR="006E60EA" w:rsidRPr="006E60EA" w:rsidRDefault="006E60EA" w:rsidP="006E60EA">
      <w:pPr>
        <w:pStyle w:val="ListParagraph"/>
        <w:numPr>
          <w:ilvl w:val="0"/>
          <w:numId w:val="11"/>
        </w:numPr>
        <w:spacing w:after="160" w:line="360" w:lineRule="auto"/>
        <w:contextualSpacing/>
        <w:jc w:val="both"/>
      </w:pPr>
      <w:r w:rsidRPr="006E60EA">
        <w:t>Geographical Disparities: Rural and marginalized regions face a severe shortage of facilities, skilled professionals, and essential supplies, creating inequalities in service delivery.</w:t>
      </w:r>
    </w:p>
    <w:p w14:paraId="28037D00" w14:textId="77777777" w:rsidR="006E60EA" w:rsidRPr="006E60EA" w:rsidRDefault="006E60EA" w:rsidP="006E60EA">
      <w:pPr>
        <w:pStyle w:val="ListParagraph"/>
        <w:numPr>
          <w:ilvl w:val="0"/>
          <w:numId w:val="11"/>
        </w:numPr>
        <w:spacing w:after="160" w:line="360" w:lineRule="auto"/>
        <w:contextualSpacing/>
        <w:jc w:val="both"/>
      </w:pPr>
      <w:r w:rsidRPr="006E60EA">
        <w:t>Education and Awareness: Low levels of reproductive health literacy among women and adolescents limit informed decision-making, particularly in matters such as family planning and safe abortion.</w:t>
      </w:r>
    </w:p>
    <w:p w14:paraId="28DF350E" w14:textId="77777777" w:rsidR="006E60EA" w:rsidRPr="006E60EA" w:rsidRDefault="006E60EA" w:rsidP="006E60EA">
      <w:pPr>
        <w:pStyle w:val="ListParagraph"/>
        <w:numPr>
          <w:ilvl w:val="0"/>
          <w:numId w:val="11"/>
        </w:numPr>
        <w:spacing w:after="160" w:line="360" w:lineRule="auto"/>
        <w:contextualSpacing/>
        <w:jc w:val="both"/>
      </w:pPr>
      <w:r w:rsidRPr="006E60EA">
        <w:lastRenderedPageBreak/>
        <w:t>Policy and Institutional Gaps: Weak policy enforcement, inconsistent guidelines, and inadequate funding further exacerbate barriers to accessing services.</w:t>
      </w:r>
    </w:p>
    <w:p w14:paraId="16031B93" w14:textId="77777777" w:rsidR="006E60EA" w:rsidRPr="006E60EA" w:rsidRDefault="006E60EA" w:rsidP="006E60EA">
      <w:pPr>
        <w:spacing w:line="360" w:lineRule="auto"/>
      </w:pPr>
      <w:r w:rsidRPr="006E60EA">
        <w:t>By applying SDH, the study goes beyond legal compliance to highlight the structural inequities that hinder reproductive rights, particularly for marginalized groups such as adolescents, women in rural communities, and persons with disabilities. This theoretical lens complements HRBA by demonstrating that realizing reproductive health rights requires tackling the social and economic barriers that prevent individuals from exercising their entitlements.</w:t>
      </w:r>
    </w:p>
    <w:p w14:paraId="1045A6CE" w14:textId="77777777" w:rsidR="006E60EA" w:rsidRPr="006E60EA" w:rsidRDefault="006E60EA" w:rsidP="006E60EA">
      <w:pPr>
        <w:spacing w:line="360" w:lineRule="auto"/>
      </w:pPr>
      <w:r w:rsidRPr="006E60EA">
        <w:rPr>
          <w:rStyle w:val="Strong"/>
        </w:rPr>
        <w:t>Relevance of the Framework to the Study</w:t>
      </w:r>
    </w:p>
    <w:p w14:paraId="5B1CDC7D" w14:textId="77777777" w:rsidR="006E60EA" w:rsidRPr="006E60EA" w:rsidRDefault="006E60EA" w:rsidP="006E60EA">
      <w:pPr>
        <w:spacing w:line="360" w:lineRule="auto"/>
      </w:pPr>
      <w:r w:rsidRPr="006E60EA">
        <w:t>Combining HRBA and SDH strengthens the analytical foundation of this research by:</w:t>
      </w:r>
    </w:p>
    <w:p w14:paraId="7D439554" w14:textId="77777777" w:rsidR="006E60EA" w:rsidRPr="006E60EA" w:rsidRDefault="006E60EA" w:rsidP="006E60EA">
      <w:pPr>
        <w:pStyle w:val="ListParagraph"/>
        <w:numPr>
          <w:ilvl w:val="0"/>
          <w:numId w:val="12"/>
        </w:numPr>
        <w:spacing w:after="160" w:line="360" w:lineRule="auto"/>
        <w:contextualSpacing/>
        <w:jc w:val="both"/>
      </w:pPr>
      <w:r w:rsidRPr="006E60EA">
        <w:t>Linking constitutional guarantees and international obligations with real-life challenges faced by marginalized populations.</w:t>
      </w:r>
    </w:p>
    <w:p w14:paraId="24C4A344" w14:textId="77777777" w:rsidR="006E60EA" w:rsidRPr="006E60EA" w:rsidRDefault="006E60EA" w:rsidP="006E60EA">
      <w:pPr>
        <w:pStyle w:val="ListParagraph"/>
        <w:numPr>
          <w:ilvl w:val="0"/>
          <w:numId w:val="12"/>
        </w:numPr>
        <w:spacing w:after="160" w:line="360" w:lineRule="auto"/>
        <w:contextualSpacing/>
        <w:jc w:val="both"/>
      </w:pPr>
      <w:r w:rsidRPr="006E60EA">
        <w:t xml:space="preserve">Highlighting the </w:t>
      </w:r>
      <w:r w:rsidR="00F606B9">
        <w:t>interdependence between rights</w:t>
      </w:r>
      <w:r w:rsidRPr="006E60EA">
        <w:t xml:space="preserve"> reproductive health rights cannot be realized without addressing gender equality, dignity, and freedom from inhuman treatment.</w:t>
      </w:r>
    </w:p>
    <w:p w14:paraId="26B822F9" w14:textId="77777777" w:rsidR="006E60EA" w:rsidRPr="006E60EA" w:rsidRDefault="006E60EA" w:rsidP="006E60EA">
      <w:pPr>
        <w:pStyle w:val="ListParagraph"/>
        <w:numPr>
          <w:ilvl w:val="0"/>
          <w:numId w:val="12"/>
        </w:numPr>
        <w:spacing w:after="160" w:line="360" w:lineRule="auto"/>
        <w:contextualSpacing/>
        <w:jc w:val="both"/>
      </w:pPr>
      <w:r w:rsidRPr="006E60EA">
        <w:t>Providing a holistic understanding of why systemic failures persist, even after progressive court rulings such as JMM and CRR.</w:t>
      </w:r>
    </w:p>
    <w:p w14:paraId="012277F0" w14:textId="77777777" w:rsidR="006E60EA" w:rsidRPr="006E60EA" w:rsidRDefault="006E60EA" w:rsidP="006E60EA">
      <w:pPr>
        <w:spacing w:line="360" w:lineRule="auto"/>
      </w:pPr>
      <w:r w:rsidRPr="006E60EA">
        <w:t>This dual-framework approach ensures that the study addresses both the legal dimensions of reproductive health rights and the socio-economic determinants that influence access and equity.</w:t>
      </w:r>
    </w:p>
    <w:p w14:paraId="225FDE9F" w14:textId="77777777" w:rsidR="006E60EA" w:rsidRPr="006E60EA" w:rsidRDefault="006E60EA" w:rsidP="006E60EA">
      <w:pPr>
        <w:spacing w:line="360" w:lineRule="auto"/>
      </w:pPr>
    </w:p>
    <w:p w14:paraId="52EC4896" w14:textId="77777777" w:rsidR="006E60EA" w:rsidRPr="006E60EA" w:rsidRDefault="006E60EA" w:rsidP="001754A4">
      <w:pPr>
        <w:pStyle w:val="Heading2"/>
      </w:pPr>
      <w:bookmarkStart w:id="21" w:name="_Toc206519713"/>
      <w:bookmarkStart w:id="22" w:name="_Toc206605388"/>
      <w:bookmarkStart w:id="23" w:name="_Toc206662472"/>
      <w:bookmarkStart w:id="24" w:name="_Toc231382979"/>
      <w:r w:rsidRPr="006E60EA">
        <w:t>Justification of the Study</w:t>
      </w:r>
      <w:bookmarkEnd w:id="21"/>
      <w:bookmarkEnd w:id="22"/>
      <w:bookmarkEnd w:id="23"/>
      <w:bookmarkEnd w:id="24"/>
    </w:p>
    <w:p w14:paraId="4DA98B21" w14:textId="77777777" w:rsidR="006E60EA" w:rsidRPr="006E60EA" w:rsidRDefault="006E60EA" w:rsidP="006E60EA">
      <w:pPr>
        <w:spacing w:line="360" w:lineRule="auto"/>
      </w:pPr>
      <w:r w:rsidRPr="006E60EA">
        <w:t>This study is justified on several grounds, both in terms of academic relevance and practical significance.</w:t>
      </w:r>
    </w:p>
    <w:p w14:paraId="7C4B510B" w14:textId="77777777" w:rsidR="006E60EA" w:rsidRPr="006E60EA" w:rsidRDefault="006E60EA" w:rsidP="006E60EA">
      <w:pPr>
        <w:spacing w:line="360" w:lineRule="auto"/>
      </w:pPr>
      <w:r w:rsidRPr="006E60EA">
        <w:t xml:space="preserve">First, reproductive health rights occupy a central place in the Kenyan constitutional framework under Article 43(1)(a), which guarantees the right to the highest attainable standard of health, including reproductive health care. Despite this constitutional commitment, reproductive rights remain contested, under-implemented, and unevenly realized. The study is therefore essential in providing a critical legal analysis of how the judiciary interprets, enforces, and shapes </w:t>
      </w:r>
      <w:r w:rsidRPr="006E60EA">
        <w:lastRenderedPageBreak/>
        <w:t>reproductive health rights, filling an existing knowledge gap in Kenyan constitutional law scholarship.</w:t>
      </w:r>
    </w:p>
    <w:p w14:paraId="70710DF3" w14:textId="77777777" w:rsidR="006E60EA" w:rsidRPr="006E60EA" w:rsidRDefault="006E60EA" w:rsidP="006E60EA">
      <w:pPr>
        <w:spacing w:line="360" w:lineRule="auto"/>
      </w:pPr>
      <w:r w:rsidRPr="006E60EA">
        <w:t>Second, the study is justified by its practical implications for governance and public policy. Case law such as JMM v Attorney General &amp; Others and FIDA-Kenya &amp; Centre for Reproductive Rights (CRR) v Attorney General &amp; Others demonstrates that judicial intervention has been necessary to compel the State to meet its obligations. Yet, compliance remains inconsistent, and systemic gaps in health service delivery continue to harm vulnerable populations, especially women and girls in rural or marginalized communities. By analyzing these judicial decisions, the study generates insights that can inform policy reforms, administrative guidelines, and resource allocation in Kenya’s healthcare system.</w:t>
      </w:r>
    </w:p>
    <w:p w14:paraId="3C312654" w14:textId="77777777" w:rsidR="006E60EA" w:rsidRPr="006E60EA" w:rsidRDefault="006E60EA" w:rsidP="006E60EA">
      <w:pPr>
        <w:spacing w:line="360" w:lineRule="auto"/>
      </w:pPr>
      <w:r w:rsidRPr="006E60EA">
        <w:t>Third, the study contributes to the human rights discourse at both national and international levels. Kenya is a signatory to various international and regional instruments, including the Convention on the Elimination of All Forms of Discrimination against Women (CEDAW), the International Covenant on Economic, Social and Cultural Rights (ICESCR), and the Maputo Protocol. However, persistent violations of reproductive rights reveal a gap between formal ratification and practical realization. This research situates Kenyan jurisprudence within this international framework, thereby offering comparative insights and highlighting Kenya’s obligations in line with global human rights standards.</w:t>
      </w:r>
    </w:p>
    <w:p w14:paraId="44983284" w14:textId="77777777" w:rsidR="006E60EA" w:rsidRPr="006E60EA" w:rsidRDefault="006E60EA" w:rsidP="006E60EA">
      <w:pPr>
        <w:spacing w:line="360" w:lineRule="auto"/>
      </w:pPr>
      <w:r w:rsidRPr="006E60EA">
        <w:t>Finally, the study is justified by its social justice dimension. Access to reproductive health services is not merely a medical issue but also a question of equality, dignity, and non-discrimination. The cases under review show that women and girls often bear the brunt of systemic failures, leading to preventable suffering, loss of life, or violation of bodily autonomy. By foregrounding these lived realities, the study emphasizes the urgency of state accountability and transformative legal enforcement to protect marginalized groups and promote substantive equality.</w:t>
      </w:r>
    </w:p>
    <w:p w14:paraId="1DD6CF2B" w14:textId="77777777" w:rsidR="006E60EA" w:rsidRPr="006E60EA" w:rsidRDefault="006E60EA" w:rsidP="006E60EA">
      <w:pPr>
        <w:spacing w:line="360" w:lineRule="auto"/>
      </w:pPr>
      <w:r w:rsidRPr="006E60EA">
        <w:t>In sum, this study is justified because it advances scholarly debate, informs policymaking, aligns with Kenya’s international obligations, and contributes to the pursuit of justice and equality for women and vulnerable populations in the field of reproductive health.</w:t>
      </w:r>
    </w:p>
    <w:p w14:paraId="54D65699" w14:textId="77777777" w:rsidR="006E60EA" w:rsidRDefault="006E60EA" w:rsidP="006E60EA">
      <w:pPr>
        <w:pStyle w:val="Heading1"/>
        <w:spacing w:line="360" w:lineRule="auto"/>
        <w:rPr>
          <w:rFonts w:cs="Times New Roman"/>
        </w:rPr>
      </w:pPr>
    </w:p>
    <w:p w14:paraId="3DC50B57" w14:textId="77777777" w:rsidR="00F606B9" w:rsidRDefault="00F606B9" w:rsidP="00F606B9"/>
    <w:p w14:paraId="4B50E7B0" w14:textId="77777777" w:rsidR="00F606B9" w:rsidRDefault="00F606B9" w:rsidP="00F606B9"/>
    <w:p w14:paraId="79D53808" w14:textId="77777777" w:rsidR="00F606B9" w:rsidRPr="00F606B9" w:rsidRDefault="00F606B9" w:rsidP="00F606B9"/>
    <w:p w14:paraId="03D376BB" w14:textId="77777777" w:rsidR="006E60EA" w:rsidRPr="006E60EA" w:rsidRDefault="006E60EA" w:rsidP="001754A4">
      <w:pPr>
        <w:pStyle w:val="Heading2"/>
      </w:pPr>
      <w:bookmarkStart w:id="25" w:name="_Toc206519714"/>
      <w:bookmarkStart w:id="26" w:name="_Toc206605389"/>
      <w:bookmarkStart w:id="27" w:name="_Toc206662473"/>
      <w:bookmarkStart w:id="28" w:name="_Toc231382980"/>
      <w:r w:rsidRPr="006E60EA">
        <w:t>Research Methodology</w:t>
      </w:r>
      <w:bookmarkEnd w:id="25"/>
      <w:bookmarkEnd w:id="26"/>
      <w:bookmarkEnd w:id="27"/>
      <w:bookmarkEnd w:id="28"/>
      <w:r w:rsidRPr="006E60EA">
        <w:t xml:space="preserve"> </w:t>
      </w:r>
    </w:p>
    <w:p w14:paraId="627EA618" w14:textId="77777777" w:rsidR="006E60EA" w:rsidRPr="006E60EA" w:rsidRDefault="006E60EA" w:rsidP="006E60EA">
      <w:pPr>
        <w:spacing w:after="220" w:line="360" w:lineRule="auto"/>
      </w:pPr>
      <w:bookmarkStart w:id="29" w:name="_Toc206519725"/>
      <w:bookmarkStart w:id="30" w:name="_Toc206605400"/>
      <w:bookmarkStart w:id="31" w:name="_Toc206662475"/>
      <w:r w:rsidRPr="006E60EA">
        <w:t>This study employs a qualitative legal research methodology combining doctrinal analysis with a socio-legal dimension. This study does not involve field re</w:t>
      </w:r>
      <w:r w:rsidR="00F606B9">
        <w:t>search. The research questions</w:t>
      </w:r>
      <w:r w:rsidRPr="006E60EA">
        <w:t xml:space="preserve"> what does the law require, how have courts interpreted it, why has it failed, and w</w:t>
      </w:r>
      <w:r w:rsidR="00F606B9">
        <w:t>hat reforms are necessary</w:t>
      </w:r>
      <w:r w:rsidRPr="006E60EA">
        <w:t xml:space="preserve"> are fundamentally legal and doctrinal, requiring analysis of constitutional text, statutory instruments, judicial reasoning, and international obligations rather than direct collection of data from human participants.</w:t>
      </w:r>
    </w:p>
    <w:p w14:paraId="2FB6CF78" w14:textId="77777777" w:rsidR="006E60EA" w:rsidRPr="006E60EA" w:rsidRDefault="006E60EA" w:rsidP="006E60EA">
      <w:pPr>
        <w:spacing w:after="220" w:line="360" w:lineRule="auto"/>
      </w:pPr>
      <w:r w:rsidRPr="006E60EA">
        <w:t>The doctrinal component entails systematic analysis and critical interpretation of primary legal materials: constitutional provisions, statutes, policy documents, judicial decisions, and international instruments and their interpretive outputs. The socio-legal dimension situates this within the broader social, economic, and cultural context, drawing on the SDH theoretical framework to explain why formal legal guarantees have not translated into equitable access. Primary sources include the Constitution of Kenya, 2010; the Health Act, 2017; the Penal Code; the ICESCR and CESCR General Comments Nos. 14 and 22; CEDAW and General Recommendation No. 24; the African Charter; the Maputo Protocol; JMM [2018] eKLR; FIDA-Kenya &amp; CRR [2019] eKLR; PAK [2022] eKLR; and AG v PAK (Court of Appeal, 27 March 2026). Comparative decisions include L.C. v Peru, K.L. v Peru, and Alyne da Silva Pimentel v Brazil. Secondary sources include peer-reviewed scholarship, the KDHS 2022, APHRC publications, and civil society reports. The study employs thematic and comparative analysis. The temporal scope spans 2010 to March 2026.</w:t>
      </w:r>
    </w:p>
    <w:p w14:paraId="134205E3" w14:textId="77777777" w:rsidR="006E60EA" w:rsidRPr="006E60EA" w:rsidRDefault="006E60EA" w:rsidP="006E60EA">
      <w:pPr>
        <w:spacing w:after="220" w:line="360" w:lineRule="auto"/>
      </w:pPr>
    </w:p>
    <w:p w14:paraId="66E8A064" w14:textId="77777777" w:rsidR="006E60EA" w:rsidRPr="001754A4" w:rsidRDefault="006E60EA" w:rsidP="001754A4">
      <w:pPr>
        <w:pStyle w:val="Heading2"/>
        <w:rPr>
          <w:b w:val="0"/>
        </w:rPr>
      </w:pPr>
      <w:bookmarkStart w:id="32" w:name="_Toc231382981"/>
      <w:r w:rsidRPr="001754A4">
        <w:rPr>
          <w:rStyle w:val="Strong"/>
          <w:b/>
        </w:rPr>
        <w:t>Chapter Breakdown</w:t>
      </w:r>
      <w:bookmarkEnd w:id="29"/>
      <w:bookmarkEnd w:id="30"/>
      <w:bookmarkEnd w:id="31"/>
      <w:bookmarkEnd w:id="32"/>
    </w:p>
    <w:p w14:paraId="055E0EBF" w14:textId="77777777" w:rsidR="006E60EA" w:rsidRPr="006E60EA" w:rsidRDefault="006E60EA" w:rsidP="006E60EA">
      <w:pPr>
        <w:spacing w:line="360" w:lineRule="auto"/>
        <w:rPr>
          <w:sz w:val="27"/>
        </w:rPr>
      </w:pPr>
      <w:r w:rsidRPr="006E60EA">
        <w:rPr>
          <w:rStyle w:val="Strong"/>
        </w:rPr>
        <w:t>Chapter One: Introduction</w:t>
      </w:r>
    </w:p>
    <w:p w14:paraId="046876E1" w14:textId="2555DD44" w:rsidR="006E60EA" w:rsidRPr="006E60EA" w:rsidRDefault="006E60EA" w:rsidP="006E60EA">
      <w:pPr>
        <w:spacing w:line="360" w:lineRule="auto"/>
      </w:pPr>
      <w:r w:rsidRPr="006E60EA">
        <w:t>This chapter lays the foundation for the study by introducing the central theme</w:t>
      </w:r>
      <w:r w:rsidR="0080117A">
        <w:t xml:space="preserve">, </w:t>
      </w:r>
      <w:r w:rsidRPr="006E60EA">
        <w:t xml:space="preserve">the recognition, protection, and realization of reproductive health rights as part of the broader right to health in Kenya. It begins by contextualizing the issue within Kenya’s legal, social, and policy frameworks, highlighting the persistent gaps in access to reproductive healthcare despite </w:t>
      </w:r>
      <w:r w:rsidRPr="006E60EA">
        <w:lastRenderedPageBreak/>
        <w:t>constitutional</w:t>
      </w:r>
      <w:r w:rsidR="0080117A">
        <w:t xml:space="preserve"> guarantees</w:t>
      </w:r>
      <w:r w:rsidRPr="006E60EA">
        <w:t>.</w:t>
      </w:r>
      <w:r w:rsidR="003758BF">
        <w:t xml:space="preserve"> </w:t>
      </w:r>
      <w:r w:rsidRPr="006E60EA">
        <w:t>It presents the problem statement, emphasizing the challenges posed by systemic barriers, restrictive policies, and limited State accountability. The chapter also sets out the research objectives, questions, and significance of the study, demonstrating its contribution to constitutional law, human rights discourse, and health policy reform.</w:t>
      </w:r>
    </w:p>
    <w:p w14:paraId="457A62D7" w14:textId="77777777" w:rsidR="0080117A" w:rsidRDefault="006E60EA" w:rsidP="006E60EA">
      <w:pPr>
        <w:spacing w:line="360" w:lineRule="auto"/>
        <w:rPr>
          <w:b/>
          <w:bCs/>
        </w:rPr>
      </w:pPr>
      <w:r w:rsidRPr="006E60EA">
        <w:rPr>
          <w:rStyle w:val="Strong"/>
        </w:rPr>
        <w:t xml:space="preserve">Chapter Two: </w:t>
      </w:r>
      <w:r w:rsidR="0080117A">
        <w:rPr>
          <w:b/>
          <w:bCs/>
        </w:rPr>
        <w:t>Legal, Historical and Conceptual Frameworks of Reproductive Health Rights.</w:t>
      </w:r>
    </w:p>
    <w:p w14:paraId="3A6A0E2A" w14:textId="62BF4F88" w:rsidR="003758BF" w:rsidRDefault="0080117A" w:rsidP="003758BF">
      <w:pPr>
        <w:spacing w:after="200" w:line="340" w:lineRule="auto"/>
      </w:pPr>
      <w:r>
        <w:rPr>
          <w:b/>
          <w:bCs/>
        </w:rPr>
        <w:t xml:space="preserve"> </w:t>
      </w:r>
      <w:r>
        <w:t>This chapter answers the</w:t>
      </w:r>
      <w:r w:rsidR="003758BF">
        <w:t xml:space="preserve"> </w:t>
      </w:r>
      <w:r>
        <w:t>Question: what legal and policy frameworks exist in Kenya to protect the right to reproductive health, and how adequately do they align with international and regional human rights obligations? It maps the full normative architecture governing reproductive health rights, proceeding from the conceptual foundations to the international framework, the regional framework, and Kenya’s domestic constitutional and legislative landscape. It opens by tracing the conceptual transformation of reproductive health from a tool of population control into an individual legal entitlement. It then examines the international legal framework in detail</w:t>
      </w:r>
      <w:r w:rsidR="003758BF">
        <w:t>.</w:t>
      </w:r>
      <w:r w:rsidR="003758BF" w:rsidRPr="003758BF">
        <w:t xml:space="preserve"> </w:t>
      </w:r>
      <w:r w:rsidR="003758BF">
        <w:t>The regional framework section analyzes the African Charter and the Maputo Protocol as Africa’s most explicit regional guarantee of reproductive rights (Viljoen), and the domestication deficit that leaves its guarantees dependent on judicial rather than legislative operationalization (Murray). The domestic framework section examines Articles 43(1)(a), 26(4), 27, 28, and 25(a) of the Constitution; the Health Act, 2017; the unresolved Penal Code contradiction; the 2012 withdrawal of safe abortion guidelines; and the unenacted Reproductive Healthcare Bill, 2019. The chapter closes by applying the HRBA and SDH theoretical frameworks as the unified analytical lens for the chapters that follow.</w:t>
      </w:r>
    </w:p>
    <w:p w14:paraId="56F8921A" w14:textId="11AE31F5" w:rsidR="0080117A" w:rsidRPr="0080117A" w:rsidRDefault="0080117A" w:rsidP="006E60EA">
      <w:pPr>
        <w:spacing w:line="360" w:lineRule="auto"/>
        <w:rPr>
          <w:b/>
          <w:bCs/>
        </w:rPr>
      </w:pPr>
    </w:p>
    <w:p w14:paraId="35813391" w14:textId="030A8EFA" w:rsidR="003758BF" w:rsidRDefault="006E60EA" w:rsidP="003758BF">
      <w:pPr>
        <w:spacing w:after="200" w:line="340" w:lineRule="auto"/>
      </w:pPr>
      <w:r w:rsidRPr="006E60EA">
        <w:rPr>
          <w:rStyle w:val="Strong"/>
        </w:rPr>
        <w:t>Chapter Three:</w:t>
      </w:r>
      <w:r w:rsidR="003758BF">
        <w:rPr>
          <w:rStyle w:val="Strong"/>
        </w:rPr>
        <w:t xml:space="preserve"> </w:t>
      </w:r>
      <w:r w:rsidR="003758BF">
        <w:rPr>
          <w:b/>
          <w:bCs/>
        </w:rPr>
        <w:t xml:space="preserve">Barriers, Comparative Jurisprudence, and the Limits of Legal Reform. </w:t>
      </w:r>
      <w:r w:rsidR="003758BF">
        <w:t>This chapter establishes the gap between the progressive normative architecture mapped in Chapter Two and the lived reality of reproductive health access in Kenya. It examines the four categories of barrier that prevent equitable access for marginalized groups: legal and regulatory barriers; barriers specific to marginalized groups; and institutional barriers, including provider refusal, inadequate training, and weak accountability. It analyzes the cultural, economic, and social influences on the realization of reproductive health rights through the SDH framework</w:t>
      </w:r>
      <w:r w:rsidR="00FD580A">
        <w:t xml:space="preserve">. The chapter </w:t>
      </w:r>
      <w:r w:rsidR="003758BF">
        <w:t>analyses Kenya’s three landmark judicial decisions: JMM v Attorney General &amp; Others [2018] eKLR, FIDA-Kenya &amp; CRR v Attorney General &amp; Others [2019] eKLR</w:t>
      </w:r>
      <w:r w:rsidR="00FD580A">
        <w:t xml:space="preserve"> and</w:t>
      </w:r>
      <w:r w:rsidR="003758BF">
        <w:t xml:space="preserve"> PAK &amp; Salim Mohammed v Attorney General &amp; Others [2022] eKLR</w:t>
      </w:r>
      <w:r w:rsidR="00FD580A">
        <w:t>. It</w:t>
      </w:r>
      <w:r w:rsidR="003758BF">
        <w:t xml:space="preserve"> evaluat</w:t>
      </w:r>
      <w:r w:rsidR="00FD580A">
        <w:t>es</w:t>
      </w:r>
      <w:r w:rsidR="003758BF">
        <w:t xml:space="preserve"> the </w:t>
      </w:r>
      <w:r w:rsidR="003758BF">
        <w:lastRenderedPageBreak/>
        <w:t>effectiveness of judicial, legislative, executive, civil society, and international interventions against the evidence of the KDHS 2022 data and the pattern of systemic recurrence the cases reveal.</w:t>
      </w:r>
      <w:r w:rsidR="00FD580A">
        <w:t xml:space="preserve"> Additionally</w:t>
      </w:r>
      <w:r w:rsidR="00136995">
        <w:t>,</w:t>
      </w:r>
      <w:r w:rsidR="00FD580A">
        <w:t xml:space="preserve"> it </w:t>
      </w:r>
      <w:r w:rsidR="003758BF">
        <w:t>situates Kenya’s jurisprudence within comparative international standards through L.C. v Peru, K.L. v Peru, Alyne da Silva Pimentel v Brazil, and the legislative models of South Africa, Uganda, and Tanzania.</w:t>
      </w:r>
    </w:p>
    <w:p w14:paraId="38A40975" w14:textId="77777777" w:rsidR="003758BF" w:rsidRDefault="003758BF" w:rsidP="003758BF">
      <w:pPr>
        <w:spacing w:after="60"/>
      </w:pPr>
    </w:p>
    <w:p w14:paraId="01126F54" w14:textId="77777777" w:rsidR="00136995" w:rsidRDefault="003758BF" w:rsidP="00136995">
      <w:pPr>
        <w:pStyle w:val="font-claude-response-body"/>
        <w:spacing w:before="0" w:beforeAutospacing="0" w:after="0" w:afterAutospacing="0" w:line="360" w:lineRule="auto"/>
        <w:jc w:val="both"/>
        <w:rPr>
          <w:b/>
          <w:bCs/>
        </w:rPr>
      </w:pPr>
      <w:r>
        <w:rPr>
          <w:b/>
          <w:bCs/>
        </w:rPr>
        <w:t xml:space="preserve">Chapter Four: Conclusions and Recommendations. </w:t>
      </w:r>
    </w:p>
    <w:p w14:paraId="6D459E9F" w14:textId="587AFB95" w:rsidR="00136995" w:rsidRDefault="00136995" w:rsidP="00136995">
      <w:pPr>
        <w:pStyle w:val="font-claude-response-body"/>
        <w:spacing w:before="0" w:beforeAutospacing="0" w:after="0" w:afterAutospacing="0" w:line="360" w:lineRule="auto"/>
        <w:jc w:val="both"/>
      </w:pPr>
      <w:r>
        <w:t>This chapter consolidates findings from the preceding three chapters, drawing three core conclusions: that the right to reproductive health is constitutionally genuine but institutionally hollow; that litigation alone cannot sustain rights realization without broader institutional support; and that political will, not legal text, is the binding constraint on reform. Building on these conclusions, the chapter proposes a legally grounded reform agenda spanning legislative, executive, judicial, institutional, and civil society dimensions, and closes by affirming that the reforms proposed are legally required and that Kenya's constitutional promise of reproductive health rights must be kept.</w:t>
      </w:r>
    </w:p>
    <w:p w14:paraId="22E331CD" w14:textId="77777777" w:rsidR="00136995" w:rsidRDefault="00136995" w:rsidP="00136995">
      <w:pPr>
        <w:pStyle w:val="is-empty"/>
      </w:pPr>
    </w:p>
    <w:p w14:paraId="3F847B4C" w14:textId="77777777" w:rsidR="00136995" w:rsidRDefault="00136995" w:rsidP="00136995">
      <w:pPr>
        <w:pStyle w:val="is-empty"/>
      </w:pPr>
    </w:p>
    <w:p w14:paraId="00FA38A7" w14:textId="68260B09" w:rsidR="00136995" w:rsidRDefault="00136995" w:rsidP="00136995"/>
    <w:p w14:paraId="1A5C1478" w14:textId="4338713D" w:rsidR="00136995" w:rsidRDefault="00136995" w:rsidP="00136995"/>
    <w:p w14:paraId="7B56C423" w14:textId="598A031B" w:rsidR="00FD580A" w:rsidRDefault="00FD580A" w:rsidP="003758BF">
      <w:pPr>
        <w:spacing w:after="200" w:line="340" w:lineRule="auto"/>
        <w:rPr>
          <w:b/>
          <w:bCs/>
        </w:rPr>
      </w:pPr>
    </w:p>
    <w:p w14:paraId="4230EBDD" w14:textId="77777777" w:rsidR="003758BF" w:rsidRDefault="003758BF" w:rsidP="003758BF">
      <w:pPr>
        <w:spacing w:after="220" w:line="360" w:lineRule="auto"/>
      </w:pPr>
    </w:p>
    <w:p w14:paraId="5C789C9A" w14:textId="69D5644F" w:rsidR="006E60EA" w:rsidRPr="006E60EA" w:rsidRDefault="006E60EA" w:rsidP="006E60EA">
      <w:pPr>
        <w:spacing w:line="360" w:lineRule="auto"/>
      </w:pPr>
    </w:p>
    <w:p w14:paraId="0537ECE9" w14:textId="77777777" w:rsidR="006E60EA" w:rsidRDefault="006E60EA" w:rsidP="006E60EA">
      <w:pPr>
        <w:spacing w:after="160" w:line="360" w:lineRule="auto"/>
        <w:jc w:val="left"/>
      </w:pPr>
      <w:r w:rsidRPr="006E60EA">
        <w:br w:type="page"/>
      </w:r>
    </w:p>
    <w:p w14:paraId="05744C3A" w14:textId="327F07CE" w:rsidR="00626AD9" w:rsidRDefault="0048079F" w:rsidP="00743897">
      <w:pPr>
        <w:pStyle w:val="Heading1"/>
      </w:pPr>
      <w:bookmarkStart w:id="33" w:name="_Toc231382982"/>
      <w:r>
        <w:lastRenderedPageBreak/>
        <w:t xml:space="preserve">CHAPTER </w:t>
      </w:r>
      <w:r w:rsidR="00FC1B04">
        <w:t xml:space="preserve">2: </w:t>
      </w:r>
      <w:r w:rsidR="00626AD9">
        <w:t>LEGAL, HISTORICAL AND CONCEPTUAL FRAMEWORKS OF REPRODUCTIVE HEALTH RIGHTS</w:t>
      </w:r>
      <w:bookmarkEnd w:id="33"/>
    </w:p>
    <w:p w14:paraId="599D05F1" w14:textId="77777777" w:rsidR="00626AD9" w:rsidRDefault="00626AD9" w:rsidP="00626AD9">
      <w:pPr>
        <w:pStyle w:val="Heading2"/>
      </w:pPr>
      <w:bookmarkStart w:id="34" w:name="_Toc231382983"/>
      <w:r>
        <w:t>2.1 Introduction</w:t>
      </w:r>
      <w:bookmarkEnd w:id="34"/>
    </w:p>
    <w:p w14:paraId="77F9C337" w14:textId="68BEA278" w:rsidR="00626AD9" w:rsidRDefault="00626AD9" w:rsidP="00626AD9">
      <w:pPr>
        <w:spacing w:after="220" w:line="360" w:lineRule="auto"/>
      </w:pPr>
      <w:r>
        <w:t xml:space="preserve">This chapter answers </w:t>
      </w:r>
      <w:r w:rsidR="00045E1D">
        <w:t>the question,</w:t>
      </w:r>
      <w:r>
        <w:t xml:space="preserve"> what legal and policy frameworks exist in Kenya to protect the right to reproductive health, and how adequately do they align with international and regional human rights obligations? It maps every layer of that framework</w:t>
      </w:r>
      <w:r w:rsidR="00045E1D">
        <w:t xml:space="preserve"> </w:t>
      </w:r>
      <w:r>
        <w:t>from the foundational conceptual shift that transformed reproductive health into a legal entitlement, through the international and regional instruments that define Kenya’s external obligations, to the domestic constitutional provisions, statutory instruments, and regulatory decisions that constitute the operational landscape. The chapter closes by revisiting the theoretical frameworks through which the remaining analysis proceeds. Understanding this normative architecture in its entirety is the necessary foundation for the analysis of barriers in Chapter Three and the reform proposals in Chapter Four.</w:t>
      </w:r>
    </w:p>
    <w:p w14:paraId="43C31EEC" w14:textId="77777777" w:rsidR="00626AD9" w:rsidRDefault="00626AD9" w:rsidP="00626AD9">
      <w:pPr>
        <w:pStyle w:val="Heading2"/>
      </w:pPr>
      <w:bookmarkStart w:id="35" w:name="_Toc231382984"/>
      <w:r>
        <w:t>2.2 Conceptualizing Reproductive Health as a Human Right</w:t>
      </w:r>
      <w:bookmarkEnd w:id="35"/>
    </w:p>
    <w:p w14:paraId="2F862D03" w14:textId="77777777" w:rsidR="00626AD9" w:rsidRPr="00626AD9" w:rsidRDefault="00626AD9" w:rsidP="000C3D91">
      <w:pPr>
        <w:spacing w:line="360" w:lineRule="auto"/>
        <w:rPr>
          <w:b/>
        </w:rPr>
      </w:pPr>
      <w:r w:rsidRPr="00626AD9">
        <w:rPr>
          <w:b/>
        </w:rPr>
        <w:t>2.2.1 From Population Control to Individual Autonomy: The ICPD Paradigm Shift</w:t>
      </w:r>
    </w:p>
    <w:p w14:paraId="4979876F" w14:textId="013AAA5F" w:rsidR="00626AD9" w:rsidRDefault="00626AD9" w:rsidP="00626AD9">
      <w:pPr>
        <w:spacing w:after="220" w:line="360" w:lineRule="auto"/>
      </w:pPr>
      <w:r>
        <w:t>For much of the twentieth century, reproductive health services were instrumentali</w:t>
      </w:r>
      <w:r w:rsidR="00045E1D">
        <w:t>z</w:t>
      </w:r>
      <w:r>
        <w:t>ed as tools of demographic management rather than recognized as individual entitlements. States offered or withheld reproductive health services based on population targets, not the needs and choices of the individuals they were meant to serve. The 1994 International Conference on Population and Development (ICPD) in Cairo marked the decisive break with this tradition. The Program of Action adopted at Cairo defined reproductive health as a state of complete physical, mental, and social well-being in all matters relating to the reproductive system, and affirmed that individuals have the right to a satisfying and safe sex life, the capability to reproduce, and the freedom to decide if, when, and how often to do so.1 As Dixon-Mueller argues in her analysis of the ICPD, this formulation displaced population control as the dominant framework and placed individual reproductive autonomy at the center of development and human rights discourse.2 The consequence was transformative: every failure of reproductive health service delivery could no longer be explained away as a development deficit but had to be accounted for as a potential human rights violation.</w:t>
      </w:r>
    </w:p>
    <w:p w14:paraId="564D81C4" w14:textId="77777777" w:rsidR="00626AD9" w:rsidRPr="00626AD9" w:rsidRDefault="00626AD9" w:rsidP="000C3D91">
      <w:pPr>
        <w:spacing w:line="360" w:lineRule="auto"/>
        <w:rPr>
          <w:b/>
        </w:rPr>
      </w:pPr>
      <w:r w:rsidRPr="00626AD9">
        <w:rPr>
          <w:b/>
        </w:rPr>
        <w:t>2.2.2 The Rights-Based Framing: Legal Entitlement, Not Policy Discretion</w:t>
      </w:r>
    </w:p>
    <w:p w14:paraId="7678313D" w14:textId="6EC650DD" w:rsidR="00626AD9" w:rsidRDefault="00626AD9" w:rsidP="00626AD9">
      <w:pPr>
        <w:spacing w:after="220" w:line="360" w:lineRule="auto"/>
      </w:pPr>
      <w:r>
        <w:t xml:space="preserve">Cook, Dickens, and Fathalla, in Reproductive Health and Human Rights: Integrating Medicine, Ethics, and Law, argue that the rights-based framing of reproductive health carries specific legal consequences for State behavior: it transforms what were previously discretionary decisions into justiciable obligations capable of enforcement before courts.3 In their article “Human Rights Dynamics of Abortion Law Reform,” Cook and Dickens extend this argument, demonstrating that where reproductive health is constitutionally or conventionally guaranteed, States bear both negative duties </w:t>
      </w:r>
      <w:r w:rsidR="001C3B5A">
        <w:t>,</w:t>
      </w:r>
      <w:r>
        <w:t xml:space="preserve"> to refrain from interference  and positive duties  to create and maintain the conditions under which rights can be exercised.4 This distinction between negative and positive obligations is central to understanding Kenya’s failures: the withdrawal of safe abortion guidelines in 2012 and the non-enactment of the Reproductive Healthcare Bill are positive obligation failures, as much as the police arrests in JMM and PAK are negative obligation failures.</w:t>
      </w:r>
    </w:p>
    <w:p w14:paraId="7C05E6B8" w14:textId="77777777" w:rsidR="00626AD9" w:rsidRPr="00626AD9" w:rsidRDefault="00626AD9" w:rsidP="000C3D91">
      <w:pPr>
        <w:spacing w:line="360" w:lineRule="auto"/>
        <w:rPr>
          <w:b/>
        </w:rPr>
      </w:pPr>
      <w:r w:rsidRPr="00626AD9">
        <w:rPr>
          <w:b/>
        </w:rPr>
        <w:t>2.2.3 The AAAQ Framework as a Legal Standard of State Compliance</w:t>
      </w:r>
    </w:p>
    <w:p w14:paraId="097120E6" w14:textId="77777777" w:rsidR="00626AD9" w:rsidRDefault="00626AD9" w:rsidP="00626AD9">
      <w:pPr>
        <w:spacing w:after="220" w:line="360" w:lineRule="auto"/>
      </w:pPr>
      <w:r>
        <w:t>The AAAQ framework — availability, accessibility, acceptability, and quality — was articulated by the CESCR in General Comment No. 14 (2000) and applied specifically to sexual and reproductive health in General Comment No. 22 (2016).5 Availability requires that functioning reproductive health services, goods, and facilities exist in sufficient quantity. Accessibility demands that those services are physically reachable, economically affordable, and accessible without discrimination. Acceptability requires that services are delivered with respect for medical ethics and cultural sensitivity. Quality demands that services are scientifically appropriate and of adequate medical standard. Applied to Kenya, the AAAQ framework provides the analytical grid against which the implementation gap is measured: threefold variation in modern contraceptive prevalence between counties is an accessibility failure; provider refusal of legally permitted abortion is an acceptability and availability failure; and the absence of trained personnel in rural counties is both an availability and quality failure.</w:t>
      </w:r>
    </w:p>
    <w:p w14:paraId="6B44F350" w14:textId="77777777" w:rsidR="00363460" w:rsidRDefault="00363460" w:rsidP="00626AD9">
      <w:pPr>
        <w:rPr>
          <w:b/>
        </w:rPr>
      </w:pPr>
    </w:p>
    <w:p w14:paraId="12602333" w14:textId="77777777" w:rsidR="00363460" w:rsidRDefault="00363460" w:rsidP="00626AD9">
      <w:pPr>
        <w:rPr>
          <w:b/>
        </w:rPr>
      </w:pPr>
    </w:p>
    <w:p w14:paraId="5407DB5D" w14:textId="4F372A57" w:rsidR="00626AD9" w:rsidRPr="00626AD9" w:rsidRDefault="00626AD9" w:rsidP="000C3D91">
      <w:pPr>
        <w:spacing w:line="360" w:lineRule="auto"/>
        <w:rPr>
          <w:b/>
        </w:rPr>
      </w:pPr>
      <w:r w:rsidRPr="00626AD9">
        <w:rPr>
          <w:b/>
        </w:rPr>
        <w:t>2.2.4 Feminist Critiques: Selective Co-optation of Rights Language</w:t>
      </w:r>
    </w:p>
    <w:p w14:paraId="4C776762" w14:textId="5D06F6D8" w:rsidR="00626AD9" w:rsidRDefault="00626AD9" w:rsidP="00626AD9">
      <w:pPr>
        <w:spacing w:after="220" w:line="360" w:lineRule="auto"/>
      </w:pPr>
      <w:r>
        <w:t>Corrêa and Petchesky, in their book chapter “Reproductive and Sexual Rights: A Feminist Perspective,” caution that rights-based framing can be selectively co-opted protecting some reproductive rights while curtailing others, or advancing rights for privileged women while marginalizing the least powerful.6 Their warning resonates acutely in Kenya, where constitutional progressivism on reproductive health coexists with continued Penal Code criminalization of abortion. The Constitution of 2010 guarantees reproductive health care in Article 43(1)(a) and permits abortion in defined circumstances in Article 26(4), yet Sections 158-160 of the Penal Code remain unrepealed, and the Reproductive Healthcare Bill that would operationalize the constitutional permission has been politically blocked for more than five years. This selective implementation</w:t>
      </w:r>
      <w:r w:rsidR="009B4E2C">
        <w:t xml:space="preserve">, </w:t>
      </w:r>
      <w:r>
        <w:t>progressive text without progressive practice</w:t>
      </w:r>
      <w:r w:rsidR="009B4E2C">
        <w:t>,</w:t>
      </w:r>
      <w:r>
        <w:t xml:space="preserve"> is precisely the co-optation Corrêa and Petchesky warned against.</w:t>
      </w:r>
    </w:p>
    <w:p w14:paraId="1BC60A52" w14:textId="77777777" w:rsidR="00626AD9" w:rsidRDefault="00626AD9" w:rsidP="00626AD9">
      <w:pPr>
        <w:pStyle w:val="Heading2"/>
      </w:pPr>
      <w:bookmarkStart w:id="36" w:name="_Toc231382985"/>
      <w:r>
        <w:t>2.3 The International Legal Framework</w:t>
      </w:r>
      <w:bookmarkEnd w:id="36"/>
    </w:p>
    <w:p w14:paraId="1786BEF6" w14:textId="77777777" w:rsidR="00626AD9" w:rsidRPr="00626AD9" w:rsidRDefault="00626AD9" w:rsidP="000C3D91">
      <w:pPr>
        <w:spacing w:line="360" w:lineRule="auto"/>
        <w:rPr>
          <w:b/>
        </w:rPr>
      </w:pPr>
      <w:r w:rsidRPr="00626AD9">
        <w:rPr>
          <w:b/>
        </w:rPr>
        <w:t>2.3.1 Article 12 of the ICESCR: Minimum Core Obligations</w:t>
      </w:r>
    </w:p>
    <w:p w14:paraId="2758AEAC" w14:textId="68E9BDE9" w:rsidR="00626AD9" w:rsidRDefault="00626AD9" w:rsidP="00626AD9">
      <w:pPr>
        <w:spacing w:after="220" w:line="360" w:lineRule="auto"/>
      </w:pPr>
      <w:r>
        <w:t>Article 12 of the International Covenant on Economic, Social and Cultural Rights (ICESCR) guarantees the right of everyone to the enjoyment of the highest attainable standard of physical and mental health.7 Toebes, in The Right to Health as a Human Right in International Law, argues that Article 12 imposes obligations that are both immediate and progressive: States must take concrete steps now, regardless of resource levels, to meet minimum core obligations including the duty of non-discrimination and the duty to refrain from deliberate policy decisions that worsen access.8 Resource scarcity cannot justify minimum core failures. Kenya’s withdrawal of safe abortion guidelines</w:t>
      </w:r>
      <w:r w:rsidR="002F0B70">
        <w:t xml:space="preserve">; </w:t>
      </w:r>
      <w:r>
        <w:t>an active policy decision that worsened access to constitutional reproductive health care</w:t>
      </w:r>
      <w:r w:rsidR="002F0B70">
        <w:t xml:space="preserve">; </w:t>
      </w:r>
      <w:r>
        <w:t>cannot be defended on resource grounds. It was a choice, not a constraint.</w:t>
      </w:r>
    </w:p>
    <w:p w14:paraId="1031C505" w14:textId="77777777" w:rsidR="00626AD9" w:rsidRPr="00626AD9" w:rsidRDefault="00626AD9" w:rsidP="000C3D91">
      <w:pPr>
        <w:spacing w:line="360" w:lineRule="auto"/>
        <w:rPr>
          <w:b/>
        </w:rPr>
      </w:pPr>
      <w:r w:rsidRPr="00626AD9">
        <w:rPr>
          <w:b/>
        </w:rPr>
        <w:t>2.3.2 CEDAW: Reproductive Health as a Gender Equality Obligation</w:t>
      </w:r>
    </w:p>
    <w:p w14:paraId="605FFDB2" w14:textId="77777777" w:rsidR="00626AD9" w:rsidRDefault="00626AD9" w:rsidP="00626AD9">
      <w:pPr>
        <w:spacing w:after="220" w:line="360" w:lineRule="auto"/>
      </w:pPr>
      <w:r>
        <w:t>Article 12 of CEDAW obliges States Parties to eliminate discrimination against women in the field of healthcare, including access to family planning and appropriate services connected with pregnancy.9 Banda, in Women, Law and Human Rights: An African Perspective, argues that CEDAW’s most significant contribution lies in the conceptual linkage it establishes between reproductive health and structural gender inequality: it is no longer sufficient for a State to show that it provides some reproductive health services; it must show that those services are provided equitably, without discriminatory gatekeeping, and with respect for women’s dignity and autonomy.10 This structural equality dimension has direct implications for Kenya, where provider judgmentalism toward adolescents, police arrests of post-abortion patients, and geographic concentration of services in urban centers all constitute forms of discriminatory access in violation of CEDAW.</w:t>
      </w:r>
    </w:p>
    <w:p w14:paraId="5D948E4C" w14:textId="77777777" w:rsidR="00626AD9" w:rsidRPr="00626AD9" w:rsidRDefault="00626AD9" w:rsidP="000C3D91">
      <w:pPr>
        <w:spacing w:line="360" w:lineRule="auto"/>
        <w:rPr>
          <w:b/>
        </w:rPr>
      </w:pPr>
      <w:r w:rsidRPr="00626AD9">
        <w:rPr>
          <w:b/>
        </w:rPr>
        <w:t>2.3.3 CESCR General Comments Nos. 14 and 22</w:t>
      </w:r>
    </w:p>
    <w:p w14:paraId="2723E462" w14:textId="51FB9F86" w:rsidR="00626AD9" w:rsidRDefault="00626AD9" w:rsidP="00626AD9">
      <w:pPr>
        <w:spacing w:after="220" w:line="360" w:lineRule="auto"/>
      </w:pPr>
      <w:r>
        <w:t xml:space="preserve">CESCR General Comment No. 14 (2000) on the right to health established the tripartite framework of State duties </w:t>
      </w:r>
      <w:r w:rsidR="00363460">
        <w:t>;</w:t>
      </w:r>
      <w:r>
        <w:t xml:space="preserve"> to respect, protect, and fulfil </w:t>
      </w:r>
      <w:r w:rsidR="00363460">
        <w:t>;</w:t>
      </w:r>
      <w:r>
        <w:t xml:space="preserve"> and confirmed that these obligations extend to reproductive health.11 General Comment No. 22 (2016), specifically addressing sexual and reproductive health, went further: it confirmed that reproductive health encompasses access to emergency obstetric care and post-abortion care irrespective of the legality of the abortion; that patient-provider confidentiality is an element of acceptability; and that the criminalization of abortion services in circumstances where the law permits them constitutes a violation of the right to health.12 These findings map directly onto the facts of JMM, FIDA-Kenya and CRR, and PAK: each case involved the State’s failure to respect, protect, or fulfil the obligations General Comments Nos. 14 and 22 elaborate.</w:t>
      </w:r>
    </w:p>
    <w:p w14:paraId="26FD5739" w14:textId="77777777" w:rsidR="00626AD9" w:rsidRPr="00626AD9" w:rsidRDefault="00626AD9" w:rsidP="000C3D91">
      <w:pPr>
        <w:spacing w:line="360" w:lineRule="auto"/>
        <w:rPr>
          <w:b/>
        </w:rPr>
      </w:pPr>
      <w:r w:rsidRPr="00626AD9">
        <w:rPr>
          <w:b/>
        </w:rPr>
        <w:t>2.3.4 CEDAW General Recommendation No. 24 and the ICCPR</w:t>
      </w:r>
    </w:p>
    <w:p w14:paraId="6007F474" w14:textId="77777777" w:rsidR="00626AD9" w:rsidRDefault="00626AD9" w:rsidP="00626AD9">
      <w:pPr>
        <w:spacing w:after="220" w:line="360" w:lineRule="auto"/>
      </w:pPr>
      <w:r>
        <w:t>CEDAW General Recommendation No. 24 (1999) on women and health affirms that the failure to provide services only women need constitutes sex-based discrimination, and specifically obliges States to ensure that healthcare providers offer non-judgmental services to women seeking post-abortion care.13 The International Covenant on Civil and Political Rights (ICCPR) adds further dimensions: the right to life under Article 6 is engaged where preventable maternal deaths are attributable to denial of reproductive health services; the right to privacy under Article 17 is implicated in compelled medical examinations of reproductive health patients; and Article 7’s absolute prohibition against cruel, inhuman, and degrading treatment is engaged where patients are denied emergency care, detained arbitrarily, or compelled to continue non-viable pregnancies.14 The Human Rights Committee’s decision in K.L. v Peru, holding that forcing a minor to continue a foetal anencephaly pregnancy constituted cruel and inhuman treatment, illustrates this engagement precisely.</w:t>
      </w:r>
    </w:p>
    <w:p w14:paraId="2C3A02AC" w14:textId="77777777" w:rsidR="00626AD9" w:rsidRDefault="00626AD9" w:rsidP="00626AD9">
      <w:pPr>
        <w:pStyle w:val="Heading2"/>
      </w:pPr>
      <w:bookmarkStart w:id="37" w:name="_Toc231382986"/>
      <w:r>
        <w:t>2.4 The Regional African Framework</w:t>
      </w:r>
      <w:bookmarkEnd w:id="37"/>
    </w:p>
    <w:p w14:paraId="488555FA" w14:textId="77777777" w:rsidR="00626AD9" w:rsidRPr="00626AD9" w:rsidRDefault="00626AD9" w:rsidP="000C3D91">
      <w:pPr>
        <w:spacing w:line="360" w:lineRule="auto"/>
        <w:rPr>
          <w:b/>
        </w:rPr>
      </w:pPr>
      <w:r w:rsidRPr="00626AD9">
        <w:rPr>
          <w:b/>
        </w:rPr>
        <w:t>2.4.1 The African Charter and the Maputo Protocol</w:t>
      </w:r>
    </w:p>
    <w:p w14:paraId="3E403B53" w14:textId="50A788A6" w:rsidR="00626AD9" w:rsidRDefault="00626AD9" w:rsidP="00626AD9">
      <w:pPr>
        <w:spacing w:after="220" w:line="360" w:lineRule="auto"/>
      </w:pPr>
      <w:r>
        <w:t>Article 16 of the African Charter on Human and Peoples’ Rights guarantees the right to enjoy the best attainable state of physical and mental health, and obliges State Parties to take the necessary measures to protect the health of their people.15 The Maputo Protocol to the African Charter on the Rights of Women in Africa is, however, the instrument of central importance for reproductive health. Article 14 of the Maputo Protocol is one of the most comprehensive provisions on women’s reproductive rights in any binding regional instrument: it obliges States to ensure that women’s right to health</w:t>
      </w:r>
      <w:r w:rsidR="002F0B70">
        <w:t xml:space="preserve">; </w:t>
      </w:r>
      <w:r>
        <w:t>including sexual and reproductive health</w:t>
      </w:r>
      <w:r w:rsidR="002F0B70">
        <w:t xml:space="preserve">; </w:t>
      </w:r>
      <w:r>
        <w:t>is respected and promoted, and specifically requires States to authorize medical abortion in cases of sexual assault, rape, incest, and where the continued pregnancy endangers the physical or mental health or life of the mother.16 Viljoen, in International Human Rights Law in Africa, describes the Protocol as addressing African women’s realities with a directness that global instruments have historically avoided.17</w:t>
      </w:r>
    </w:p>
    <w:p w14:paraId="4130C162" w14:textId="77777777" w:rsidR="00626AD9" w:rsidRPr="00626AD9" w:rsidRDefault="00626AD9" w:rsidP="000C3D91">
      <w:pPr>
        <w:spacing w:line="360" w:lineRule="auto"/>
        <w:rPr>
          <w:b/>
        </w:rPr>
      </w:pPr>
      <w:r w:rsidRPr="00626AD9">
        <w:rPr>
          <w:b/>
        </w:rPr>
        <w:t>2.4.2 The Domestication Deficit and Domestic Courts as Regional Norm-Givers</w:t>
      </w:r>
    </w:p>
    <w:p w14:paraId="0677AB77" w14:textId="16131C06" w:rsidR="00626AD9" w:rsidRDefault="00626AD9" w:rsidP="00626AD9">
      <w:pPr>
        <w:spacing w:after="220" w:line="360" w:lineRule="auto"/>
      </w:pPr>
      <w:r>
        <w:t>Murray, in The African Commission on Human and Peoples’ Rights and International Law, argues that the African human rights system lacks the enforcement machinery to give regional instruments practical force without State cooperation.18 Kenya’s record confirms this concern: the Maputo Protocol was ratified in 2010 but no implementing legislation has been enacted, leaving its guarantees dependent on judicial interpretation rather than statutory mandate. Yet Kenyan courts have been willing to treat the Protocol as persuasive interpretive authority. In PAK, the Malindi High Court drew on the Protocol’s framework in affirming that abortion care is a constitutional right and that the criminalization of constitutionally authorized care is impermissible. This judicial willingness to give the Protocol domestic force</w:t>
      </w:r>
      <w:r w:rsidR="00B8486C">
        <w:t xml:space="preserve">, </w:t>
      </w:r>
      <w:r>
        <w:t>without legislative implementation</w:t>
      </w:r>
      <w:r w:rsidR="00B8486C">
        <w:t xml:space="preserve">, </w:t>
      </w:r>
      <w:r>
        <w:t>partially mitigates Murray’s concern but cannot substitute for a statutory framework.</w:t>
      </w:r>
    </w:p>
    <w:p w14:paraId="37F9A60F" w14:textId="0B276ACB" w:rsidR="00626AD9" w:rsidRDefault="00626AD9" w:rsidP="00626AD9">
      <w:pPr>
        <w:pStyle w:val="Heading2"/>
      </w:pPr>
      <w:bookmarkStart w:id="38" w:name="_Toc231382987"/>
      <w:r>
        <w:t>2.5 Kenya’s Constitutional and Domestic Legal Framework</w:t>
      </w:r>
      <w:bookmarkEnd w:id="38"/>
    </w:p>
    <w:p w14:paraId="7F645F44" w14:textId="343AC4FE" w:rsidR="00626AD9" w:rsidRPr="00626AD9" w:rsidRDefault="00626AD9" w:rsidP="000C3D91">
      <w:pPr>
        <w:spacing w:line="360" w:lineRule="auto"/>
        <w:rPr>
          <w:b/>
        </w:rPr>
      </w:pPr>
      <w:r w:rsidRPr="00626AD9">
        <w:rPr>
          <w:b/>
        </w:rPr>
        <w:t>2.5.1 Articles 43(1)(a) and 26(4): The Constitutional Core</w:t>
      </w:r>
    </w:p>
    <w:p w14:paraId="48A7C164" w14:textId="77777777" w:rsidR="00626AD9" w:rsidRDefault="00626AD9" w:rsidP="00626AD9">
      <w:pPr>
        <w:spacing w:after="220" w:line="360" w:lineRule="auto"/>
      </w:pPr>
      <w:r>
        <w:t>Article 43(1)(a) of the Constitution of Kenya, 2010 guarantees every person the right to the highest attainable standard of health, which includes the right to health care services, including reproductive health care.19 This is a justiciable right: Article 22 confers broad standing to petition for Bill of Rights violations, and Article 23 empowers courts to grant appropriate relief. Article 26(4) permits abortion where, in the opinion of a trained health professional, there is need for emergency treatment, or the life or health of the mother is in danger, or as permitted by any other written law.20 Read together, Articles 43(1)(a) and 26(4) establish both a positive guarantee of reproductive health care and a constitutional permission for abortion in defined circumstances. Kameri-Mbote and Akello observe that these provisions place Kenya at the forefront of constitutionalizing health rights in Africa.21</w:t>
      </w:r>
    </w:p>
    <w:p w14:paraId="66B305BF" w14:textId="77777777" w:rsidR="00626AD9" w:rsidRPr="00626AD9" w:rsidRDefault="00626AD9" w:rsidP="000C3D91">
      <w:pPr>
        <w:spacing w:line="360" w:lineRule="auto"/>
        <w:rPr>
          <w:b/>
        </w:rPr>
      </w:pPr>
      <w:r w:rsidRPr="00626AD9">
        <w:rPr>
          <w:b/>
        </w:rPr>
        <w:t>2.5.2 Articles 27, 28, and 25(a): Equality, Dignity, and Non-Derogable Prohibition</w:t>
      </w:r>
    </w:p>
    <w:p w14:paraId="7CF06A37" w14:textId="77777777" w:rsidR="00626AD9" w:rsidRDefault="00626AD9" w:rsidP="00626AD9">
      <w:pPr>
        <w:spacing w:after="220" w:line="360" w:lineRule="auto"/>
      </w:pPr>
      <w:r>
        <w:t>The right to equality and non-discrimination under Article 27 is directly engaged by the discriminatory gatekeeping that characterizes reproductive health service delivery in Kenya — the refusal of post-abortion care to adolescents, the geographic concentration of services in urban areas, the targeting of low-income women and girls by criminal enforcement of abortion provisions. Article 28’s protection of inherent human dignity encompasses bodily autonomy: the right to have one’s physical person treated with respect and to make decisions about one’s own body without coercion or humiliation. Article 25(a)’s non-derogable prohibition against cruel, inhuman, and degrading treatment is absolute: it cannot be curtailed even where the patient is suspected of procuring an unlawful abortion. JMM established that denial of emergency post-abortion care combined with arbitrary detention crosses this threshold; PAK confirmed that arresting a minor mid-treatment does too.</w:t>
      </w:r>
    </w:p>
    <w:p w14:paraId="2E27CD85" w14:textId="77777777" w:rsidR="00626AD9" w:rsidRPr="00626AD9" w:rsidRDefault="00626AD9" w:rsidP="000C3D91">
      <w:pPr>
        <w:spacing w:line="360" w:lineRule="auto"/>
        <w:rPr>
          <w:b/>
        </w:rPr>
      </w:pPr>
      <w:r w:rsidRPr="00626AD9">
        <w:rPr>
          <w:b/>
        </w:rPr>
        <w:t>2.5.3 The Health Act, 2017 and the Penal Code Contradiction</w:t>
      </w:r>
    </w:p>
    <w:p w14:paraId="480445CD" w14:textId="4EBA824E" w:rsidR="00626AD9" w:rsidRDefault="00626AD9" w:rsidP="000C3D91">
      <w:pPr>
        <w:spacing w:after="220" w:line="360" w:lineRule="auto"/>
      </w:pPr>
      <w:r>
        <w:t>The Health Act, 2017 consolidated health-related legislation and established institutional frameworks for service delivery at national and county levels. While it provides a structural basis for reproductive health service delivery, it does not resolve the central legal contradiction in Kenya’s reproductive health framework: the conflict between Article 26(4) of the Constitution and Sections 158-160 of the Penal Code. Section 158 criminali</w:t>
      </w:r>
      <w:r w:rsidR="007456E6">
        <w:t>z</w:t>
      </w:r>
      <w:r>
        <w:t>e</w:t>
      </w:r>
      <w:r w:rsidR="007456E6">
        <w:t>s</w:t>
      </w:r>
      <w:r>
        <w:t xml:space="preserve"> the procurement of a miscarriage; Section 159 criminali</w:t>
      </w:r>
      <w:r w:rsidR="007456E6">
        <w:t>z</w:t>
      </w:r>
      <w:r>
        <w:t>es the same act with the woman’s consent; and Section 160 criminali</w:t>
      </w:r>
      <w:r w:rsidR="007456E6">
        <w:t>z</w:t>
      </w:r>
      <w:r>
        <w:t>es the supply of instruments or drugs for that purpose.22 Despite the constitutional supremacy of Article 26(4) under Article 2 of the Constitution, the absence of a Supreme Court determination of the inconsistency and the failure of Parliament to amend the Penal Code have left healthcare providers in genuine legal uncertainty. Muigua documents that this uncertainty functions as an effective prohibition: providers fear prosecution even for constitutionally permitted procedures.23</w:t>
      </w:r>
    </w:p>
    <w:p w14:paraId="66F6A52F" w14:textId="77777777" w:rsidR="00626AD9" w:rsidRPr="00626AD9" w:rsidRDefault="00626AD9" w:rsidP="000C3D91">
      <w:pPr>
        <w:spacing w:line="360" w:lineRule="auto"/>
        <w:rPr>
          <w:b/>
        </w:rPr>
      </w:pPr>
      <w:r w:rsidRPr="00626AD9">
        <w:rPr>
          <w:b/>
        </w:rPr>
        <w:t>2.5.4 The 2012 Withdrawal of Safe Abortion Guidelines and the Reproductive Healthcare Bill</w:t>
      </w:r>
    </w:p>
    <w:p w14:paraId="1F2BE281" w14:textId="5E7209CD" w:rsidR="00626AD9" w:rsidRDefault="00626AD9" w:rsidP="000C3D91">
      <w:pPr>
        <w:spacing w:after="220" w:line="360" w:lineRule="auto"/>
      </w:pPr>
      <w:r>
        <w:t>In 2012, the Ministry of Health unilaterally withdrew the Standards and Guidelines on Safe Abortion and the Training Curriculum for Health Providers on Safe Abortion Care, under pressure from religious organi</w:t>
      </w:r>
      <w:r w:rsidR="000C3D91">
        <w:t>z</w:t>
      </w:r>
      <w:r>
        <w:t>ations. No alternative framework was provided. The withdrawal left providers without legal certainty and patients without accessible services, contributing to increased unsafe abortion and preventable maternal deaths. The High Court held in FIDA-Kenya and CRR that this withdrawal was unconstitutional, creating a chilling effect that rendered the Article 26(4) permission practically inaccessible. The Reproductive Healthcare Bill, 2019 was introduced to give statutory force to Article 43(1)(a) and to resolve the Article 26(4) ambiguity through a clear legislative framework. Gitahi-Kamau argues that its continued failure of enactment reflects deliberate political obstruction by conservative religious and political interests, not legislative inadvertence.24 The Bill’s absence represents, as the PAK court held, a parliamentary dereliction of constitutional duty.</w:t>
      </w:r>
    </w:p>
    <w:p w14:paraId="719D2DF3" w14:textId="77777777" w:rsidR="00626AD9" w:rsidRDefault="00626AD9" w:rsidP="00626AD9">
      <w:pPr>
        <w:pStyle w:val="Heading2"/>
      </w:pPr>
      <w:bookmarkStart w:id="39" w:name="_Toc231382988"/>
      <w:r>
        <w:t>2.6 Theoretical Framework</w:t>
      </w:r>
      <w:bookmarkEnd w:id="39"/>
    </w:p>
    <w:p w14:paraId="35F8C13C" w14:textId="77777777" w:rsidR="00626AD9" w:rsidRPr="00626AD9" w:rsidRDefault="00626AD9" w:rsidP="000C3D91">
      <w:pPr>
        <w:spacing w:line="360" w:lineRule="auto"/>
        <w:rPr>
          <w:b/>
        </w:rPr>
      </w:pPr>
      <w:r w:rsidRPr="00626AD9">
        <w:rPr>
          <w:b/>
        </w:rPr>
        <w:t>2.6.1 The Human Rights-Based Approach (HRBA): Tripartite State Duties</w:t>
      </w:r>
    </w:p>
    <w:p w14:paraId="2319DB50" w14:textId="26199A23" w:rsidR="00626AD9" w:rsidRDefault="00626AD9" w:rsidP="000C3D91">
      <w:pPr>
        <w:spacing w:after="220" w:line="360" w:lineRule="auto"/>
      </w:pPr>
      <w:r>
        <w:t>The Human Rights-Based Approach reframes access to reproductive health services from a matter of social policy into a matter of legal entitlement. Under the HRBA, the State bears three legally binding duties: the duty to respect</w:t>
      </w:r>
      <w:r w:rsidR="007456E6">
        <w:t xml:space="preserve">; </w:t>
      </w:r>
      <w:r>
        <w:t>refrain from interfering with the exercise of reproductive health rights; the duty to protect</w:t>
      </w:r>
      <w:r w:rsidR="007456E6">
        <w:t xml:space="preserve">; </w:t>
      </w:r>
      <w:r>
        <w:t>prevent third parties, including private healthcare providers, from interfering; and the duty to fulfil</w:t>
      </w:r>
      <w:r w:rsidR="007456E6">
        <w:t xml:space="preserve">; </w:t>
      </w:r>
      <w:r>
        <w:t>take positive measures to ensure the progressive reali</w:t>
      </w:r>
      <w:r w:rsidR="007456E6">
        <w:t>z</w:t>
      </w:r>
      <w:r>
        <w:t>ation of the right through legislation, guidelines, training, and resource allocation.25 Applied to this study, Kenya has violated each limb. Police arrests of post-abortion patients violate the duty to respect. The absence of regulation compelling providers to offer lawful abortion services violates the duty to protect. The failure to enact the Reproductive Healthcare Bill and the withdrawal of provider guidelines violate the duty to fulfil.</w:t>
      </w:r>
    </w:p>
    <w:p w14:paraId="211B41ED" w14:textId="77777777" w:rsidR="00363460" w:rsidRDefault="00363460" w:rsidP="00626AD9">
      <w:pPr>
        <w:rPr>
          <w:b/>
        </w:rPr>
      </w:pPr>
    </w:p>
    <w:p w14:paraId="31FF4E9A" w14:textId="3D23CA78" w:rsidR="00626AD9" w:rsidRPr="00626AD9" w:rsidRDefault="00626AD9" w:rsidP="007868D7">
      <w:pPr>
        <w:spacing w:line="360" w:lineRule="auto"/>
        <w:rPr>
          <w:b/>
        </w:rPr>
      </w:pPr>
      <w:r w:rsidRPr="00626AD9">
        <w:rPr>
          <w:b/>
        </w:rPr>
        <w:t>2.6.2 The Social Determinants of Health (SDH) Theory and the Intersection with HRBA</w:t>
      </w:r>
    </w:p>
    <w:p w14:paraId="2A7728D0" w14:textId="30ABBB62" w:rsidR="00626AD9" w:rsidRDefault="00626AD9" w:rsidP="007868D7">
      <w:pPr>
        <w:spacing w:after="220" w:line="360" w:lineRule="auto"/>
      </w:pPr>
      <w:r>
        <w:t>The Social Determinants of Health Theory holds that health outcomes are not primarily determined by the availability of medical services or individual choices, but by the broader social, economic, cultural, and political conditions in which people live</w:t>
      </w:r>
      <w:r w:rsidR="007456E6">
        <w:t>,</w:t>
      </w:r>
      <w:r>
        <w:t xml:space="preserve"> poverty, gender inequality, geographical marginali</w:t>
      </w:r>
      <w:r w:rsidR="00903973">
        <w:t>z</w:t>
      </w:r>
      <w:r>
        <w:t>ation, cultural stigma, and political disempowerment.26 The SDH framework is essential because it prevents the analysis from remaining at the level of formal legal compliance. Kenya can have a constitutional right to reproductive health and a court system willing to enforce it, and still fail women and girls if the structural conditions that determine access remain unreformed. The intersection of HRBA and SDH provides the unified analytical lens for Chapters Three and Four: HRBA establishes what the law requires; SDH explains why the law alone cannot deliver it; and together they define the full scope of the reform agenda necessary to close the implementation gap.</w:t>
      </w:r>
    </w:p>
    <w:p w14:paraId="38657640" w14:textId="77777777" w:rsidR="00626AD9" w:rsidRDefault="00626AD9" w:rsidP="00626AD9">
      <w:pPr>
        <w:pStyle w:val="Heading2"/>
      </w:pPr>
      <w:bookmarkStart w:id="40" w:name="_Toc231382989"/>
      <w:r>
        <w:t>2.7 Conclusion</w:t>
      </w:r>
      <w:bookmarkEnd w:id="40"/>
    </w:p>
    <w:p w14:paraId="2776420E" w14:textId="589CBD7C" w:rsidR="00626AD9" w:rsidRDefault="00626AD9" w:rsidP="00626AD9">
      <w:pPr>
        <w:spacing w:after="220" w:line="360" w:lineRule="auto"/>
      </w:pPr>
      <w:r>
        <w:t>This chapter has mapped the full normative architecture governing the right to reproductive health in Kenya. Internationally, Kenya is bound by the ICESCR, CEDAW, and the ICCPR, each of which imposes specific and legally enforceable obligations in relation to reproductive health. Regionally, the African Charter and the Maputo Protocol reinforce and elaborate those obligations, with the Maputo Protocol providing the most direct and explicit regional guarantee of women’s reproductive rights. Domestically, Articles 43(1)(a), 26(4), 27, 28, and 25(a) of the Constitution together create a robust rights-based framework, reinforced by the Health Act, 2017 and the theoretically transformative</w:t>
      </w:r>
      <w:r w:rsidR="00343626">
        <w:t>,</w:t>
      </w:r>
      <w:r>
        <w:t xml:space="preserve"> but unenacted</w:t>
      </w:r>
      <w:r w:rsidR="00343626">
        <w:t xml:space="preserve">, </w:t>
      </w:r>
      <w:r>
        <w:t>Reproductive Healthcare Bill, 2019. Structurally, however, the framework is undermined by the unresolved Penal Code contradiction, the regulatory vacuum created by the 2012 withdrawal of safe abortion guidelines, and the sustained political obstruction of the legislative reform the framework requires.</w:t>
      </w:r>
    </w:p>
    <w:p w14:paraId="7ED0CD87" w14:textId="77777777" w:rsidR="00626AD9" w:rsidRDefault="00626AD9" w:rsidP="00626AD9">
      <w:pPr>
        <w:spacing w:after="220" w:line="360" w:lineRule="auto"/>
      </w:pPr>
      <w:r>
        <w:t>The HRBA and SDH frameworks together establish the analytical lens through which Chapters Three and Four proceed. HRBA confirms that Kenya has violated its tripartite obligations to respect, protect, and fulfil reproductive health rights. SDH explains why legal reform, though necessary, is insufficient without structural transformation of the social and economic conditions that determine whether constitutional rights are accessible to those who need them most. With this normative and analytical foundation established, Chapter Three turns to the concrete evidence of those failures: the barriers that prevent access, the cases that have exposed them, and the interventions that have proved insufficient to address them.</w:t>
      </w:r>
    </w:p>
    <w:p w14:paraId="2B69A7F5" w14:textId="77777777" w:rsidR="00626AD9" w:rsidRDefault="00626AD9" w:rsidP="00626AD9">
      <w:r>
        <w:br w:type="page"/>
      </w:r>
    </w:p>
    <w:p w14:paraId="0F5D3BD9" w14:textId="16FDD500" w:rsidR="00626AD9" w:rsidRDefault="00626AD9" w:rsidP="00626AD9">
      <w:pPr>
        <w:pStyle w:val="Heading1"/>
      </w:pPr>
    </w:p>
    <w:p w14:paraId="22E131BD" w14:textId="67FE4131" w:rsidR="00743897" w:rsidRDefault="00743897" w:rsidP="00743897"/>
    <w:p w14:paraId="2017E7AB" w14:textId="77777777" w:rsidR="00743897" w:rsidRPr="00743897" w:rsidRDefault="00743897" w:rsidP="00743897"/>
    <w:p w14:paraId="06CD9F25" w14:textId="00B5AA5C" w:rsidR="00626AD9" w:rsidRDefault="00FC1B04" w:rsidP="00743897">
      <w:pPr>
        <w:pStyle w:val="Heading1"/>
      </w:pPr>
      <w:bookmarkStart w:id="41" w:name="_Toc231382990"/>
      <w:r>
        <w:t xml:space="preserve">CHAPTER </w:t>
      </w:r>
      <w:r w:rsidR="0048079F">
        <w:t>3</w:t>
      </w:r>
      <w:r>
        <w:t xml:space="preserve">: </w:t>
      </w:r>
      <w:r w:rsidR="00626AD9">
        <w:t>BARRIERS, COMPARATIVE JURISPRUDENCE, AND THE LIMITS OF LEGAL REFORM</w:t>
      </w:r>
      <w:bookmarkEnd w:id="41"/>
    </w:p>
    <w:p w14:paraId="195F0178" w14:textId="77777777" w:rsidR="00626AD9" w:rsidRDefault="00626AD9" w:rsidP="00626AD9">
      <w:pPr>
        <w:pStyle w:val="Heading2"/>
      </w:pPr>
      <w:bookmarkStart w:id="42" w:name="_Toc231382991"/>
      <w:r>
        <w:t>3.1 Introduction: The Gap between Legal Text and Lived Reality</w:t>
      </w:r>
      <w:bookmarkEnd w:id="42"/>
    </w:p>
    <w:p w14:paraId="6CC826D1" w14:textId="69DBB272" w:rsidR="00626AD9" w:rsidRDefault="00626AD9" w:rsidP="00626AD9">
      <w:pPr>
        <w:spacing w:after="220" w:line="360" w:lineRule="auto"/>
      </w:pPr>
      <w:r>
        <w:t>Chapter Two established the normative architecture: a progressive constitutional framework, binding international obligations, and a regional treaty whose guarantees are among the most explicit on the African continent. This chapter asks the harder question: why, given this architecture, does the implementation gap persist? It answers Research Questions Two, Three, and Four</w:t>
      </w:r>
      <w:r w:rsidR="00343626">
        <w:t xml:space="preserve">; </w:t>
      </w:r>
      <w:r>
        <w:t>the barriers preventing access for marginali</w:t>
      </w:r>
      <w:r w:rsidR="00903973">
        <w:t>z</w:t>
      </w:r>
      <w:r>
        <w:t>ed groups, the cultural, economic, and social influences on reproductive health rights, and the effectiveness of current interventions. It does so through three analytical movements: a systematic examination of the barriers that prevent the legal framework from translating into equitable access; an analysis of Kenya’s landmark judicial decisions as both evidence of those barriers and as attempts to address them; and a comparative assessment of Kenya’s jurisprudence against international standards. The chapter demonstrates that the barriers are structural, multi-dimensional, and resistant to judicial correction alone</w:t>
      </w:r>
      <w:r w:rsidR="00903973">
        <w:t>;</w:t>
      </w:r>
      <w:r w:rsidR="00343626">
        <w:t xml:space="preserve"> </w:t>
      </w:r>
      <w:r>
        <w:t>a finding that drives the reform agenda in Chapter Four.</w:t>
      </w:r>
    </w:p>
    <w:p w14:paraId="5586120A" w14:textId="096C395D" w:rsidR="00626AD9" w:rsidRDefault="00626AD9" w:rsidP="00626AD9">
      <w:pPr>
        <w:pStyle w:val="Heading2"/>
      </w:pPr>
      <w:bookmarkStart w:id="43" w:name="_Toc231382992"/>
      <w:r>
        <w:t>3.2 Barriers Preventing Access to Reproductive Health Services for Marginali</w:t>
      </w:r>
      <w:r w:rsidR="00903973">
        <w:t>z</w:t>
      </w:r>
      <w:r>
        <w:t>ed Groups</w:t>
      </w:r>
      <w:bookmarkEnd w:id="43"/>
    </w:p>
    <w:p w14:paraId="136EFC0D" w14:textId="77777777" w:rsidR="00626AD9" w:rsidRPr="00626AD9" w:rsidRDefault="00626AD9" w:rsidP="007868D7">
      <w:pPr>
        <w:spacing w:line="360" w:lineRule="auto"/>
        <w:rPr>
          <w:b/>
        </w:rPr>
      </w:pPr>
      <w:r w:rsidRPr="00626AD9">
        <w:rPr>
          <w:b/>
        </w:rPr>
        <w:t>3.2.1 Legal and Regulatory Barriers</w:t>
      </w:r>
    </w:p>
    <w:p w14:paraId="50CE8924" w14:textId="77777777" w:rsidR="007868D7" w:rsidRDefault="00626AD9" w:rsidP="007868D7">
      <w:pPr>
        <w:spacing w:after="220" w:line="360" w:lineRule="auto"/>
      </w:pPr>
      <w:r>
        <w:t>The most fundamental legal barrier is the unresolved conflict between Article 26(4) of the Constitution and Sections 158-160 of the Penal Code. Article 26(4) permits abortion in defined circumstances; Sections 158-160 criminali</w:t>
      </w:r>
      <w:r w:rsidR="00903973">
        <w:t>z</w:t>
      </w:r>
      <w:r>
        <w:t xml:space="preserve">e the procurement of a miscarriage without qualification for those circumstances. Under Article 2 of the Constitution, constitutional provisions prevail over inconsistent statutory provisions. Yet no Supreme Court determination of this inconsistency has been made, and Parliament has not amended the Penal Code. </w:t>
      </w:r>
    </w:p>
    <w:p w14:paraId="23C84036" w14:textId="6B4F0061" w:rsidR="00626AD9" w:rsidRDefault="00626AD9" w:rsidP="00626AD9">
      <w:pPr>
        <w:spacing w:after="220" w:line="360" w:lineRule="auto"/>
      </w:pPr>
      <w:r>
        <w:t xml:space="preserve">Healthcare providers thus operate in genuine legal uncertainty: performing an abortion that Article 26(4) clearly permits may still expose them to criminal prosecution. Osur et al. document empirically </w:t>
      </w:r>
      <w:r w:rsidR="00903973">
        <w:t xml:space="preserve">provides </w:t>
      </w:r>
      <w:r>
        <w:t>that most providers respond to this uncertainty by refusing all abortion-related care, even in constitutionally permitted circumstances.1 The Penal Code contradiction does not merely coexist with the constitutional permission — it actively nullifies it.</w:t>
      </w:r>
    </w:p>
    <w:p w14:paraId="05059C88" w14:textId="77777777" w:rsidR="00343626" w:rsidRDefault="00626AD9" w:rsidP="00626AD9">
      <w:pPr>
        <w:spacing w:after="220" w:line="360" w:lineRule="auto"/>
      </w:pPr>
      <w:r>
        <w:t>The 2012 withdrawal of the Ministry of Health’s Standards and Guidelines on Safe Abortion and the Training Curriculum for Health Providers on Safe Abortion Care compounded this barrier. The guidelines had provided providers with the legal certainty and professional protection necessary to offer constitutionally authori</w:t>
      </w:r>
      <w:r w:rsidR="00903973">
        <w:t>z</w:t>
      </w:r>
      <w:r>
        <w:t xml:space="preserve">ed services. Their withdrawal without replacement created what the High Court in FIDA-Kenya &amp; CRR described as a chilling effect — a climate of legal uncertainty so pervasive that providers were deterred from offering services they were legally entitled to provide.2 </w:t>
      </w:r>
    </w:p>
    <w:p w14:paraId="54542804" w14:textId="2C599DC0" w:rsidR="00626AD9" w:rsidRDefault="00626AD9" w:rsidP="00626AD9">
      <w:pPr>
        <w:spacing w:after="220" w:line="360" w:lineRule="auto"/>
      </w:pPr>
      <w:r>
        <w:t>Zampas and Gher, in their article “Abortion as a Human Right,” document the same phenomenon across multiple jurisdictions: regulatory silence functions as effective prohibition even where no explicit ban exists.3 The absence of the Reproductive Healthcare Bill further entrenches this regulatory vacuum, leaving Article 26(4) without the statutory framework that would give it operational content.</w:t>
      </w:r>
    </w:p>
    <w:p w14:paraId="3B8FF779" w14:textId="1D698575" w:rsidR="00626AD9" w:rsidRPr="00626AD9" w:rsidRDefault="00626AD9" w:rsidP="007868D7">
      <w:pPr>
        <w:spacing w:line="360" w:lineRule="auto"/>
        <w:rPr>
          <w:b/>
        </w:rPr>
      </w:pPr>
      <w:r w:rsidRPr="00626AD9">
        <w:rPr>
          <w:b/>
        </w:rPr>
        <w:t>3.2.2 Barriers Specific to Marginali</w:t>
      </w:r>
      <w:r w:rsidR="0076278A">
        <w:rPr>
          <w:b/>
        </w:rPr>
        <w:t>z</w:t>
      </w:r>
      <w:r w:rsidRPr="00626AD9">
        <w:rPr>
          <w:b/>
        </w:rPr>
        <w:t>ed Groups</w:t>
      </w:r>
    </w:p>
    <w:p w14:paraId="1D15A484" w14:textId="4F839B28" w:rsidR="00626AD9" w:rsidRDefault="00626AD9" w:rsidP="007868D7">
      <w:pPr>
        <w:spacing w:after="220" w:line="360" w:lineRule="auto"/>
      </w:pPr>
      <w:r>
        <w:t>Adolescents face compounded barriers that are qualitatively distinct from those faced by adult women. Chandra-Mouli et al., in their article “Contraception for Adolescents in Low and Middle Income Countries,” found that provider judgmentalism</w:t>
      </w:r>
      <w:r w:rsidR="00343626">
        <w:t xml:space="preserve">; </w:t>
      </w:r>
      <w:r>
        <w:t>the refusal to provide contraceptive services to unmarried adolescents on moral grounds</w:t>
      </w:r>
      <w:r w:rsidR="00343626">
        <w:t xml:space="preserve">; </w:t>
      </w:r>
      <w:r>
        <w:t>is an independent and significant barrier operating entirely apart from legal frameworks.4 This provider judgmentalism is reinforced by age-based gatekeeping: requirements of parental consent or notification deter adolescents from seeking care, and the fear of school notification</w:t>
      </w:r>
      <w:r w:rsidR="00343626">
        <w:t>;</w:t>
      </w:r>
      <w:r>
        <w:t xml:space="preserve"> illustrated starkly by the PAK case, where authorities informed PAK’s school of the criminal proceedings against her</w:t>
      </w:r>
      <w:r w:rsidR="00343626">
        <w:t xml:space="preserve">; </w:t>
      </w:r>
      <w:r>
        <w:t>functions as a powerful deterrent. The KDHS 2022 confirms that adolescent pregnancy rates remain persistently high, concentrated in rural and low-income communities where these compounded barriers are most acute.5</w:t>
      </w:r>
    </w:p>
    <w:p w14:paraId="62552156" w14:textId="2C4ABB7F" w:rsidR="00626AD9" w:rsidRDefault="00626AD9" w:rsidP="00626AD9">
      <w:pPr>
        <w:spacing w:after="220" w:line="360" w:lineRule="auto"/>
      </w:pPr>
      <w:r>
        <w:t xml:space="preserve">Rural women face geographical deprivation, infrastructure deficits, and county-level inequities that are documented with precision in the APHRC’s research on barriers to reproductive health in rural Kenya.6 Modern contraceptive prevalence varies threefold between counties </w:t>
      </w:r>
      <w:r w:rsidR="00343626">
        <w:t>;</w:t>
      </w:r>
      <w:r>
        <w:t xml:space="preserve"> above 60 per cent in some Nairobi sub-counties, below 20 per cent in several arid and semi-arid regions. Survivors of sexual violence face the intersection of trauma, stigma, and legal uncertainty: the circumstances that Article 26(4) and Article 14 of the Maputo Protocol most explicitly address are precisely the circumstances in which access barriers are most severe. Persons with disabilities are effectively invisible in reproductive health policy and service design</w:t>
      </w:r>
      <w:r w:rsidR="00343626">
        <w:t xml:space="preserve">, </w:t>
      </w:r>
      <w:r>
        <w:t>an invisibility that itself constitutes a violation of Articles 27 and 43(1)(a) of the Constitution. Women living in poverty face out-of-pocket costs that render private services inaccessible and public services inadequate.</w:t>
      </w:r>
    </w:p>
    <w:p w14:paraId="76ECC1B9" w14:textId="77777777" w:rsidR="00626AD9" w:rsidRPr="00626AD9" w:rsidRDefault="00626AD9" w:rsidP="007868D7">
      <w:pPr>
        <w:spacing w:line="360" w:lineRule="auto"/>
        <w:rPr>
          <w:b/>
        </w:rPr>
      </w:pPr>
      <w:r w:rsidRPr="00626AD9">
        <w:rPr>
          <w:b/>
        </w:rPr>
        <w:t>3.2.3 Institutional Barriers</w:t>
      </w:r>
    </w:p>
    <w:p w14:paraId="2273CC85" w14:textId="386C9EF6" w:rsidR="003D2CE7" w:rsidRDefault="00626AD9" w:rsidP="007868D7">
      <w:pPr>
        <w:spacing w:after="220" w:line="360" w:lineRule="auto"/>
      </w:pPr>
      <w:r>
        <w:t>Provider refusal to offer legal services</w:t>
      </w:r>
      <w:r w:rsidR="00343626">
        <w:t xml:space="preserve">, </w:t>
      </w:r>
      <w:r>
        <w:t>whether framed as conscientious objection or as instituti</w:t>
      </w:r>
      <w:r w:rsidR="00343626">
        <w:t>o</w:t>
      </w:r>
      <w:r>
        <w:t>nal moral disapproval</w:t>
      </w:r>
      <w:r w:rsidR="00343626">
        <w:t xml:space="preserve">, </w:t>
      </w:r>
      <w:r>
        <w:t xml:space="preserve">operates as informal gatekeeping that renders legal rights practically inaccessible. Zampas and Gher argue that this constitutes a form of discrimination: where providers refuse legal services on moral grounds without ensuring patients are referred to willing providers, they convert their personal moral preferences into structural barriers to constitutional rights.7 </w:t>
      </w:r>
    </w:p>
    <w:p w14:paraId="73D0BC1B" w14:textId="0E1DA5F1" w:rsidR="00626AD9" w:rsidRDefault="00626AD9" w:rsidP="00626AD9">
      <w:pPr>
        <w:spacing w:after="220" w:line="360" w:lineRule="auto"/>
      </w:pPr>
      <w:r>
        <w:t>Murungi and Galati, in their article “Is the Right to Health Justiciable?,” observe that institutional barriers of this kind are among the most difficult to address through legal reform alone, because they operate at the level of professional culture and individual discretion rather than at the level of legal rules.8 Inadequate training of healthcare professionals on non-discriminatory reproductive care, weak accountability mechanisms, and fragmented policy implementation across counties compound these institutional failures.</w:t>
      </w:r>
    </w:p>
    <w:p w14:paraId="29CD5936" w14:textId="5B203A86" w:rsidR="00626AD9" w:rsidRDefault="00626AD9" w:rsidP="00626AD9">
      <w:pPr>
        <w:pStyle w:val="Heading2"/>
      </w:pPr>
      <w:bookmarkStart w:id="44" w:name="_Toc231382993"/>
      <w:r>
        <w:t>3.3 Cultural, Economic, and Social Influences on the Reali</w:t>
      </w:r>
      <w:r w:rsidR="003D2CE7">
        <w:t>z</w:t>
      </w:r>
      <w:r>
        <w:t>ation of Reproductive Health Rights</w:t>
      </w:r>
      <w:bookmarkEnd w:id="44"/>
    </w:p>
    <w:p w14:paraId="45E43AC4" w14:textId="77777777" w:rsidR="00626AD9" w:rsidRPr="00626AD9" w:rsidRDefault="00626AD9" w:rsidP="007868D7">
      <w:pPr>
        <w:spacing w:line="360" w:lineRule="auto"/>
        <w:rPr>
          <w:b/>
        </w:rPr>
      </w:pPr>
      <w:r w:rsidRPr="00626AD9">
        <w:rPr>
          <w:b/>
        </w:rPr>
        <w:t>3.3.1 Cultural Norms, Stigma, and Provider Attitudes</w:t>
      </w:r>
    </w:p>
    <w:p w14:paraId="0DB1F811" w14:textId="77777777" w:rsidR="003D2CE7" w:rsidRDefault="00626AD9" w:rsidP="007868D7">
      <w:pPr>
        <w:spacing w:after="220" w:line="360" w:lineRule="auto"/>
      </w:pPr>
      <w:r>
        <w:t xml:space="preserve">Kamau, in her article “Social and Cultural Factors Affecting Reproductive Health in Kenya,” documents how deeply embedded cultural norms around fertility, gender roles, and sexuality shape both community attitudes toward reproductive health services and the attitudes of healthcare providers toward their patients.9 Contraception is stigmatized in many communities as an indication of sexual promiscuity; abortion is treated as a moral transgression rather than a healthcare need; and adolescent sexuality is denied or condemned rather than addressed through education and access to services. </w:t>
      </w:r>
    </w:p>
    <w:p w14:paraId="5FAF5C59" w14:textId="4F79C61C" w:rsidR="00626AD9" w:rsidRDefault="00626AD9" w:rsidP="00626AD9">
      <w:pPr>
        <w:spacing w:after="220" w:line="360" w:lineRule="auto"/>
      </w:pPr>
      <w:r>
        <w:t>These cultural dynamics deter individuals from seeking care even where services are technically available, and they shape provider behav</w:t>
      </w:r>
      <w:r w:rsidR="003D2CE7">
        <w:t>i</w:t>
      </w:r>
      <w:r>
        <w:t>our in ways that legal reform cannot directly reach. Religious and community pressure against the Reproductive Healthcare Bill represents the political manifestation of these cultural dynamics: conservative religious organizations have successfully framed reproductive health legislation as a moral threat, mobilizing political resistance that has blocked legislative reform for more than five years.</w:t>
      </w:r>
    </w:p>
    <w:p w14:paraId="6576B8CB" w14:textId="77777777" w:rsidR="00626AD9" w:rsidRPr="00626AD9" w:rsidRDefault="00626AD9" w:rsidP="007868D7">
      <w:pPr>
        <w:spacing w:line="360" w:lineRule="auto"/>
        <w:rPr>
          <w:b/>
        </w:rPr>
      </w:pPr>
      <w:r w:rsidRPr="00626AD9">
        <w:rPr>
          <w:b/>
        </w:rPr>
        <w:t>3.3.2 Economic Determinants of Reproductive Health Access</w:t>
      </w:r>
    </w:p>
    <w:p w14:paraId="5009415E" w14:textId="77777777" w:rsidR="003D2CE7" w:rsidRDefault="00626AD9" w:rsidP="007868D7">
      <w:pPr>
        <w:spacing w:after="220" w:line="360" w:lineRule="auto"/>
      </w:pPr>
      <w:r>
        <w:t>The KDHS 2022 documents a stark wealth-access correlation: women in the highest income quintile are significantly more likely to deliver in a health facility, use modern contraception, and receive antenatal care than women in the lowest quintile.10 This correlation is not incidental; it reflects the chronic underfunding of reproductive health in Kenya’s public health budget, the concentration of quality services in urban private facilities, and the out-of-pocket costs that exclude low-income women from accessing services to which the Constitution entitles them.</w:t>
      </w:r>
    </w:p>
    <w:p w14:paraId="169C2442" w14:textId="2AB04109" w:rsidR="00626AD9" w:rsidRDefault="00626AD9" w:rsidP="00626AD9">
      <w:pPr>
        <w:spacing w:after="220" w:line="360" w:lineRule="auto"/>
      </w:pPr>
      <w:r>
        <w:t xml:space="preserve"> Hunt and Khosla, in their article “The Human Right to Medicines,” argue that access to essential health commodities</w:t>
      </w:r>
      <w:r w:rsidR="00343626">
        <w:t xml:space="preserve">; </w:t>
      </w:r>
      <w:r>
        <w:t>including contraceptives and medicines for reproductive health</w:t>
      </w:r>
      <w:r w:rsidR="00343626">
        <w:t>;</w:t>
      </w:r>
      <w:r>
        <w:t xml:space="preserve"> is itself a component of the right to health that States are obliged to guarantee without discrimination.11 Economic inequality in reproductive health access is not merely a development challenge; it is a constitutional non-discrimination problem under Articles 27 and 43(1)(a).</w:t>
      </w:r>
    </w:p>
    <w:p w14:paraId="7F27A9A7" w14:textId="77777777" w:rsidR="00626AD9" w:rsidRPr="00626AD9" w:rsidRDefault="00626AD9" w:rsidP="007868D7">
      <w:pPr>
        <w:spacing w:line="360" w:lineRule="auto"/>
        <w:rPr>
          <w:b/>
        </w:rPr>
      </w:pPr>
      <w:r w:rsidRPr="00626AD9">
        <w:rPr>
          <w:b/>
        </w:rPr>
        <w:t>3.3.3 Social Determinants and the SDH Framework in Practice</w:t>
      </w:r>
    </w:p>
    <w:p w14:paraId="4C9A2BEF" w14:textId="60861575" w:rsidR="003D2CE7" w:rsidRDefault="00626AD9" w:rsidP="007868D7">
      <w:pPr>
        <w:spacing w:after="220" w:line="360" w:lineRule="auto"/>
      </w:pPr>
      <w:r>
        <w:t>The SDH framework established in Chapter Two gives analytical weight to these cultural and economic dimensions as legal accountability questions rather than as merely sociological context. Low reproductive health literacy</w:t>
      </w:r>
      <w:r w:rsidR="003D2CE7">
        <w:t xml:space="preserve">, </w:t>
      </w:r>
      <w:r>
        <w:t>particularly among adolescent girls in rural areas</w:t>
      </w:r>
      <w:r w:rsidR="003D2CE7">
        <w:t>,</w:t>
      </w:r>
      <w:r>
        <w:t xml:space="preserve"> undermines the informed decision-making that is the foundation of reproductive autonomy. Gender inequality operates as a structural determinant that legal reform alone cannot cure: where women lack economic independence, social agency, and freedom from partner and family coercion, their formal legal rights to reproductive health are meaningless in practice. </w:t>
      </w:r>
    </w:p>
    <w:p w14:paraId="2FA455EB" w14:textId="6F8791A5" w:rsidR="00626AD9" w:rsidRDefault="00626AD9" w:rsidP="00626AD9">
      <w:pPr>
        <w:spacing w:after="220" w:line="360" w:lineRule="auto"/>
      </w:pPr>
      <w:r>
        <w:t>The compounding effect of intersecting marginalizations</w:t>
      </w:r>
      <w:r w:rsidR="00343626">
        <w:t xml:space="preserve">; </w:t>
      </w:r>
      <w:r>
        <w:t>adolescent, rural, low-income, survivor of sexual violence</w:t>
      </w:r>
      <w:r w:rsidR="00343626">
        <w:t>;</w:t>
      </w:r>
      <w:r>
        <w:t xml:space="preserve"> produces patterns of reproductive health deprivation that are more severe than any single dimension alone would suggest. PAK embodied this compounding: young, rural, low-income, and a minor in a system that criminali</w:t>
      </w:r>
      <w:r w:rsidR="003D2CE7">
        <w:t>z</w:t>
      </w:r>
      <w:r>
        <w:t>ed her care rather than protecting her.</w:t>
      </w:r>
    </w:p>
    <w:p w14:paraId="4E80E1BA" w14:textId="77777777" w:rsidR="00626AD9" w:rsidRDefault="00626AD9" w:rsidP="00626AD9">
      <w:pPr>
        <w:pStyle w:val="Heading2"/>
      </w:pPr>
      <w:bookmarkStart w:id="45" w:name="_Toc231382994"/>
      <w:r>
        <w:t>3.4 Kenya’s Reproductive Health Jurisprudence: Three Landmark Cases</w:t>
      </w:r>
      <w:bookmarkEnd w:id="45"/>
    </w:p>
    <w:p w14:paraId="41606FBE" w14:textId="77777777" w:rsidR="00626AD9" w:rsidRPr="00626AD9" w:rsidRDefault="00626AD9" w:rsidP="00C9765D">
      <w:pPr>
        <w:pStyle w:val="Heading2"/>
      </w:pPr>
      <w:bookmarkStart w:id="46" w:name="_Toc231382995"/>
      <w:r w:rsidRPr="00626AD9">
        <w:t>3.4.1 JMM v Attorney General &amp; Others [2018] eKLR</w:t>
      </w:r>
      <w:bookmarkEnd w:id="46"/>
    </w:p>
    <w:p w14:paraId="5E3BA205" w14:textId="791F6709" w:rsidR="003D2CE7" w:rsidRDefault="00626AD9" w:rsidP="007868D7">
      <w:pPr>
        <w:spacing w:after="220" w:line="360" w:lineRule="auto"/>
      </w:pPr>
      <w:r>
        <w:t>JMM was a fourteen-year-old survivor of defilement who, denied access to lawful abortion services by the legal uncertainty and provider reluctance documented above, resorted to an unsafe clandestine procedure. When she presented at a public hospital in medical distress she was denied care, harassed, arbitrarily detained, and reported to the police.12 The High Court held that these actions violated her right to health under Article 43(1)(a)</w:t>
      </w:r>
      <w:r w:rsidR="00343626">
        <w:t>,</w:t>
      </w:r>
      <w:r>
        <w:t xml:space="preserve">confirming that reproductive health is a justiciable, immediately enforceable constitutional entitlement and that the State bears positive obligations to develop guidelines, train providers, and allocate resources. </w:t>
      </w:r>
    </w:p>
    <w:p w14:paraId="2BAB9754" w14:textId="44502AAF" w:rsidR="00626AD9" w:rsidRDefault="00626AD9" w:rsidP="00626AD9">
      <w:pPr>
        <w:spacing w:after="220" w:line="360" w:lineRule="auto"/>
      </w:pPr>
      <w:r>
        <w:t>The court further held that the denial of emergency post-abortion care crossed the Article 25(a) threshold of cruel and inhuman treatment</w:t>
      </w:r>
      <w:r w:rsidR="003D2CE7">
        <w:t>,</w:t>
      </w:r>
      <w:r>
        <w:t xml:space="preserve"> a non-derogable right that cannot be limited even where the patient is suspected of a criminal offence. JMM established that the minimum core of Article 43(1)(a) includes post-abortion care irrespective of how the pregnancy was terminated, and that the State’s failure to maintain the institutional infrastructure for lawful reproductive healthcare is itself a constitutional wrong.</w:t>
      </w:r>
    </w:p>
    <w:p w14:paraId="70D93A0B" w14:textId="77777777" w:rsidR="00626AD9" w:rsidRPr="00626AD9" w:rsidRDefault="00626AD9" w:rsidP="00C9765D">
      <w:pPr>
        <w:pStyle w:val="Heading2"/>
      </w:pPr>
      <w:bookmarkStart w:id="47" w:name="_Toc231382996"/>
      <w:r w:rsidRPr="00626AD9">
        <w:t>3.4.2 FIDA-Kenya &amp; CRR v Attorney General &amp; Others [2019] eKLR</w:t>
      </w:r>
      <w:bookmarkEnd w:id="47"/>
    </w:p>
    <w:p w14:paraId="6C1C604D" w14:textId="77777777" w:rsidR="003D2CE7" w:rsidRDefault="00626AD9" w:rsidP="007868D7">
      <w:pPr>
        <w:spacing w:after="220" w:line="360" w:lineRule="auto"/>
      </w:pPr>
      <w:r>
        <w:t xml:space="preserve">The FIDA-Kenya and CRR case challenged the 2012 withdrawal of the Ministry of Health’s safe abortion guidelines. The High Court held the withdrawal unconstitutional, introducing the chilling effect doctrine to Kenyan reproductive health jurisprudence: even without an explicit prohibition, the withdrawal of guidelines created a climate of legal uncertainty that deterred providers from offering lawful services, functionally rendering the Article 26(4) permission inaccessible.13 </w:t>
      </w:r>
    </w:p>
    <w:p w14:paraId="5894B19B" w14:textId="22594285" w:rsidR="00626AD9" w:rsidRDefault="00626AD9" w:rsidP="00626AD9">
      <w:pPr>
        <w:spacing w:after="220" w:line="360" w:lineRule="auto"/>
      </w:pPr>
      <w:r>
        <w:t>The court found simultaneous violations of Articles 43(1)(a), 26(4), 27, 28, and 26</w:t>
      </w:r>
      <w:r w:rsidR="003D2CE7">
        <w:t xml:space="preserve">, </w:t>
      </w:r>
      <w:r>
        <w:t>establishing that reproductive health rights are interconnected with the full constitutional order and that a single policy decision can simultaneously violate multiple fundamental rights. Critically, the court held that the State bears a positive obligation not merely to refrain from direct interference but to maintain the regulatory infrastructure that makes constitutional rights exercisable in practice. Regulatory destruction is itself a constitutional wrong.</w:t>
      </w:r>
    </w:p>
    <w:p w14:paraId="5B6E59A7" w14:textId="77777777" w:rsidR="00626AD9" w:rsidRPr="00626AD9" w:rsidRDefault="00626AD9" w:rsidP="00C9765D">
      <w:pPr>
        <w:pStyle w:val="Heading2"/>
      </w:pPr>
      <w:bookmarkStart w:id="48" w:name="_Toc231382997"/>
      <w:r w:rsidRPr="00626AD9">
        <w:t>3.4.3 PAK &amp; Salim Mohammed v Attorney General &amp; Others [2022] eKLR and the Court of Appeal (2026)</w:t>
      </w:r>
      <w:bookmarkEnd w:id="48"/>
    </w:p>
    <w:p w14:paraId="6B1EFC61" w14:textId="6E614DA3" w:rsidR="003D2CE7" w:rsidRDefault="00626AD9" w:rsidP="007868D7">
      <w:pPr>
        <w:spacing w:after="220" w:line="360" w:lineRule="auto"/>
      </w:pPr>
      <w:r>
        <w:t>PAK was a sixteen-year-old Form Two student who presented at Chamalo Medical Clinic in Kilifi County in September 2019 suffering complications from a spontaneous abortion. Salim Mohammed, a registered clinical officer, performed a manual vacuum evacuation</w:t>
      </w:r>
      <w:r w:rsidR="00343626">
        <w:t>,</w:t>
      </w:r>
      <w:r>
        <w:t xml:space="preserve"> clinically appropriate and constitutionally authorized. Two days later, plain-clothed police officers arrested both patient and provider, confiscated medical records, denied PAK further care for two days, compelled her to sign a police statement without legal representation, subjected her to a medical examination without consent, charged her under Section 159 of the Penal Code, remanded her to a juvenile facility for over a month, and notified her school of the criminal proceedings.14 </w:t>
      </w:r>
    </w:p>
    <w:p w14:paraId="33724D69" w14:textId="5559A515" w:rsidR="00626AD9" w:rsidRDefault="00626AD9" w:rsidP="00626AD9">
      <w:pPr>
        <w:spacing w:after="220" w:line="360" w:lineRule="auto"/>
      </w:pPr>
      <w:r>
        <w:t>The Malindi High Court’s March 2022 judgment was historic: it was the first Kenyan court to hold expressly that abortion care is a fundamental constitutional right; it held that patient-provider confidentiality is constitutionally protected; that compelled medical examination of reproductive health patients is unconstitutional; that the Penal Code’s misalignment with the Constitution impairs women’s reproductive rights; and it directed Parliament to fast-track legislation giving effect to Article 26(4).15</w:t>
      </w:r>
    </w:p>
    <w:p w14:paraId="07EBB7C9" w14:textId="51568A7C" w:rsidR="003D2CE7" w:rsidRDefault="00626AD9" w:rsidP="00626AD9">
      <w:pPr>
        <w:spacing w:after="220" w:line="360" w:lineRule="auto"/>
      </w:pPr>
      <w:r>
        <w:t xml:space="preserve">The State appealed. Two consolidated appeals </w:t>
      </w:r>
      <w:r w:rsidR="00343626">
        <w:t xml:space="preserve">; </w:t>
      </w:r>
      <w:r>
        <w:t>AG &amp; Others v PAK &amp; Another (Civil Appeal No E030 of 2022) and Ann Kioko and Kenya Christian Professionals Forum v PAK &amp; Others (Civil Appeal No E029 of 2022)</w:t>
      </w:r>
      <w:r w:rsidR="00343626">
        <w:t>;</w:t>
      </w:r>
      <w:r>
        <w:t xml:space="preserve"> were heard by the Court of Appeal, Malindi, before Justices Gatembu Kairu, Grace Ngenye, and Kibaya Laibuta on 6 October 2025. KELIN, FIDA-Kenya, Women’s Link Worldwide, the Law Society of Kenya, and the International Federation of Gynaecology and Obstetrics participated as amici curiae.</w:t>
      </w:r>
    </w:p>
    <w:p w14:paraId="431084A5" w14:textId="25F89281" w:rsidR="00626AD9" w:rsidRDefault="00626AD9" w:rsidP="00626AD9">
      <w:pPr>
        <w:spacing w:after="220" w:line="360" w:lineRule="auto"/>
      </w:pPr>
      <w:r>
        <w:t xml:space="preserve"> The Court of Appeal delivered its judgment on 27 March 2026</w:t>
      </w:r>
      <w:r w:rsidR="003D2CE7">
        <w:t>,</w:t>
      </w:r>
      <w:r>
        <w:t xml:space="preserve"> the most consequential appellate ruling in Kenyan reproductive health history.16 The State’s decision to appeal a ruling that protected a sixteen-year-old girl and her clinician is itself the most powerful evidence this study can offer that the implementation gap is sustained by deliberate political choice, not inadvertence.</w:t>
      </w:r>
    </w:p>
    <w:p w14:paraId="6BBD7D10" w14:textId="6A078226" w:rsidR="00626AD9" w:rsidRDefault="00626AD9" w:rsidP="002D02F3">
      <w:pPr>
        <w:rPr>
          <w:b/>
        </w:rPr>
      </w:pPr>
      <w:r w:rsidRPr="002D02F3">
        <w:rPr>
          <w:b/>
        </w:rPr>
        <w:t>3.4.4 Reading the Three Cases Together: Five Constitutional Propositions</w:t>
      </w:r>
    </w:p>
    <w:p w14:paraId="3D18D90D" w14:textId="77777777" w:rsidR="002D02F3" w:rsidRPr="002D02F3" w:rsidRDefault="002D02F3" w:rsidP="002D02F3">
      <w:pPr>
        <w:rPr>
          <w:b/>
        </w:rPr>
      </w:pPr>
    </w:p>
    <w:p w14:paraId="5F73C7D2" w14:textId="552481CB" w:rsidR="00626AD9" w:rsidRDefault="00626AD9" w:rsidP="007868D7">
      <w:pPr>
        <w:spacing w:after="220" w:line="360" w:lineRule="auto"/>
      </w:pPr>
      <w:r>
        <w:t>Read together, the three cases establish five foundational constitutional propositions. First, reproductive health rights are justiciable entitlements under Article 43(1)(a), not aspirational policy goals. Second, the State bears positive obligations</w:t>
      </w:r>
      <w:r w:rsidR="00343626">
        <w:t xml:space="preserve">; </w:t>
      </w:r>
      <w:r>
        <w:t>to develop guidelines, train providers, allocate resources, and maintain an enabling regulatory environment</w:t>
      </w:r>
      <w:r w:rsidR="00343626">
        <w:t xml:space="preserve">; </w:t>
      </w:r>
      <w:r>
        <w:t>and the failure to discharge those obligations is a constitutional wrong. Third, the misalignment between the Penal Code and the Constitution is not a tolerable legislative gap but an unconstitutional impairment of women’s reproductive rights. Fourth, reproductive health rights are deeply interconnected with life, dignity, equality, patient-provider confidentiality, and freedom from cruel and inhuman treatment</w:t>
      </w:r>
      <w:r w:rsidR="00343626">
        <w:t xml:space="preserve">, </w:t>
      </w:r>
      <w:r>
        <w:t>they cannot be compartmentalized as a sub-category of health policy. Fifth, Parliament bears an enforceable constitutional obligation to legislate, and its sustained failure to do so is a dereliction of constitutional duty.</w:t>
      </w:r>
    </w:p>
    <w:p w14:paraId="77C5AA9D" w14:textId="77777777" w:rsidR="00626AD9" w:rsidRDefault="00626AD9" w:rsidP="00626AD9">
      <w:pPr>
        <w:pStyle w:val="Heading2"/>
      </w:pPr>
      <w:bookmarkStart w:id="49" w:name="_Toc231382998"/>
      <w:r>
        <w:t>3.5 Effectiveness of Current Interventions and Policies</w:t>
      </w:r>
      <w:bookmarkEnd w:id="49"/>
    </w:p>
    <w:p w14:paraId="752F3561" w14:textId="625CD69B" w:rsidR="00626AD9" w:rsidRDefault="00626AD9" w:rsidP="00626AD9">
      <w:pPr>
        <w:spacing w:after="220" w:line="360" w:lineRule="auto"/>
      </w:pPr>
      <w:r>
        <w:t>Judicial intervention has been progressive and doctrinally significant, but insufficient to produce durable change. JMM was decided in 2018; PAK was arrested in September 2019. The structural conditions that produced JMM’s experience</w:t>
      </w:r>
      <w:r w:rsidR="00343626">
        <w:t xml:space="preserve">; </w:t>
      </w:r>
      <w:r>
        <w:t>absent guidelines, provider uncertainty, police-hospital nexus</w:t>
      </w:r>
      <w:r w:rsidR="00343626">
        <w:t xml:space="preserve">; </w:t>
      </w:r>
      <w:r>
        <w:t>had not been addressed in the intervening year. Yamin, in Power, Suffering, and the Struggle for Dignity, documents this pattern across multiple jurisdictions: litigation victories produce constitutional precedents but rarely translate into sustained improvements in healthcare access without legislative and institutional follow-through.17 Kenya confirms this analysis precisely.</w:t>
      </w:r>
    </w:p>
    <w:p w14:paraId="2F1FBD41" w14:textId="151881D9" w:rsidR="00626AD9" w:rsidRDefault="00626AD9" w:rsidP="00626AD9">
      <w:pPr>
        <w:spacing w:after="220" w:line="360" w:lineRule="auto"/>
      </w:pPr>
      <w:r>
        <w:t>Legislative and executive responses have been consistently inadequate. The Reproductive Healthcare Bill has not been enacted. The Ministry of Health’s guidelines have not been fully restored and operationalized. The Penal</w:t>
      </w:r>
      <w:r w:rsidR="00343626">
        <w:t xml:space="preserve"> </w:t>
      </w:r>
      <w:r>
        <w:t>Code has not been amended. The CEDAW Committee’s 2017 Concluding Observations</w:t>
      </w:r>
      <w:r w:rsidR="00343626">
        <w:t xml:space="preserve">; </w:t>
      </w:r>
      <w:r>
        <w:t>which expressed grave concern about maternal mortality and barriers to reproductive health access and urged Kenya to act with urgency</w:t>
      </w:r>
      <w:r w:rsidR="0079588B">
        <w:t>;</w:t>
      </w:r>
      <w:r>
        <w:t xml:space="preserve"> have not produced legislative action.18 Civil society interventions, through strategic litigation, advocacy, and shadow reporting, have partially compensated for State failure: FIDA-Kenya, the Centre for Reproductive Rights, KELIN, and Women’s Link Worldwide have kept reproductive health rights on the judicial and public agenda. But civil society cannot substitute for State action. The KDHS 2022 data is the ultimate measure of policy effectiveness and it documents persistent failure: high adolescent pregnancy rates, unsafe abortion as a leading cause of maternal mortality, threefold county-level variation in contraceptive access. These are not statistics; they are constitutional evidence of policy failure.</w:t>
      </w:r>
    </w:p>
    <w:p w14:paraId="6FAC398E" w14:textId="77777777" w:rsidR="00626AD9" w:rsidRDefault="00626AD9" w:rsidP="00626AD9">
      <w:pPr>
        <w:pStyle w:val="Heading2"/>
      </w:pPr>
      <w:bookmarkStart w:id="50" w:name="_Toc231382999"/>
      <w:r>
        <w:t>3.6 Comparative Jurisprudence: Kenya in Global Context</w:t>
      </w:r>
      <w:bookmarkEnd w:id="50"/>
    </w:p>
    <w:p w14:paraId="3D28FFB6" w14:textId="77777777" w:rsidR="00626AD9" w:rsidRPr="00626AD9" w:rsidRDefault="00626AD9" w:rsidP="007868D7">
      <w:pPr>
        <w:spacing w:line="360" w:lineRule="auto"/>
        <w:rPr>
          <w:b/>
        </w:rPr>
      </w:pPr>
      <w:r w:rsidRPr="00626AD9">
        <w:rPr>
          <w:b/>
        </w:rPr>
        <w:t>3.6.1 L.C. v Peru, K.L. v Peru, and Alyne da Silva Pimentel v Brazil</w:t>
      </w:r>
    </w:p>
    <w:p w14:paraId="059FDA04" w14:textId="75D850D1" w:rsidR="00B24FD8" w:rsidRDefault="00626AD9" w:rsidP="007868D7">
      <w:pPr>
        <w:spacing w:after="220" w:line="360" w:lineRule="auto"/>
      </w:pPr>
      <w:r>
        <w:t>The CEDAW Committee’s decision in L.C. v Peru (2011) involved a thirteen-year-old survivor of sexual abuse whose doctors delayed surgery because she was pregnant, and who was denied a therapeutic abortion to which she was legally entitled under Peruvian law.19 The Committee held that Peru had violated CEDAW by denying L.C. access to safe medical treatment and by prioriti</w:t>
      </w:r>
      <w:r w:rsidR="00B24FD8">
        <w:t>z</w:t>
      </w:r>
      <w:r>
        <w:t>ing foetal protection over the physical and mental health of the pregnant girl. The holding</w:t>
      </w:r>
      <w:r w:rsidR="0079588B">
        <w:t xml:space="preserve">, </w:t>
      </w:r>
      <w:r>
        <w:t>that the problem was not the law but its non-implementation</w:t>
      </w:r>
      <w:r w:rsidR="00B24FD8">
        <w:t>,</w:t>
      </w:r>
      <w:r>
        <w:t xml:space="preserve"> maps directly onto Kenya: Article 26(4) permits abortion in defined circumstances, but institutional failure and provider reluctance prevent that permission from translating into accessible services. </w:t>
      </w:r>
    </w:p>
    <w:p w14:paraId="68E6BE29" w14:textId="1AFD61DB" w:rsidR="00626AD9" w:rsidRDefault="00626AD9" w:rsidP="00626AD9">
      <w:pPr>
        <w:spacing w:after="220" w:line="360" w:lineRule="auto"/>
      </w:pPr>
      <w:r>
        <w:t>The Human Rights Committee’s decision in K.L. v Peru (2005) held that compelling a minor to continue a foetal anencephaly pregnancy constituted cruel, inhuman, and degrading treatment under Article 7 of the ICCPR, confirming that reproductive health rights have a non-derogable, immediately enforceable civil rights dimension.20 The CEDAW Committee’s decision in Alyne da Silva Pimentel v Brazil (2011) introduced intersectional analysis: Alyne’s preventable maternal death was attributable to the compounding of gender, race, and poverty in a health system that discriminated against Afro-Brazilian women.21 This intersectional framing is directly applicable to Kenya, where PAK’s experience combined youth, rural geography, and economic disadvantage.</w:t>
      </w:r>
    </w:p>
    <w:p w14:paraId="7C3FE7F3" w14:textId="77777777" w:rsidR="00B24FD8" w:rsidRDefault="00B24FD8" w:rsidP="00626AD9">
      <w:pPr>
        <w:rPr>
          <w:b/>
        </w:rPr>
      </w:pPr>
    </w:p>
    <w:p w14:paraId="771A0AF3" w14:textId="0FB2D567" w:rsidR="00626AD9" w:rsidRPr="00626AD9" w:rsidRDefault="00626AD9" w:rsidP="007868D7">
      <w:pPr>
        <w:spacing w:line="360" w:lineRule="auto"/>
        <w:rPr>
          <w:b/>
        </w:rPr>
      </w:pPr>
      <w:r w:rsidRPr="00626AD9">
        <w:rPr>
          <w:b/>
        </w:rPr>
        <w:t>3.6.2 South Africa, Uganda, and Tanzania: Regional Comparisons</w:t>
      </w:r>
    </w:p>
    <w:p w14:paraId="437BA364" w14:textId="77777777" w:rsidR="00B24FD8" w:rsidRDefault="00626AD9" w:rsidP="007868D7">
      <w:pPr>
        <w:spacing w:after="220" w:line="360" w:lineRule="auto"/>
      </w:pPr>
      <w:r>
        <w:t xml:space="preserve">South Africa’s Choice on Termination of Pregnancy Act, 1996 provides the most instructive regional comparison: it permits abortion on request in the first trimester, addresses provider obligations, and establishes a statutory framework that gives constitutional rights operational content.22 The contrast with Kenya is sharp: where South Africa resolved its constitutional-statutory tension through comprehensive legislation, Kenya has allowed it to persist for more than fifteen years. </w:t>
      </w:r>
    </w:p>
    <w:p w14:paraId="3D23073C" w14:textId="74DFAD7E" w:rsidR="00626AD9" w:rsidRDefault="00626AD9" w:rsidP="00626AD9">
      <w:pPr>
        <w:spacing w:after="220" w:line="360" w:lineRule="auto"/>
      </w:pPr>
      <w:r>
        <w:t>Uganda’s constitution and penal law maintain a more restrictive framework, criminali</w:t>
      </w:r>
      <w:r w:rsidR="00B24FD8">
        <w:t>z</w:t>
      </w:r>
      <w:r>
        <w:t>ing abortion except to save the life of the mother, demonstrating that the East African region contains both more and less progressive approaches than Kenya’s — and that Kenya’s constitutional framework is among the region’s most advanced, making its implementation failures all the more stark.23 Tanzania similarly retains criminal restrictions that are broader than Kenya’s Article 26(4) permission, reinforcing the finding that Kenya’s constitutional framework is progressive but that its practical operation places it alongside, rather than ahead of, its less progressive regional neighbours.</w:t>
      </w:r>
    </w:p>
    <w:p w14:paraId="03D9657D" w14:textId="77777777" w:rsidR="00626AD9" w:rsidRPr="00626AD9" w:rsidRDefault="00626AD9" w:rsidP="007868D7">
      <w:pPr>
        <w:spacing w:line="360" w:lineRule="auto"/>
        <w:rPr>
          <w:b/>
        </w:rPr>
      </w:pPr>
      <w:r w:rsidRPr="00626AD9">
        <w:rPr>
          <w:b/>
        </w:rPr>
        <w:t>3.6.3 Thematic Synthesis: Convergence and Divergence</w:t>
      </w:r>
    </w:p>
    <w:p w14:paraId="461713F9" w14:textId="77777777" w:rsidR="00626AD9" w:rsidRDefault="00626AD9" w:rsidP="007868D7">
      <w:pPr>
        <w:spacing w:after="220" w:line="360" w:lineRule="auto"/>
      </w:pPr>
      <w:r>
        <w:t>Kenya’s judicial trajectory converges with international standards in several respects: the recognition of reproductive health as justiciable, the articulation of positive State obligations, the application of the chilling effect doctrine, and the recognition of patient-provider confidentiality as constitutionally protected. Where Kenya diverges is in the implementation domain: the persistence of the Penal Code contradiction, the continued absence of comprehensive reproductive health legislation, and the State’s active resistance to judicial correction through the PAK appeal all place Kenya below the standard that international bodies, including the CEDAW Committee, have established as the minimum required by its treaty obligations.</w:t>
      </w:r>
    </w:p>
    <w:p w14:paraId="7E660DB2" w14:textId="77777777" w:rsidR="00626AD9" w:rsidRDefault="00626AD9" w:rsidP="00626AD9">
      <w:pPr>
        <w:pStyle w:val="Heading2"/>
      </w:pPr>
      <w:bookmarkStart w:id="51" w:name="_Toc231383000"/>
      <w:r>
        <w:t>3.7 Conclusion</w:t>
      </w:r>
      <w:bookmarkEnd w:id="51"/>
    </w:p>
    <w:p w14:paraId="2C28687E" w14:textId="7ADEF5C1" w:rsidR="00626AD9" w:rsidRDefault="00626AD9" w:rsidP="00626AD9">
      <w:pPr>
        <w:spacing w:after="220" w:line="360" w:lineRule="auto"/>
      </w:pPr>
      <w:r>
        <w:t>This chapter has demonstrated that the implementation gap between Kenya’s constitutional framework and the lived reality of reproductive health is wide, structural, and sustained by deliberate political choices as much as by institutional incapacity. Legal barriers</w:t>
      </w:r>
      <w:r w:rsidR="0079588B">
        <w:t>:</w:t>
      </w:r>
      <w:r>
        <w:t xml:space="preserve"> the Penal Code contradiction, the regulatory vacuum, the unenacted Bill</w:t>
      </w:r>
      <w:r w:rsidR="0079588B">
        <w:t xml:space="preserve">, </w:t>
      </w:r>
      <w:r>
        <w:t>interact with cultural barriers, economic barriers, and institutional barriers to produce systematic exclusion of the most marginalized. The three landmark cases have progressively named these failures as constitutional wrongs and have established a body of jurisprudence of real doctrinal significance. Yet PAK’s arrest in 2019, one year after JMM, and the State’s decision to appeal the PAK ruling to the Court of Appeal, confirm that judicial correction without legislative and institutional follow-through is temporary relief rather than systemic change. The comparative jurisprudence confirms that Kenya’s courts have been progressive, but that Kenya’s State has not. Chapter Four draws the reform conclusions that these findings demand.</w:t>
      </w:r>
    </w:p>
    <w:p w14:paraId="253D62F2" w14:textId="009873C1" w:rsidR="00626AD9" w:rsidRDefault="00626AD9" w:rsidP="00743897">
      <w:r>
        <w:br w:type="page"/>
      </w:r>
    </w:p>
    <w:p w14:paraId="3977ED90" w14:textId="77777777" w:rsidR="00E0043A" w:rsidRDefault="00E0043A" w:rsidP="00743897">
      <w:pPr>
        <w:pStyle w:val="Heading1"/>
      </w:pPr>
    </w:p>
    <w:p w14:paraId="3F09A818" w14:textId="6A23D19E" w:rsidR="00626AD9" w:rsidRDefault="00FC1B04" w:rsidP="00743897">
      <w:pPr>
        <w:pStyle w:val="Heading1"/>
      </w:pPr>
      <w:bookmarkStart w:id="52" w:name="_Toc231383001"/>
      <w:r>
        <w:t xml:space="preserve">CHAPTER </w:t>
      </w:r>
      <w:r w:rsidR="0048079F">
        <w:t>4</w:t>
      </w:r>
      <w:r>
        <w:t xml:space="preserve">: </w:t>
      </w:r>
      <w:r w:rsidR="00626AD9">
        <w:t>CONCLUSIONS AND RECOMMENDATIONS</w:t>
      </w:r>
      <w:bookmarkEnd w:id="52"/>
    </w:p>
    <w:p w14:paraId="708273D0" w14:textId="77777777" w:rsidR="00626AD9" w:rsidRDefault="00626AD9" w:rsidP="00626AD9">
      <w:pPr>
        <w:pStyle w:val="Heading2"/>
      </w:pPr>
      <w:bookmarkStart w:id="53" w:name="_Toc231383002"/>
      <w:r>
        <w:t>4.1 Introduction: From Research Questions to Reform Agenda</w:t>
      </w:r>
      <w:bookmarkEnd w:id="53"/>
    </w:p>
    <w:p w14:paraId="57A1DD42" w14:textId="407B9479" w:rsidR="00626AD9" w:rsidRDefault="00626AD9" w:rsidP="00626AD9">
      <w:pPr>
        <w:spacing w:after="220" w:line="360" w:lineRule="auto"/>
      </w:pPr>
      <w:r>
        <w:t>This chapter synthesises the findings of the preceding three chapters into a set of conclusions and an actionable reform agenda. Chapter Two mapped the normative architecture</w:t>
      </w:r>
      <w:r w:rsidR="00B24FD8">
        <w:t xml:space="preserve">; </w:t>
      </w:r>
      <w:r>
        <w:t>a progressive constitutional framework, binding international obligations, and a regional treaty whose reproductive health guarantees are among the most explicit on the African continent. Chapter Three demonstrated that this architecture has not delivered equitable reproductive health access: four categories of barrier — legal, cultural, economic, and institutional — interact to produce systematic exclusion of the most marginalized, and three landmark judicial decisions, while doctrinally significant, have been insufficient to produce durable systemic change. This chapter draws the conclusions that these findings demand and proposes specific, legally grounded reforms capable of transforming the right to reproductive health from a constitutional aspiration into a lived reality for every Kenyan.</w:t>
      </w:r>
    </w:p>
    <w:p w14:paraId="77B21FFD" w14:textId="77777777" w:rsidR="00626AD9" w:rsidRDefault="00626AD9" w:rsidP="00B4512E">
      <w:pPr>
        <w:pStyle w:val="Heading2"/>
        <w:spacing w:line="360" w:lineRule="auto"/>
      </w:pPr>
      <w:bookmarkStart w:id="54" w:name="_Toc231383003"/>
      <w:r>
        <w:t>4.2 Principal Findings</w:t>
      </w:r>
      <w:bookmarkEnd w:id="54"/>
    </w:p>
    <w:p w14:paraId="07822626" w14:textId="6245513C" w:rsidR="00626AD9" w:rsidRPr="00626AD9" w:rsidRDefault="00626AD9" w:rsidP="00B4512E">
      <w:pPr>
        <w:spacing w:line="360" w:lineRule="auto"/>
        <w:rPr>
          <w:b/>
        </w:rPr>
      </w:pPr>
      <w:r w:rsidRPr="00626AD9">
        <w:rPr>
          <w:b/>
        </w:rPr>
        <w:t xml:space="preserve">4.2.1 On the Legal and Policy Framework </w:t>
      </w:r>
    </w:p>
    <w:p w14:paraId="26FE2F63" w14:textId="77777777" w:rsidR="00626AD9" w:rsidRDefault="00626AD9" w:rsidP="00B4512E">
      <w:pPr>
        <w:spacing w:after="220" w:line="360" w:lineRule="auto"/>
      </w:pPr>
      <w:r>
        <w:t xml:space="preserve">Kenya’s constitutional and international framework for reproductive health is, on its face, progressive. Article 43(1)(a) guarantees every person the right to the highest attainable standard of health, expressly including reproductive health care. Article 26(4) permits abortion in defined circumstances. Kenya has ratified the ICESCR, CEDAW, the African Charter, and </w:t>
      </w:r>
      <w:r>
        <w:lastRenderedPageBreak/>
        <w:t>the Maputo Protocol, each of which imposes specific and legally binding obligations in relation to reproductive health. The framework is genuine: it creates real rights and real obligations, and courts have been willing to enforce them.</w:t>
      </w:r>
    </w:p>
    <w:p w14:paraId="006CA98F" w14:textId="37A16F07" w:rsidR="00626AD9" w:rsidRDefault="00626AD9" w:rsidP="00B24FD8">
      <w:pPr>
        <w:spacing w:line="360" w:lineRule="auto"/>
      </w:pPr>
      <w:r>
        <w:t>But the framework is also structurally incoherent. The most consequential legal deficiency is the unresolved conflict between Article 26(4) and Sections 158-160 of the Penal Code, which retain criminal penalties for abortion without qualification for the circumstances the Constitution permits. This contradiction has not been resolved by Parliament, and the absence of a Supreme Court determination of inconsistency has left healthcare providers in genuine legal uncertainty. The 2012 withdrawal of the Ministry of Health’s operational guidelines on safe abortion, which the High Court held unconstitutional in FIDA-Kenya &amp; CRR, compounded this deficiency by destroying the regulatory infrastructure that gave Article 26(4) practical content. The Reproductive Healthcare Bill, 2019</w:t>
      </w:r>
      <w:r w:rsidR="0079588B">
        <w:t xml:space="preserve">, </w:t>
      </w:r>
      <w:r>
        <w:t>which would have resolved both the Penal Code contradiction and the regulatory vacuum</w:t>
      </w:r>
      <w:r w:rsidR="0079588B">
        <w:t>,</w:t>
      </w:r>
      <w:r>
        <w:t xml:space="preserve"> remains unenacted due to sustained political obstruction. The right to reproductive health in Kenya is constitutionally genuine but institutionally hollow: it exists in text without the operational architecture that would make it real.</w:t>
      </w:r>
    </w:p>
    <w:p w14:paraId="63B17617" w14:textId="77777777" w:rsidR="00626AD9" w:rsidRDefault="00626AD9" w:rsidP="00626AD9"/>
    <w:p w14:paraId="2A0C3177" w14:textId="0D7F41A1" w:rsidR="00626AD9" w:rsidRPr="00626AD9" w:rsidRDefault="00626AD9" w:rsidP="00B4512E">
      <w:pPr>
        <w:spacing w:line="360" w:lineRule="auto"/>
        <w:rPr>
          <w:b/>
        </w:rPr>
      </w:pPr>
      <w:r w:rsidRPr="00626AD9">
        <w:rPr>
          <w:b/>
        </w:rPr>
        <w:t xml:space="preserve">4.2.2 On Barriers to Access for Marginalized Groups </w:t>
      </w:r>
    </w:p>
    <w:p w14:paraId="30D270C2" w14:textId="038DE7E5" w:rsidR="00626AD9" w:rsidRDefault="00626AD9" w:rsidP="00B4512E">
      <w:pPr>
        <w:spacing w:after="220" w:line="360" w:lineRule="auto"/>
      </w:pPr>
      <w:r>
        <w:t>The barriers preventing equitable access to reproductive health services for marginalized</w:t>
      </w:r>
      <w:r w:rsidR="00B24FD8">
        <w:t xml:space="preserve"> </w:t>
      </w:r>
      <w:r>
        <w:t>groups are structural, multi-dimensional, and mutually reinforcing. Legal barriers</w:t>
      </w:r>
      <w:r w:rsidR="0079588B">
        <w:t xml:space="preserve">: </w:t>
      </w:r>
      <w:r>
        <w:t>the Penal Code contradiction, the regulatory vacuum, the absence of statutory framework</w:t>
      </w:r>
      <w:r w:rsidR="0079588B">
        <w:t>,</w:t>
      </w:r>
      <w:r>
        <w:t xml:space="preserve"> operate as effective prohibition even where the Constitution permits. Providers who would otherwise offer lawful services are deterred by fear of criminal prosecution, absence of professional protection, and lack of operational guidance. The PAK case is the most vivid illustration: a clinician performing a constitutionally authorized procedure was arrested, detained, and charged under a Penal Code that the Constitution has, in defined circumstances, superseded.</w:t>
      </w:r>
    </w:p>
    <w:p w14:paraId="143C83BE" w14:textId="5AC54057" w:rsidR="00626AD9" w:rsidRDefault="00626AD9" w:rsidP="00626AD9">
      <w:pPr>
        <w:spacing w:after="220" w:line="360" w:lineRule="auto"/>
      </w:pPr>
      <w:r>
        <w:t>Adolescents face provider judgmentalism and age-based gatekeeping that operate entirely independently of formal legal rules. Rural women face geographical deprivation and county-level resource inequities that the KDHS 2022 documents with precision. Survivors of sexual violence</w:t>
      </w:r>
      <w:r w:rsidR="0079588B">
        <w:t xml:space="preserve">, </w:t>
      </w:r>
      <w:r>
        <w:t>the</w:t>
      </w:r>
      <w:r w:rsidR="0079588B">
        <w:t xml:space="preserve"> </w:t>
      </w:r>
      <w:r>
        <w:t xml:space="preserve">very group that Article 26(4) and Article 14 of the Maputo Protocol most </w:t>
      </w:r>
      <w:r>
        <w:lastRenderedPageBreak/>
        <w:t>explicitly address</w:t>
      </w:r>
      <w:r w:rsidR="0079588B">
        <w:t xml:space="preserve">, </w:t>
      </w:r>
      <w:r>
        <w:t>face the intersection of trauma, stigma, and legal uncertainty in accessing the care to which they are most clearly entitled. Persons with disabilities are invisible in reproductive health policy and service design. Women living in poverty face out-of-pocket costs that render services constitutionally guaranteed but practically inaccessible. Institutional barriers</w:t>
      </w:r>
      <w:r w:rsidR="0079588B">
        <w:t xml:space="preserve">: </w:t>
      </w:r>
      <w:r>
        <w:t>provider refusal, inadequate training, fragmented county-level implementation</w:t>
      </w:r>
      <w:r w:rsidR="0079588B">
        <w:t>,</w:t>
      </w:r>
      <w:r>
        <w:t xml:space="preserve"> compound these group-specific vulnerabilities. Criminali</w:t>
      </w:r>
      <w:r w:rsidR="00B4512E">
        <w:t>z</w:t>
      </w:r>
      <w:r>
        <w:t>ation of patients is simultaneously a symptom and a cause of the implementation gap: it deters help-seeking, reinforces stigma, and signals that the State treats reproductive health patients as suspects rather than rights-holders.</w:t>
      </w:r>
    </w:p>
    <w:p w14:paraId="34C333BA" w14:textId="77777777" w:rsidR="00B4512E" w:rsidRDefault="00B4512E" w:rsidP="00626AD9">
      <w:pPr>
        <w:rPr>
          <w:b/>
        </w:rPr>
      </w:pPr>
    </w:p>
    <w:p w14:paraId="7096CB84" w14:textId="7EE866F8" w:rsidR="00626AD9" w:rsidRPr="00626AD9" w:rsidRDefault="00626AD9" w:rsidP="00B4512E">
      <w:pPr>
        <w:spacing w:line="360" w:lineRule="auto"/>
        <w:rPr>
          <w:b/>
        </w:rPr>
      </w:pPr>
      <w:r w:rsidRPr="00626AD9">
        <w:rPr>
          <w:b/>
        </w:rPr>
        <w:t xml:space="preserve">4.2.3 On Cultural, Economic, and Social Influences </w:t>
      </w:r>
    </w:p>
    <w:p w14:paraId="5F75EC71" w14:textId="62FE22B3" w:rsidR="00B24FD8" w:rsidRDefault="00626AD9" w:rsidP="00B4512E">
      <w:pPr>
        <w:spacing w:after="220" w:line="360" w:lineRule="auto"/>
      </w:pPr>
      <w:r>
        <w:t>The Social Determinants of Health framework established in Chapter Two gives analytical weight to the cultural and economic barriers documented in Chapter Three as constitutional accountability questions rather than as merely sociological context. Structural social determinants</w:t>
      </w:r>
      <w:r w:rsidR="0079588B">
        <w:t xml:space="preserve">: </w:t>
      </w:r>
      <w:r>
        <w:t>poverty, gender inequality, geographical marginali</w:t>
      </w:r>
      <w:r w:rsidR="00B24FD8">
        <w:t>z</w:t>
      </w:r>
      <w:r>
        <w:t>ation, cultural stigma, and low reproductive health literacy</w:t>
      </w:r>
      <w:r w:rsidR="0079588B">
        <w:t xml:space="preserve">, </w:t>
      </w:r>
      <w:r>
        <w:t xml:space="preserve">operate as de facto denials of constitutional rights. They determine whether individuals are aware of their entitlements, whether they are able to seek care, whether they experience that care with dignity, and whether the outcomes of that care are equitable. </w:t>
      </w:r>
    </w:p>
    <w:p w14:paraId="640A6955" w14:textId="34273701" w:rsidR="00626AD9" w:rsidRDefault="00626AD9" w:rsidP="00626AD9">
      <w:pPr>
        <w:spacing w:after="220" w:line="360" w:lineRule="auto"/>
      </w:pPr>
      <w:r>
        <w:t>Economic inequity in reproductive health access is not a development challenge that can be deferred until sufficient resources are available; it is a constitutional non-discrimination problem that the State is obliged to address now. Cultural barriers cannot be addressed through legal reform alone: provider training, community engagement, public education, and sustained norm change are essential complements to legislative and judicial action.</w:t>
      </w:r>
    </w:p>
    <w:p w14:paraId="7E77CEBF" w14:textId="3227990C" w:rsidR="00626AD9" w:rsidRPr="00626AD9" w:rsidRDefault="00626AD9" w:rsidP="00B4512E">
      <w:pPr>
        <w:spacing w:line="360" w:lineRule="auto"/>
        <w:rPr>
          <w:b/>
        </w:rPr>
      </w:pPr>
      <w:r w:rsidRPr="00626AD9">
        <w:rPr>
          <w:b/>
        </w:rPr>
        <w:t xml:space="preserve">4.2.4 On the Effectiveness of Current Interventions </w:t>
      </w:r>
    </w:p>
    <w:p w14:paraId="554372AA" w14:textId="77777777" w:rsidR="00626AD9" w:rsidRDefault="00626AD9" w:rsidP="00B4512E">
      <w:pPr>
        <w:spacing w:after="220" w:line="360" w:lineRule="auto"/>
      </w:pPr>
      <w:r>
        <w:t xml:space="preserve">Judicial intervention has been necessary and doctrinally significant. JMM established the justiciability of reproductive health rights and the minimum core content of the right to post-abortion care. FIDA-Kenya &amp; CRR introduced the chilling effect doctrine and established that regulatory destruction is itself a constitutional wrong. PAK made history as the first Kenyan court to hold expressly that abortion care is a fundamental constitutional right, to protect </w:t>
      </w:r>
      <w:r>
        <w:lastRenderedPageBreak/>
        <w:t>patient-provider confidentiality, and to issue a direct parliamentary mandate to legislate. These are genuine achievements of Kenya’s courts.</w:t>
      </w:r>
    </w:p>
    <w:p w14:paraId="53F7DE97" w14:textId="03873904" w:rsidR="00B4512E" w:rsidRDefault="00626AD9" w:rsidP="00626AD9">
      <w:pPr>
        <w:spacing w:after="220" w:line="360" w:lineRule="auto"/>
      </w:pPr>
      <w:r>
        <w:t>But judicial intervention has been insufficient to produce durable change. PAK was arrested in September 2019</w:t>
      </w:r>
      <w:r w:rsidR="0079588B">
        <w:t xml:space="preserve">, </w:t>
      </w:r>
      <w:r>
        <w:t xml:space="preserve">one year after JMM had affirmed the right to post-abortion care. The structural conditions that produced JMM’s experience had not been addressed. Legislative and executive responses have been consistently inadequate and, in the case of the guidelines withdrawal, actively regressive. </w:t>
      </w:r>
    </w:p>
    <w:p w14:paraId="1792D893" w14:textId="2B7B17FD" w:rsidR="00626AD9" w:rsidRDefault="00626AD9" w:rsidP="00626AD9">
      <w:pPr>
        <w:spacing w:after="220" w:line="360" w:lineRule="auto"/>
      </w:pPr>
      <w:r>
        <w:t>Civil society interventions</w:t>
      </w:r>
      <w:r w:rsidR="0079588B">
        <w:t xml:space="preserve">; </w:t>
      </w:r>
      <w:r>
        <w:t>the strategic litigation of FIDA-Kenya, the Centre for Reproductive Rights, and KELI</w:t>
      </w:r>
      <w:r w:rsidR="0079588B">
        <w:t>;</w:t>
      </w:r>
      <w:r>
        <w:t xml:space="preserve"> have partially compensated for State failure, keeping reproductive health rights on the judicial and public agenda. But civil society cannot substitute for the legislative and executive action that remains absent. The CEDAW Committee’s 2017 Concluding Observations expressed grave concern and urged Kenya to act with urgency; five years on, the Penal Code has not been amended, the Bill has not been enacted, and the KDHS 2022 documents persistent failure in reproductive health outcomes. Political will, not legal text, is the principal constraint on the reali</w:t>
      </w:r>
      <w:r w:rsidR="00B4512E">
        <w:t>z</w:t>
      </w:r>
      <w:r>
        <w:t>ation of reproductive health rights in Kenya.</w:t>
      </w:r>
    </w:p>
    <w:p w14:paraId="778B39B2" w14:textId="77777777" w:rsidR="00626AD9" w:rsidRDefault="00626AD9" w:rsidP="00626AD9">
      <w:pPr>
        <w:pStyle w:val="Heading2"/>
      </w:pPr>
      <w:bookmarkStart w:id="55" w:name="_Toc231383004"/>
      <w:r>
        <w:t>4.3 Conclusions</w:t>
      </w:r>
      <w:bookmarkEnd w:id="55"/>
    </w:p>
    <w:p w14:paraId="333147A5" w14:textId="77777777" w:rsidR="00626AD9" w:rsidRDefault="00626AD9" w:rsidP="00B4512E">
      <w:pPr>
        <w:spacing w:line="360" w:lineRule="auto"/>
        <w:rPr>
          <w:b/>
        </w:rPr>
      </w:pPr>
      <w:r w:rsidRPr="00626AD9">
        <w:rPr>
          <w:b/>
        </w:rPr>
        <w:t>4.3.1 The Right to Reproductive Health in Kenya is Constitutionally Genuine but Institutionally Hollow</w:t>
      </w:r>
    </w:p>
    <w:p w14:paraId="133B6452" w14:textId="557A5749" w:rsidR="00626AD9" w:rsidRDefault="00626AD9" w:rsidP="00B4512E">
      <w:pPr>
        <w:spacing w:after="220" w:line="360" w:lineRule="auto"/>
      </w:pPr>
      <w:r>
        <w:t>The three working hypotheses advanced in Chapter One are confirmed. Women and girls</w:t>
      </w:r>
      <w:r w:rsidR="0079588B">
        <w:t>,</w:t>
      </w:r>
      <w:r>
        <w:t xml:space="preserve"> particularly those who are young, rural, low-income, or survivors of sexual violence</w:t>
      </w:r>
      <w:r w:rsidR="0079588B">
        <w:t xml:space="preserve">, </w:t>
      </w:r>
      <w:r>
        <w:t>are effectively denied the right to reproductive health in practice, notwithstanding its constitutional guarantee. The existing frameworks are rendered ineffective by legal incoherence, regulatory failure, and political obstruction. And meaningful improvement requires a comprehensive, multi-dimensional approach that no single court ruling can deliver.</w:t>
      </w:r>
    </w:p>
    <w:p w14:paraId="688457DB" w14:textId="7788B03D" w:rsidR="00626AD9" w:rsidRPr="00626AD9" w:rsidRDefault="00626AD9" w:rsidP="00B4512E">
      <w:pPr>
        <w:spacing w:line="360" w:lineRule="auto"/>
        <w:rPr>
          <w:b/>
        </w:rPr>
      </w:pPr>
      <w:r w:rsidRPr="00626AD9">
        <w:rPr>
          <w:b/>
        </w:rPr>
        <w:t>4.3.2 Litigation Has Advanced the Jurisprudence but Cannot Sustain Rights Reali</w:t>
      </w:r>
      <w:r w:rsidR="00B24FD8">
        <w:rPr>
          <w:b/>
        </w:rPr>
        <w:t>z</w:t>
      </w:r>
      <w:r w:rsidRPr="00626AD9">
        <w:rPr>
          <w:b/>
        </w:rPr>
        <w:t>ation Alone</w:t>
      </w:r>
    </w:p>
    <w:p w14:paraId="382B63FF" w14:textId="0EC987C9" w:rsidR="00626AD9" w:rsidRDefault="00626AD9" w:rsidP="00B4512E">
      <w:pPr>
        <w:spacing w:after="220" w:line="360" w:lineRule="auto"/>
      </w:pPr>
      <w:r>
        <w:t xml:space="preserve">The body of jurisprudence established by JMM, FIDA-Kenya &amp; CRR, and PAK is a genuine achievement: Kenya’s courts have shown willingness to enforce reproductive health rights </w:t>
      </w:r>
      <w:r>
        <w:lastRenderedPageBreak/>
        <w:t>with rigour and creativity. The Court of Appeal’s judgment of 27 March 2026 in AG v PAK elevates this jurisprudence to the appellate level for the first time, giving it greater authority and wider reach. But Yamin’s empirical observation</w:t>
      </w:r>
      <w:r w:rsidR="0079588B">
        <w:t xml:space="preserve"> </w:t>
      </w:r>
      <w:r>
        <w:t>that</w:t>
      </w:r>
      <w:r w:rsidR="0079588B">
        <w:t>,</w:t>
      </w:r>
      <w:r>
        <w:t xml:space="preserve"> litigation victories without institutional follow-through produce precedents rather than change</w:t>
      </w:r>
      <w:r w:rsidR="0079588B">
        <w:t>,</w:t>
      </w:r>
      <w:r>
        <w:t xml:space="preserve"> is confirmed by Kenya’s experience. Judicial intervention is necessary but insufficient. It requires legislative consolidation, executive implementation, and sustained accountability mechanisms to translate constitutional precedent into equitable access.</w:t>
      </w:r>
    </w:p>
    <w:p w14:paraId="72A36419" w14:textId="77777777" w:rsidR="0079588B" w:rsidRDefault="0079588B" w:rsidP="00B4512E">
      <w:pPr>
        <w:spacing w:line="360" w:lineRule="auto"/>
        <w:rPr>
          <w:b/>
        </w:rPr>
      </w:pPr>
    </w:p>
    <w:p w14:paraId="73A7F5A4" w14:textId="646ADCBE" w:rsidR="00626AD9" w:rsidRPr="00626AD9" w:rsidRDefault="00626AD9" w:rsidP="00B4512E">
      <w:pPr>
        <w:spacing w:line="360" w:lineRule="auto"/>
        <w:rPr>
          <w:b/>
        </w:rPr>
      </w:pPr>
      <w:r w:rsidRPr="00626AD9">
        <w:rPr>
          <w:b/>
        </w:rPr>
        <w:t>4.3.3 Political Will is the Principal Constraint</w:t>
      </w:r>
    </w:p>
    <w:p w14:paraId="0D8783C6" w14:textId="77777777" w:rsidR="00626AD9" w:rsidRDefault="00626AD9" w:rsidP="00B4512E">
      <w:pPr>
        <w:spacing w:after="220" w:line="360" w:lineRule="auto"/>
      </w:pPr>
      <w:r>
        <w:t>The State’s decision to appeal the PAK ruling to the Court of Appeal — seeking to overturn a judgment that protected a sixteen-year-old girl and the clinician who treated her — is the most powerful evidence this study can offer that the implementation gap is sustained by deliberate political choice. The failure to enact the Reproductive Healthcare Bill is not legislative inadvertence; it is the product of sustained political obstruction by religious and conservative interests that have successfully framed reproductive health rights as a moral threat. The failure to amend the Penal Code is not an oversight; it is a decision to maintain the legal contradiction that gives the criminal justice system cover to arrest, charge, and remand reproductive health patients. Addressing this political dimension is the most fundamental challenge of reproductive health reform in Kenya.</w:t>
      </w:r>
    </w:p>
    <w:p w14:paraId="22D70BB0" w14:textId="77777777" w:rsidR="00626AD9" w:rsidRDefault="00626AD9" w:rsidP="00626AD9">
      <w:pPr>
        <w:pStyle w:val="Heading2"/>
      </w:pPr>
      <w:bookmarkStart w:id="56" w:name="_Toc231383005"/>
      <w:r>
        <w:t>4.4 Recommendations</w:t>
      </w:r>
      <w:bookmarkEnd w:id="56"/>
    </w:p>
    <w:p w14:paraId="2EE820BA" w14:textId="77777777" w:rsidR="00626AD9" w:rsidRPr="00626AD9" w:rsidRDefault="00626AD9" w:rsidP="00B4512E">
      <w:pPr>
        <w:spacing w:line="360" w:lineRule="auto"/>
        <w:rPr>
          <w:b/>
        </w:rPr>
      </w:pPr>
      <w:r w:rsidRPr="00626AD9">
        <w:rPr>
          <w:b/>
        </w:rPr>
        <w:t>4.4.1 Legislative Recommendations</w:t>
      </w:r>
    </w:p>
    <w:p w14:paraId="1A3C457B" w14:textId="77777777" w:rsidR="00626AD9" w:rsidRPr="00626AD9" w:rsidRDefault="00626AD9" w:rsidP="00B4512E">
      <w:pPr>
        <w:spacing w:line="360" w:lineRule="auto"/>
        <w:rPr>
          <w:b/>
        </w:rPr>
      </w:pPr>
      <w:r w:rsidRPr="00626AD9">
        <w:rPr>
          <w:b/>
        </w:rPr>
        <w:t>Enact the Reproductive Healthcare Act</w:t>
      </w:r>
    </w:p>
    <w:p w14:paraId="15424538" w14:textId="77777777" w:rsidR="00626AD9" w:rsidRDefault="00626AD9" w:rsidP="00B4512E">
      <w:pPr>
        <w:spacing w:after="220" w:line="360" w:lineRule="auto"/>
      </w:pPr>
      <w:r>
        <w:t xml:space="preserve">Parliament must enact comprehensive reproductive health legislation that gives operational content to Articles 43(1)(a) and 26(4) of the Constitution. The Reproductive Healthcare Act should: define the full range of reproductive health services to which every person is entitled; specify the circumstances in which abortion is lawful, consistent with the constitutional permission in Article 26(4) and the treaty obligations under the Maputo Protocol; establish clear rights and obligations for patients and healthcare providers; prohibit the arrest, prosecution, or disciplining of healthcare providers for offering lawful reproductive health </w:t>
      </w:r>
      <w:r>
        <w:lastRenderedPageBreak/>
        <w:t>services; and establish a complaints and enforcement mechanism for violations of reproductive health rights. The PAK court’s direction to Parliament to fast-track such legislation is not merely a judicial recommendation; it is an enforceable constitutional mandate.</w:t>
      </w:r>
    </w:p>
    <w:p w14:paraId="2A663E67" w14:textId="77777777" w:rsidR="00626AD9" w:rsidRPr="00626AD9" w:rsidRDefault="00626AD9" w:rsidP="00B4512E">
      <w:pPr>
        <w:spacing w:line="360" w:lineRule="auto"/>
        <w:rPr>
          <w:b/>
        </w:rPr>
      </w:pPr>
      <w:r w:rsidRPr="00626AD9">
        <w:rPr>
          <w:b/>
        </w:rPr>
        <w:t>Amend Sections 158-160 of the Penal Code</w:t>
      </w:r>
    </w:p>
    <w:p w14:paraId="2F74ACB7" w14:textId="77777777" w:rsidR="00626AD9" w:rsidRDefault="00626AD9" w:rsidP="00B4512E">
      <w:pPr>
        <w:spacing w:after="220" w:line="360" w:lineRule="auto"/>
      </w:pPr>
      <w:r>
        <w:t>The statutory contradiction at the heart of Kenya’s abortion law must be resolved. Sections 158-160 of the Penal Code must be amended to expressly reflect the constitutional permission in Article 26(4), excluding from criminal liability healthcare providers who perform abortion in the circumstances the Constitution permits, and patients who seek such care. The amendment should also expressly protect patients from prosecution for seeking post-abortion care, irrespective of the circumstances of the abortion. Without this amendment, the constitutional permission will continue to be nullified in practice by the chilling effect of criminal liability.</w:t>
      </w:r>
    </w:p>
    <w:p w14:paraId="2A12C445" w14:textId="77777777" w:rsidR="00626AD9" w:rsidRPr="00626AD9" w:rsidRDefault="00626AD9" w:rsidP="00B4512E">
      <w:pPr>
        <w:spacing w:line="360" w:lineRule="auto"/>
        <w:rPr>
          <w:b/>
        </w:rPr>
      </w:pPr>
      <w:r w:rsidRPr="00626AD9">
        <w:rPr>
          <w:b/>
        </w:rPr>
        <w:t>Enact Statutory Protection of Patient-Provider Confidentiality</w:t>
      </w:r>
    </w:p>
    <w:p w14:paraId="2D00521A" w14:textId="77777777" w:rsidR="00626AD9" w:rsidRDefault="00626AD9" w:rsidP="00B4512E">
      <w:pPr>
        <w:spacing w:after="220" w:line="360" w:lineRule="auto"/>
      </w:pPr>
      <w:r>
        <w:t>The PAK court’s finding that patient-provider confidentiality is constitutionally protected must be given statutory expression. Legislation should expressly prohibit the seizure of medical records from reproductive health patients without a court order, the compelled medical examination of reproductive health patients as evidence in criminal proceedings, and the disclosure of patient information to law enforcement without patient consent. These protections are necessary to rebuild the trust between reproductive health patients and healthcare providers that police action in PAK destroyed.</w:t>
      </w:r>
    </w:p>
    <w:p w14:paraId="005A6A6B" w14:textId="77777777" w:rsidR="00626AD9" w:rsidRPr="00626AD9" w:rsidRDefault="00626AD9" w:rsidP="00B24FD8">
      <w:pPr>
        <w:spacing w:line="360" w:lineRule="auto"/>
        <w:rPr>
          <w:b/>
        </w:rPr>
      </w:pPr>
      <w:r w:rsidRPr="00626AD9">
        <w:rPr>
          <w:b/>
        </w:rPr>
        <w:t>4.4.2 Executive and Regulatory Recommendations</w:t>
      </w:r>
    </w:p>
    <w:p w14:paraId="27B13C7A" w14:textId="77777777" w:rsidR="00626AD9" w:rsidRPr="00626AD9" w:rsidRDefault="00626AD9" w:rsidP="00B24FD8">
      <w:pPr>
        <w:spacing w:line="360" w:lineRule="auto"/>
        <w:rPr>
          <w:b/>
        </w:rPr>
      </w:pPr>
      <w:r w:rsidRPr="00626AD9">
        <w:rPr>
          <w:b/>
        </w:rPr>
        <w:t>Restore and Legally Entrench Provider Guidelines</w:t>
      </w:r>
    </w:p>
    <w:p w14:paraId="5569D13D" w14:textId="500D3C8E" w:rsidR="00626AD9" w:rsidRDefault="00626AD9" w:rsidP="00B24FD8">
      <w:pPr>
        <w:spacing w:after="220" w:line="360" w:lineRule="auto"/>
      </w:pPr>
      <w:r>
        <w:t>The Ministry of Health must restore the Standards and Guidelines on Safe Abortion and the Training Curriculum for Health Providers on Safe Abortion Care, and must ensure that their legal status is sufficiently robust to prevent future unilateral withdrawal. The restored guidelines should be grounded explicitly in the constitutional framework of Article 26(4) and should provide providers with clear, comprehensive guidance on the circumstances in which abortion is lawful, the procedures to be followed, the rights of patients, and the obligations of providers. The guidelines should have at minimum a statutory basis to prevent future withdrawal without parliamentary authori</w:t>
      </w:r>
      <w:r w:rsidR="00B24FD8">
        <w:t>z</w:t>
      </w:r>
      <w:r>
        <w:t>ation.</w:t>
      </w:r>
    </w:p>
    <w:p w14:paraId="578CECDF" w14:textId="77777777" w:rsidR="00626AD9" w:rsidRPr="00626AD9" w:rsidRDefault="00626AD9" w:rsidP="00B24FD8">
      <w:pPr>
        <w:spacing w:line="360" w:lineRule="auto"/>
        <w:rPr>
          <w:b/>
        </w:rPr>
      </w:pPr>
      <w:r w:rsidRPr="00626AD9">
        <w:rPr>
          <w:b/>
        </w:rPr>
        <w:lastRenderedPageBreak/>
        <w:t>Mandate Non-Discriminatory Provider Training</w:t>
      </w:r>
    </w:p>
    <w:p w14:paraId="54680D70" w14:textId="77777777" w:rsidR="00626AD9" w:rsidRDefault="00626AD9" w:rsidP="00B24FD8">
      <w:pPr>
        <w:spacing w:after="220" w:line="360" w:lineRule="auto"/>
      </w:pPr>
      <w:r>
        <w:t>The Cabinet Secretary for Health must, through the relevant professional regulatory bodies, mandate pre-service and in-service training for all healthcare providers on non-discriminatory reproductive healthcare. This training must address the constitutional rights of reproductive health patients, the legal obligations of providers, and the ethical prohibition on withholding lawful services on moral or religious grounds without ensuring patient referral to a willing provider. Compliance with this training should be a condition of professional licensing and renewal.</w:t>
      </w:r>
    </w:p>
    <w:p w14:paraId="36D86724" w14:textId="77777777" w:rsidR="00626AD9" w:rsidRPr="00626AD9" w:rsidRDefault="00626AD9" w:rsidP="00B24FD8">
      <w:pPr>
        <w:spacing w:line="360" w:lineRule="auto"/>
        <w:rPr>
          <w:b/>
        </w:rPr>
      </w:pPr>
      <w:r w:rsidRPr="00626AD9">
        <w:rPr>
          <w:b/>
        </w:rPr>
        <w:t>Equitable County-Level Funding and Decriminalization of Patients</w:t>
      </w:r>
    </w:p>
    <w:p w14:paraId="26F9A7AC" w14:textId="5B5EFC12" w:rsidR="00626AD9" w:rsidRDefault="00626AD9" w:rsidP="00B24FD8">
      <w:pPr>
        <w:spacing w:after="220" w:line="360" w:lineRule="auto"/>
      </w:pPr>
      <w:r>
        <w:t>The national and county governments must allocate equitable and ring-fenced public funding for reproductive health services across all forty-seven counties, with priority for counties with the lowest modern contraceptive prevalence and the highest rates of adolescent pregnancy and unsafe abortion. The Director of Public Prosecutions must issue prosecutorial guidelines expressly directing that patients seeking lawful reproductive healthcare are not appropriate subjects of criminal prosecution, and that healthcare providers offering constitutionally authori</w:t>
      </w:r>
      <w:r w:rsidR="00B24FD8">
        <w:t>z</w:t>
      </w:r>
      <w:r>
        <w:t>ed services are protected from prosecution under Sections 158-160 of the Penal Code pending legislative amendment.</w:t>
      </w:r>
    </w:p>
    <w:p w14:paraId="52A231EC" w14:textId="77777777" w:rsidR="00626AD9" w:rsidRPr="00626AD9" w:rsidRDefault="00626AD9" w:rsidP="00B24FD8">
      <w:pPr>
        <w:spacing w:line="360" w:lineRule="auto"/>
        <w:rPr>
          <w:b/>
        </w:rPr>
      </w:pPr>
      <w:r w:rsidRPr="00626AD9">
        <w:rPr>
          <w:b/>
        </w:rPr>
        <w:t>4.4.3 Judicial Recommendations</w:t>
      </w:r>
    </w:p>
    <w:p w14:paraId="33620CAB" w14:textId="7C19E67A" w:rsidR="00626AD9" w:rsidRDefault="00626AD9" w:rsidP="00B24FD8">
      <w:pPr>
        <w:spacing w:after="220" w:line="360" w:lineRule="auto"/>
      </w:pPr>
      <w:r>
        <w:t>Courts at all levels should apply and extend the chilling effect doctrine established in FIDA-Kenya &amp; CRR to all contexts in which regulatory silence or legal uncertainty deters the exercise of constitutional reproductive health rights. The Judiciary Training Institute should integrate international reproductive health standards, including the AAAQ framework and the CEDAW and CESCR General Comments, into judicial training curricula. Courts that have issued reproductive health orders</w:t>
      </w:r>
      <w:r w:rsidR="0079588B">
        <w:t xml:space="preserve">, </w:t>
      </w:r>
      <w:r>
        <w:t>including the directions to Parliament in PAK</w:t>
      </w:r>
      <w:r w:rsidR="0079588B">
        <w:t xml:space="preserve">, </w:t>
      </w:r>
      <w:r>
        <w:t>should develop effective monitoring and enforcement mechanisms to ensure compliance, rather than leaving implementation to executive discretion.</w:t>
      </w:r>
    </w:p>
    <w:p w14:paraId="538CBF1B" w14:textId="77777777" w:rsidR="00626AD9" w:rsidRPr="00626AD9" w:rsidRDefault="00626AD9" w:rsidP="00B24FD8">
      <w:pPr>
        <w:spacing w:line="360" w:lineRule="auto"/>
        <w:rPr>
          <w:b/>
        </w:rPr>
      </w:pPr>
      <w:r w:rsidRPr="00626AD9">
        <w:rPr>
          <w:b/>
        </w:rPr>
        <w:t>4.4.4 Institutional and Structural Recommendations</w:t>
      </w:r>
    </w:p>
    <w:p w14:paraId="598C577B" w14:textId="74BAA829" w:rsidR="00626AD9" w:rsidRDefault="00626AD9" w:rsidP="00B24FD8">
      <w:pPr>
        <w:spacing w:after="220" w:line="360" w:lineRule="auto"/>
      </w:pPr>
      <w:r>
        <w:t>An independent reproductive health rights oversight mechanism should be established</w:t>
      </w:r>
      <w:r w:rsidR="0079588B">
        <w:t>,</w:t>
      </w:r>
      <w:r>
        <w:t xml:space="preserve"> whether as a dedicated unit within the Kenya National Human Rights Commission or as a standalone body</w:t>
      </w:r>
      <w:r w:rsidR="0079588B">
        <w:t xml:space="preserve">, </w:t>
      </w:r>
      <w:r>
        <w:t xml:space="preserve">with a mandate to monitor State compliance with constitutional and treaty </w:t>
      </w:r>
      <w:r>
        <w:lastRenderedPageBreak/>
        <w:t>obligations, receive and investigate complaints, and report annually to Parliament. Reproductive health rights should be integrated as a standalone obligation in Kenya’s National Human Rights Action Plan, with measurable targets, clear responsible actors, and transparent accountability mechanisms. Community-based reproductive health literacy program</w:t>
      </w:r>
      <w:r w:rsidR="00B24FD8">
        <w:t>s</w:t>
      </w:r>
      <w:r>
        <w:t>, targeting adolescent girls, rural women, survivors of sexual violence, and persons with disabilities, should be funded and implemented as a constitutional priority rather than a discretionary development activity.</w:t>
      </w:r>
    </w:p>
    <w:p w14:paraId="13B759AA" w14:textId="77777777" w:rsidR="0079588B" w:rsidRDefault="0079588B" w:rsidP="00B24FD8">
      <w:pPr>
        <w:spacing w:line="360" w:lineRule="auto"/>
        <w:rPr>
          <w:b/>
        </w:rPr>
      </w:pPr>
    </w:p>
    <w:p w14:paraId="7805005E" w14:textId="37D223E2" w:rsidR="00626AD9" w:rsidRPr="00626AD9" w:rsidRDefault="00626AD9" w:rsidP="00B24FD8">
      <w:pPr>
        <w:spacing w:line="360" w:lineRule="auto"/>
        <w:rPr>
          <w:b/>
        </w:rPr>
      </w:pPr>
      <w:r w:rsidRPr="00626AD9">
        <w:rPr>
          <w:b/>
        </w:rPr>
        <w:t>4.4.5 Recommendations for Civil Society and Future Research</w:t>
      </w:r>
    </w:p>
    <w:p w14:paraId="72EC0B8F" w14:textId="2C410648" w:rsidR="00626AD9" w:rsidRDefault="00626AD9" w:rsidP="00B24FD8">
      <w:pPr>
        <w:spacing w:after="220" w:line="360" w:lineRule="auto"/>
      </w:pPr>
      <w:r>
        <w:t>Civil society organi</w:t>
      </w:r>
      <w:r w:rsidR="00B24FD8">
        <w:t>z</w:t>
      </w:r>
      <w:r>
        <w:t>ations should maintain and strengthen the strategic litigation, advocacy, and shadow reporting that has kept reproductive health rights on Kenya’s judicial and policy agenda. Coordinated shadow reporting to CEDAW, the CESCR, and the African Commission should ensure that the findings of this study</w:t>
      </w:r>
      <w:r w:rsidR="0079588B">
        <w:t xml:space="preserve">, </w:t>
      </w:r>
      <w:r>
        <w:t>and the evidence of Kenya’s treaty non-compliance</w:t>
      </w:r>
      <w:r w:rsidR="0079588B">
        <w:t>,</w:t>
      </w:r>
      <w:r>
        <w:t xml:space="preserve"> are placed before the international bodies with the authority to hold the government to account. Future empirical research at county level</w:t>
      </w:r>
      <w:r w:rsidR="0079588B">
        <w:t xml:space="preserve">, </w:t>
      </w:r>
      <w:r>
        <w:t>mapping the precise distribution of access barriers across Kenya’s forty-seven counties, the lived experience of reproductive health deprivation, and the impact of specific interventions</w:t>
      </w:r>
      <w:r w:rsidR="00B24FD8">
        <w:t>,</w:t>
      </w:r>
      <w:r>
        <w:t xml:space="preserve"> would generate the evidence base necessary to target reform most effectively. Cross-African comparative scholarship on reproductive health jurisprudence</w:t>
      </w:r>
      <w:r w:rsidR="00B24FD8">
        <w:t xml:space="preserve">, </w:t>
      </w:r>
      <w:r>
        <w:t>particularly engaging South Africa’s legislative experience</w:t>
      </w:r>
      <w:r w:rsidR="00B24FD8">
        <w:t xml:space="preserve">, </w:t>
      </w:r>
      <w:r>
        <w:t>would enrich both the academic literature and the advocacy toolkit.</w:t>
      </w:r>
    </w:p>
    <w:p w14:paraId="64845F10" w14:textId="77777777" w:rsidR="00626AD9" w:rsidRDefault="00626AD9" w:rsidP="00626AD9">
      <w:pPr>
        <w:pStyle w:val="Heading2"/>
      </w:pPr>
      <w:bookmarkStart w:id="57" w:name="_Toc230271425"/>
      <w:bookmarkStart w:id="58" w:name="_Toc231383006"/>
      <w:r>
        <w:t>4.5 Final Remarks: From Constitutional Aspiration to Living Reality</w:t>
      </w:r>
      <w:bookmarkEnd w:id="57"/>
      <w:bookmarkEnd w:id="58"/>
    </w:p>
    <w:p w14:paraId="453FDB3A" w14:textId="7C52CB09" w:rsidR="00626AD9" w:rsidRDefault="00626AD9" w:rsidP="00626AD9">
      <w:pPr>
        <w:spacing w:after="220" w:line="360" w:lineRule="auto"/>
      </w:pPr>
      <w:r>
        <w:t>The right to reproductive health in Kenya is constitutionally genuine. It is grounded in a progressive Bill of Rights, reinforced by binding international and regional obligations, and vindicated by a growing body of judicial decisions of real doctrinal significance. The Court of Appeal’s judgment of 27 March 2026 marks a new chapter in that jurisprudence</w:t>
      </w:r>
      <w:r w:rsidR="0079588B">
        <w:t>, t</w:t>
      </w:r>
      <w:r>
        <w:t>he first time Kenya’s appellate courts have pronounced on the constitutional status of reproductive health rights, and a development whose implications will be worked out in the scholarship and litigation that follow.</w:t>
      </w:r>
    </w:p>
    <w:p w14:paraId="3DCA27EC" w14:textId="77777777" w:rsidR="00626AD9" w:rsidRDefault="00626AD9" w:rsidP="00626AD9">
      <w:pPr>
        <w:spacing w:after="220" w:line="360" w:lineRule="auto"/>
      </w:pPr>
      <w:r>
        <w:lastRenderedPageBreak/>
        <w:t>But constitutional genuineness without institutional reality is a cruelty. JMM was fourteen years old when the State denied her care and handed her to the police. PAK was sixteen when she was arrested mid-treatment, remanded to a juvenile facility, and had her school notified of criminal proceedings against her for receiving constitutionally lawful care. These are not exceptional cases. They are the system functioning as the structural conditions produce. A constitutional order that tolerates this is not merely failing its most vulnerable members; it is violating them.</w:t>
      </w:r>
    </w:p>
    <w:p w14:paraId="7A2F73A7" w14:textId="7ABF890E" w:rsidR="004B4140" w:rsidRDefault="00626AD9" w:rsidP="00B24FD8">
      <w:pPr>
        <w:spacing w:after="220" w:line="360" w:lineRule="auto"/>
      </w:pPr>
      <w:r>
        <w:t>The reforms proposed in this chapter are not aspirational. They are legally required. The enactment of the Reproductive Healthcare Act is a constitutional obligation the PAK court has directed Parliament to discharge. The amendment of the Penal Code is required by the doctrine of constitutional supremacy under Article 2. The restoration of provider guidelines is mandated by FIDA-Kenya &amp; CRR. The equitable funding of reproductive health services across counties is required by Articles 27 and 43(1)(a). The political will to deliver these reforms is the only element not legally compellable</w:t>
      </w:r>
      <w:r w:rsidR="0079588B">
        <w:t>,</w:t>
      </w:r>
      <w:r>
        <w:t xml:space="preserve"> but political will is itself a product of the kind of sustained advocacy, litigation, scholarship, and public accountability that this study seeks to contribute to. The right to reproductive health has been constitutionally promised to every Kenyan. It is long past the time for that promise to be kept.</w:t>
      </w:r>
    </w:p>
    <w:p w14:paraId="528ED673" w14:textId="4ACE01A1" w:rsidR="007512C1" w:rsidRDefault="007512C1" w:rsidP="00B24FD8">
      <w:pPr>
        <w:spacing w:after="220" w:line="360" w:lineRule="auto"/>
      </w:pPr>
    </w:p>
    <w:p w14:paraId="5C215FB8" w14:textId="1388B470" w:rsidR="007512C1" w:rsidRDefault="007512C1" w:rsidP="00B24FD8">
      <w:pPr>
        <w:spacing w:after="220" w:line="360" w:lineRule="auto"/>
      </w:pPr>
    </w:p>
    <w:p w14:paraId="0ED3796B" w14:textId="77777777" w:rsidR="0080117A" w:rsidRDefault="0080117A" w:rsidP="0080117A">
      <w:pPr>
        <w:spacing w:after="160" w:line="259" w:lineRule="auto"/>
        <w:jc w:val="left"/>
      </w:pPr>
    </w:p>
    <w:p w14:paraId="438C781C" w14:textId="77777777" w:rsidR="0080117A" w:rsidRDefault="0080117A" w:rsidP="0080117A">
      <w:pPr>
        <w:spacing w:after="160" w:line="259" w:lineRule="auto"/>
        <w:jc w:val="left"/>
      </w:pPr>
    </w:p>
    <w:p w14:paraId="3B6AB579" w14:textId="77777777" w:rsidR="0080117A" w:rsidRDefault="0080117A" w:rsidP="0080117A">
      <w:pPr>
        <w:spacing w:after="160" w:line="259" w:lineRule="auto"/>
        <w:jc w:val="left"/>
      </w:pPr>
    </w:p>
    <w:p w14:paraId="07263AA6" w14:textId="77777777" w:rsidR="0080117A" w:rsidRDefault="0080117A" w:rsidP="0080117A">
      <w:pPr>
        <w:spacing w:after="160" w:line="259" w:lineRule="auto"/>
        <w:jc w:val="left"/>
      </w:pPr>
    </w:p>
    <w:p w14:paraId="2789FA8E" w14:textId="77777777" w:rsidR="0080117A" w:rsidRDefault="0080117A" w:rsidP="0080117A">
      <w:pPr>
        <w:spacing w:after="160" w:line="259" w:lineRule="auto"/>
        <w:jc w:val="left"/>
      </w:pPr>
    </w:p>
    <w:p w14:paraId="728A99B8" w14:textId="77777777" w:rsidR="0080117A" w:rsidRDefault="0080117A" w:rsidP="0080117A">
      <w:pPr>
        <w:spacing w:after="160" w:line="259" w:lineRule="auto"/>
        <w:jc w:val="left"/>
      </w:pPr>
    </w:p>
    <w:p w14:paraId="67E3A06A" w14:textId="77777777" w:rsidR="0080117A" w:rsidRDefault="0080117A" w:rsidP="0080117A">
      <w:pPr>
        <w:spacing w:after="160" w:line="259" w:lineRule="auto"/>
        <w:jc w:val="left"/>
      </w:pPr>
    </w:p>
    <w:p w14:paraId="39D796A6" w14:textId="77777777" w:rsidR="0080117A" w:rsidRDefault="0080117A" w:rsidP="0080117A">
      <w:pPr>
        <w:spacing w:after="160" w:line="259" w:lineRule="auto"/>
        <w:jc w:val="left"/>
      </w:pPr>
    </w:p>
    <w:p w14:paraId="0D1E2F5F" w14:textId="77777777" w:rsidR="0080117A" w:rsidRDefault="0080117A" w:rsidP="0080117A">
      <w:pPr>
        <w:spacing w:after="160" w:line="259" w:lineRule="auto"/>
        <w:jc w:val="left"/>
      </w:pPr>
    </w:p>
    <w:p w14:paraId="18ADA32A" w14:textId="77777777" w:rsidR="0080117A" w:rsidRDefault="0080117A" w:rsidP="0080117A">
      <w:pPr>
        <w:spacing w:after="160" w:line="259" w:lineRule="auto"/>
        <w:jc w:val="left"/>
      </w:pPr>
    </w:p>
    <w:p w14:paraId="72F90D40" w14:textId="77777777" w:rsidR="0080117A" w:rsidRDefault="0080117A" w:rsidP="0080117A">
      <w:pPr>
        <w:spacing w:after="160" w:line="259" w:lineRule="auto"/>
        <w:jc w:val="left"/>
      </w:pPr>
    </w:p>
    <w:p w14:paraId="1FB11434" w14:textId="77777777" w:rsidR="0080117A" w:rsidRDefault="0080117A" w:rsidP="0080117A">
      <w:pPr>
        <w:spacing w:after="160" w:line="259" w:lineRule="auto"/>
        <w:jc w:val="left"/>
      </w:pPr>
    </w:p>
    <w:p w14:paraId="08776605" w14:textId="77777777" w:rsidR="0080117A" w:rsidRDefault="0080117A" w:rsidP="0080117A">
      <w:pPr>
        <w:spacing w:after="160" w:line="259" w:lineRule="auto"/>
        <w:jc w:val="left"/>
      </w:pPr>
    </w:p>
    <w:p w14:paraId="537BD308" w14:textId="77777777" w:rsidR="0080117A" w:rsidRDefault="0080117A" w:rsidP="0080117A">
      <w:pPr>
        <w:spacing w:after="160" w:line="259" w:lineRule="auto"/>
        <w:jc w:val="left"/>
      </w:pPr>
    </w:p>
    <w:p w14:paraId="68731EE9" w14:textId="77777777" w:rsidR="0080117A" w:rsidRDefault="0080117A" w:rsidP="0080117A">
      <w:pPr>
        <w:spacing w:after="160" w:line="259" w:lineRule="auto"/>
        <w:jc w:val="left"/>
      </w:pPr>
    </w:p>
    <w:p w14:paraId="78055B95" w14:textId="77777777" w:rsidR="0080117A" w:rsidRDefault="0080117A" w:rsidP="0080117A">
      <w:pPr>
        <w:spacing w:after="160" w:line="259" w:lineRule="auto"/>
        <w:jc w:val="left"/>
      </w:pPr>
    </w:p>
    <w:p w14:paraId="47E7C6F0" w14:textId="77777777" w:rsidR="0080117A" w:rsidRDefault="0080117A" w:rsidP="0080117A">
      <w:pPr>
        <w:spacing w:after="160" w:line="259" w:lineRule="auto"/>
        <w:jc w:val="left"/>
      </w:pPr>
    </w:p>
    <w:p w14:paraId="06BBEF66" w14:textId="77777777" w:rsidR="0080117A" w:rsidRDefault="0080117A" w:rsidP="0080117A">
      <w:pPr>
        <w:spacing w:after="160" w:line="259" w:lineRule="auto"/>
        <w:jc w:val="left"/>
      </w:pPr>
    </w:p>
    <w:p w14:paraId="0974C15C" w14:textId="21C7BD75" w:rsidR="004B4140" w:rsidRPr="006E60EA" w:rsidRDefault="004B4140" w:rsidP="00743897">
      <w:pPr>
        <w:pStyle w:val="Heading1"/>
      </w:pPr>
      <w:bookmarkStart w:id="59" w:name="_Toc231383007"/>
      <w:r w:rsidRPr="006E60EA">
        <w:t>A. TABLE OF CASES</w:t>
      </w:r>
      <w:bookmarkEnd w:id="59"/>
    </w:p>
    <w:p w14:paraId="5F2AAB48" w14:textId="77777777" w:rsidR="004B4140" w:rsidRPr="006E60EA" w:rsidRDefault="004B4140" w:rsidP="006E60EA">
      <w:pPr>
        <w:pStyle w:val="Heading3"/>
        <w:spacing w:line="360" w:lineRule="auto"/>
      </w:pPr>
      <w:bookmarkStart w:id="60" w:name="_Toc231383008"/>
      <w:r w:rsidRPr="006E60EA">
        <w:rPr>
          <w:sz w:val="24"/>
          <w:szCs w:val="24"/>
          <w:u w:val="single"/>
        </w:rPr>
        <w:t>Kenyan Cases</w:t>
      </w:r>
      <w:bookmarkEnd w:id="60"/>
    </w:p>
    <w:p w14:paraId="02F9C03A" w14:textId="77777777" w:rsidR="004B4140" w:rsidRPr="006E60EA" w:rsidRDefault="004B4140" w:rsidP="006E60EA">
      <w:pPr>
        <w:spacing w:after="160" w:line="360" w:lineRule="auto"/>
        <w:ind w:left="480" w:hanging="480"/>
      </w:pPr>
      <w:r w:rsidRPr="006E60EA">
        <w:t>AG &amp; Others v PAK &amp; Another (Court of Appeal Malindi, Civil Appeals Nos E029 and E030 of 2022, judgment delivered 27 March 2026)</w:t>
      </w:r>
    </w:p>
    <w:p w14:paraId="42502718" w14:textId="77777777" w:rsidR="004B4140" w:rsidRPr="006E60EA" w:rsidRDefault="004B4140" w:rsidP="006E60EA">
      <w:pPr>
        <w:spacing w:after="160" w:line="360" w:lineRule="auto"/>
        <w:ind w:left="480" w:hanging="480"/>
      </w:pPr>
      <w:r w:rsidRPr="006E60EA">
        <w:t>FIDA-Kenya &amp; Centre for Reproductive Rights v Attorney General &amp; Others [2019] eKLR, Petition No 266 of 2015</w:t>
      </w:r>
    </w:p>
    <w:p w14:paraId="17F89C24" w14:textId="77777777" w:rsidR="004B4140" w:rsidRPr="006E60EA" w:rsidRDefault="004B4140" w:rsidP="006E60EA">
      <w:pPr>
        <w:spacing w:after="160" w:line="360" w:lineRule="auto"/>
        <w:ind w:left="480" w:hanging="480"/>
      </w:pPr>
      <w:r w:rsidRPr="006E60EA">
        <w:t>JMM v Attorney General &amp; Others [2018] eKLR, Petition No 266 of 2015</w:t>
      </w:r>
    </w:p>
    <w:p w14:paraId="378AC215" w14:textId="77777777" w:rsidR="004B4140" w:rsidRPr="006E60EA" w:rsidRDefault="004B4140" w:rsidP="006E60EA">
      <w:pPr>
        <w:spacing w:after="160" w:line="360" w:lineRule="auto"/>
        <w:ind w:left="480" w:hanging="480"/>
      </w:pPr>
      <w:r w:rsidRPr="006E60EA">
        <w:t>PAK &amp; Salim Mohammed v Attorney General &amp; Others [2022] eKLR (Malindi High Court, Constitutional Petition E009 of 2020)</w:t>
      </w:r>
    </w:p>
    <w:p w14:paraId="61447186" w14:textId="77777777" w:rsidR="004B4140" w:rsidRPr="006E60EA" w:rsidRDefault="004B4140" w:rsidP="006E60EA">
      <w:pPr>
        <w:spacing w:after="60" w:line="360" w:lineRule="auto"/>
      </w:pPr>
    </w:p>
    <w:p w14:paraId="19C40FFA" w14:textId="77777777" w:rsidR="004B4140" w:rsidRPr="006E60EA" w:rsidRDefault="004B4140" w:rsidP="006E60EA">
      <w:pPr>
        <w:pStyle w:val="Heading3"/>
        <w:spacing w:line="360" w:lineRule="auto"/>
      </w:pPr>
      <w:bookmarkStart w:id="61" w:name="_Toc231383009"/>
      <w:r w:rsidRPr="006E60EA">
        <w:rPr>
          <w:sz w:val="24"/>
          <w:szCs w:val="24"/>
          <w:u w:val="single"/>
        </w:rPr>
        <w:t>International Cases</w:t>
      </w:r>
      <w:bookmarkEnd w:id="61"/>
    </w:p>
    <w:p w14:paraId="11A5ABAF" w14:textId="77777777" w:rsidR="004B4140" w:rsidRPr="006E60EA" w:rsidRDefault="004B4140" w:rsidP="006E60EA">
      <w:pPr>
        <w:spacing w:after="160" w:line="360" w:lineRule="auto"/>
        <w:ind w:left="480" w:hanging="480"/>
      </w:pPr>
      <w:r w:rsidRPr="006E60EA">
        <w:t>Alyne da Silva Pimentel Teixeira v Brazil, CEDAW Committee Communication No 17/2008, UN Doc CEDAW/C/49/D/17/2008 (2011)</w:t>
      </w:r>
    </w:p>
    <w:p w14:paraId="1BB82574" w14:textId="77777777" w:rsidR="004B4140" w:rsidRPr="006E60EA" w:rsidRDefault="004B4140" w:rsidP="006E60EA">
      <w:pPr>
        <w:spacing w:after="160" w:line="360" w:lineRule="auto"/>
        <w:ind w:left="480" w:hanging="480"/>
      </w:pPr>
      <w:r w:rsidRPr="006E60EA">
        <w:t>KL v Peru, Human Rights Committee Communication No 1153/2003, UN Doc CCPR/C/85/D/1153/2003 (2005)</w:t>
      </w:r>
    </w:p>
    <w:p w14:paraId="0281948F" w14:textId="77777777" w:rsidR="004B4140" w:rsidRPr="006E60EA" w:rsidRDefault="004B4140" w:rsidP="006E60EA">
      <w:pPr>
        <w:spacing w:after="160" w:line="360" w:lineRule="auto"/>
        <w:ind w:left="480" w:hanging="480"/>
      </w:pPr>
      <w:r w:rsidRPr="006E60EA">
        <w:lastRenderedPageBreak/>
        <w:t>LC v Peru, CEDAW Committee Communication No 22/2009, UN Doc CEDAW/C/50/D/22/2009 (2011)</w:t>
      </w:r>
    </w:p>
    <w:p w14:paraId="402CD504" w14:textId="77777777" w:rsidR="004B4140" w:rsidRPr="006E60EA" w:rsidRDefault="004B4140" w:rsidP="00743897">
      <w:pPr>
        <w:pStyle w:val="Heading1"/>
      </w:pPr>
      <w:bookmarkStart w:id="62" w:name="_Toc231383010"/>
      <w:r w:rsidRPr="006E60EA">
        <w:t>B. TABLE OF LEGISLATION AND INTERNATIONAL INSTRUMENTS</w:t>
      </w:r>
      <w:bookmarkEnd w:id="62"/>
    </w:p>
    <w:p w14:paraId="12F4D499" w14:textId="77777777" w:rsidR="004B4140" w:rsidRPr="006E60EA" w:rsidRDefault="004B4140" w:rsidP="006E60EA">
      <w:pPr>
        <w:pStyle w:val="Heading3"/>
        <w:spacing w:line="360" w:lineRule="auto"/>
      </w:pPr>
      <w:bookmarkStart w:id="63" w:name="_Toc231383011"/>
      <w:r w:rsidRPr="006E60EA">
        <w:rPr>
          <w:sz w:val="24"/>
          <w:szCs w:val="24"/>
          <w:u w:val="single"/>
        </w:rPr>
        <w:t>Domestic Legislation</w:t>
      </w:r>
      <w:bookmarkEnd w:id="63"/>
    </w:p>
    <w:p w14:paraId="558CA967" w14:textId="77777777" w:rsidR="004B4140" w:rsidRPr="006E60EA" w:rsidRDefault="004B4140" w:rsidP="006E60EA">
      <w:pPr>
        <w:spacing w:after="160" w:line="360" w:lineRule="auto"/>
        <w:ind w:left="480" w:hanging="480"/>
      </w:pPr>
      <w:r w:rsidRPr="006E60EA">
        <w:t>Constitution of Kenya (2010)</w:t>
      </w:r>
    </w:p>
    <w:p w14:paraId="104BBAA0" w14:textId="77777777" w:rsidR="004B4140" w:rsidRPr="006E60EA" w:rsidRDefault="004B4140" w:rsidP="006E60EA">
      <w:pPr>
        <w:spacing w:after="160" w:line="360" w:lineRule="auto"/>
        <w:ind w:left="480" w:hanging="480"/>
      </w:pPr>
      <w:r w:rsidRPr="006E60EA">
        <w:t>Health Act (2017)</w:t>
      </w:r>
    </w:p>
    <w:p w14:paraId="4443364F" w14:textId="77777777" w:rsidR="004B4140" w:rsidRPr="006E60EA" w:rsidRDefault="004B4140" w:rsidP="006E60EA">
      <w:pPr>
        <w:spacing w:after="160" w:line="360" w:lineRule="auto"/>
        <w:ind w:left="480" w:hanging="480"/>
      </w:pPr>
      <w:r w:rsidRPr="006E60EA">
        <w:t>Penal Code (Cap 63, Laws of Kenya)</w:t>
      </w:r>
    </w:p>
    <w:p w14:paraId="618758A7" w14:textId="77777777" w:rsidR="004B4140" w:rsidRPr="006E60EA" w:rsidRDefault="004B4140" w:rsidP="006E60EA">
      <w:pPr>
        <w:spacing w:after="160" w:line="360" w:lineRule="auto"/>
        <w:ind w:left="480" w:hanging="480"/>
      </w:pPr>
      <w:r w:rsidRPr="006E60EA">
        <w:t>Reproductive Healthcare Bill (2019)</w:t>
      </w:r>
    </w:p>
    <w:p w14:paraId="2060E459" w14:textId="77777777" w:rsidR="004B4140" w:rsidRPr="006E60EA" w:rsidRDefault="004B4140" w:rsidP="006E60EA">
      <w:pPr>
        <w:spacing w:after="60" w:line="360" w:lineRule="auto"/>
      </w:pPr>
    </w:p>
    <w:p w14:paraId="4024F077" w14:textId="77777777" w:rsidR="004B4140" w:rsidRPr="006E60EA" w:rsidRDefault="004B4140" w:rsidP="006E60EA">
      <w:pPr>
        <w:pStyle w:val="Heading3"/>
        <w:spacing w:line="360" w:lineRule="auto"/>
      </w:pPr>
      <w:bookmarkStart w:id="64" w:name="_Toc231383012"/>
      <w:r w:rsidRPr="006E60EA">
        <w:rPr>
          <w:sz w:val="24"/>
          <w:szCs w:val="24"/>
          <w:u w:val="single"/>
        </w:rPr>
        <w:t>International and Regional Instruments</w:t>
      </w:r>
      <w:bookmarkEnd w:id="64"/>
    </w:p>
    <w:p w14:paraId="6429DFAB" w14:textId="77777777" w:rsidR="004B4140" w:rsidRPr="006E60EA" w:rsidRDefault="004B4140" w:rsidP="006E60EA">
      <w:pPr>
        <w:spacing w:after="160" w:line="360" w:lineRule="auto"/>
        <w:ind w:left="480" w:hanging="480"/>
      </w:pPr>
      <w:r w:rsidRPr="006E60EA">
        <w:t>African Charter on Human and Peoples’ Rights (adopted 27 June 1981, entered into force 21 October 1986) OAU Doc CAB/LEG/67/3 rev 5</w:t>
      </w:r>
    </w:p>
    <w:p w14:paraId="3576862D" w14:textId="77777777" w:rsidR="004B4140" w:rsidRPr="006E60EA" w:rsidRDefault="004B4140" w:rsidP="006E60EA">
      <w:pPr>
        <w:spacing w:after="160" w:line="360" w:lineRule="auto"/>
        <w:ind w:left="480" w:hanging="480"/>
      </w:pPr>
      <w:r w:rsidRPr="006E60EA">
        <w:t>Convention on the Elimination of All Forms of Discrimination Against Women (adopted 18 December 1979, entered into force 3 September 1981) 1249 UNTS 13</w:t>
      </w:r>
    </w:p>
    <w:p w14:paraId="1F064B22" w14:textId="77777777" w:rsidR="004B4140" w:rsidRPr="006E60EA" w:rsidRDefault="004B4140" w:rsidP="006E60EA">
      <w:pPr>
        <w:spacing w:after="160" w:line="360" w:lineRule="auto"/>
        <w:ind w:left="480" w:hanging="480"/>
      </w:pPr>
      <w:r w:rsidRPr="006E60EA">
        <w:t>International Covenant on Civil and Political Rights (adopted 16 December 1966, entered into force 23 March 1976) 999 UNTS 171</w:t>
      </w:r>
    </w:p>
    <w:p w14:paraId="4F7D2893" w14:textId="77777777" w:rsidR="004B4140" w:rsidRPr="006E60EA" w:rsidRDefault="004B4140" w:rsidP="006E60EA">
      <w:pPr>
        <w:spacing w:after="160" w:line="360" w:lineRule="auto"/>
        <w:ind w:left="480" w:hanging="480"/>
      </w:pPr>
      <w:r w:rsidRPr="006E60EA">
        <w:t>International Covenant on Economic, Social and Cultural Rights (adopted 16 December 1966, entered into force 3 January 1976) 993 UNTS 3</w:t>
      </w:r>
    </w:p>
    <w:p w14:paraId="0F8A6559" w14:textId="77777777" w:rsidR="004B4140" w:rsidRPr="006E60EA" w:rsidRDefault="004B4140" w:rsidP="006E60EA">
      <w:pPr>
        <w:spacing w:after="160" w:line="360" w:lineRule="auto"/>
        <w:ind w:left="480" w:hanging="480"/>
      </w:pPr>
      <w:r w:rsidRPr="006E60EA">
        <w:t>Protocol to the African Charter on Human and Peoples’ Rights on the Rights of Women in Africa (Maputo Protocol) (adopted 11 July 2003, entered into force 25 November 2005) CAB/LEG/66.6</w:t>
      </w:r>
    </w:p>
    <w:p w14:paraId="4B5EC7EB" w14:textId="77777777" w:rsidR="004B4140" w:rsidRPr="006E60EA" w:rsidRDefault="004B4140" w:rsidP="006E60EA">
      <w:pPr>
        <w:spacing w:after="160" w:line="360" w:lineRule="auto"/>
        <w:ind w:left="480" w:hanging="480"/>
      </w:pPr>
      <w:r w:rsidRPr="006E60EA">
        <w:t>Universal Declaration of Human Rights (adopted 10 December 1948) UN Doc A/RES/217(III)</w:t>
      </w:r>
    </w:p>
    <w:p w14:paraId="0E28723E" w14:textId="77777777" w:rsidR="004B4140" w:rsidRPr="006E60EA" w:rsidRDefault="004B4140" w:rsidP="006E60EA">
      <w:pPr>
        <w:spacing w:after="160" w:line="360" w:lineRule="auto"/>
        <w:ind w:left="480" w:hanging="480"/>
      </w:pPr>
      <w:r w:rsidRPr="006E60EA">
        <w:lastRenderedPageBreak/>
        <w:t>United Nations, Transforming Our World: The 2030 Agenda for Sustainable Development (adopted 25 September 2015) UN Doc A/RES/70/1</w:t>
      </w:r>
    </w:p>
    <w:p w14:paraId="40B36F44" w14:textId="77777777" w:rsidR="004B4140" w:rsidRPr="006E60EA" w:rsidRDefault="004B4140" w:rsidP="006E60EA">
      <w:pPr>
        <w:spacing w:after="60" w:line="360" w:lineRule="auto"/>
      </w:pPr>
    </w:p>
    <w:p w14:paraId="3EC06D21" w14:textId="77777777" w:rsidR="004B4140" w:rsidRPr="006E60EA" w:rsidRDefault="004B4140" w:rsidP="006E60EA">
      <w:pPr>
        <w:pStyle w:val="Heading3"/>
        <w:spacing w:line="360" w:lineRule="auto"/>
      </w:pPr>
      <w:bookmarkStart w:id="65" w:name="_Toc231383013"/>
      <w:r w:rsidRPr="006E60EA">
        <w:rPr>
          <w:sz w:val="24"/>
          <w:szCs w:val="24"/>
          <w:u w:val="single"/>
        </w:rPr>
        <w:t>Treaty Body Outputs</w:t>
      </w:r>
      <w:bookmarkEnd w:id="65"/>
    </w:p>
    <w:p w14:paraId="77275444" w14:textId="77777777" w:rsidR="004B4140" w:rsidRPr="006E60EA" w:rsidRDefault="004B4140" w:rsidP="006E60EA">
      <w:pPr>
        <w:spacing w:after="160" w:line="360" w:lineRule="auto"/>
        <w:ind w:left="480" w:hanging="480"/>
      </w:pPr>
      <w:r w:rsidRPr="006E60EA">
        <w:t>Committee on Economic, Social and Cultural Rights, General Comment No 14: The Right to the Highest Attainable Standard of Health, UN Doc E/C.12/2000/4 (2000)</w:t>
      </w:r>
    </w:p>
    <w:p w14:paraId="3AD8A745" w14:textId="77777777" w:rsidR="004B4140" w:rsidRPr="006E60EA" w:rsidRDefault="004B4140" w:rsidP="006E60EA">
      <w:pPr>
        <w:spacing w:after="160" w:line="360" w:lineRule="auto"/>
        <w:ind w:left="480" w:hanging="480"/>
      </w:pPr>
      <w:r w:rsidRPr="006E60EA">
        <w:t>Committee on Economic, Social and Cultural Rights, General Comment No 22: The Right to Sexual and Reproductive Health, UN Doc E/C.12/GC/22 (2016)</w:t>
      </w:r>
    </w:p>
    <w:p w14:paraId="2495D191" w14:textId="77777777" w:rsidR="004B4140" w:rsidRPr="006E60EA" w:rsidRDefault="004B4140" w:rsidP="006E60EA">
      <w:pPr>
        <w:spacing w:after="160" w:line="360" w:lineRule="auto"/>
        <w:ind w:left="480" w:hanging="480"/>
      </w:pPr>
      <w:r w:rsidRPr="006E60EA">
        <w:t>CEDAW Committee, General Recommendation No 24: Women and Health, UN Doc A/54/38/Rev.1 (1999)</w:t>
      </w:r>
    </w:p>
    <w:p w14:paraId="229576CD" w14:textId="77777777" w:rsidR="004B4140" w:rsidRPr="006E60EA" w:rsidRDefault="004B4140" w:rsidP="006E60EA">
      <w:pPr>
        <w:spacing w:after="160" w:line="360" w:lineRule="auto"/>
        <w:ind w:left="480" w:hanging="480"/>
      </w:pPr>
      <w:r w:rsidRPr="006E60EA">
        <w:t>CEDAW Committee, Concluding Observations on the Eighth Periodic Report of Kenya, UN Doc CEDAW/C/KEN/CO/8 (2017)</w:t>
      </w:r>
    </w:p>
    <w:p w14:paraId="5AFB691E" w14:textId="77777777" w:rsidR="004B4140" w:rsidRPr="006E60EA" w:rsidRDefault="004B4140" w:rsidP="00743897">
      <w:pPr>
        <w:pStyle w:val="Heading1"/>
      </w:pPr>
      <w:bookmarkStart w:id="66" w:name="_Toc231383014"/>
      <w:r w:rsidRPr="006E60EA">
        <w:t>C. BIBLIOGRAPHY</w:t>
      </w:r>
      <w:bookmarkEnd w:id="66"/>
    </w:p>
    <w:p w14:paraId="79FC8B25" w14:textId="77777777" w:rsidR="004B4140" w:rsidRPr="006E60EA" w:rsidRDefault="004B4140" w:rsidP="006E60EA">
      <w:pPr>
        <w:pStyle w:val="Heading3"/>
        <w:spacing w:line="360" w:lineRule="auto"/>
      </w:pPr>
      <w:bookmarkStart w:id="67" w:name="_Toc231383015"/>
      <w:r w:rsidRPr="006E60EA">
        <w:rPr>
          <w:sz w:val="24"/>
          <w:szCs w:val="24"/>
          <w:u w:val="single"/>
        </w:rPr>
        <w:t>Books and Book Chapters</w:t>
      </w:r>
      <w:bookmarkEnd w:id="67"/>
    </w:p>
    <w:p w14:paraId="6873162E" w14:textId="77777777" w:rsidR="004B4140" w:rsidRPr="006E60EA" w:rsidRDefault="004B4140" w:rsidP="006E60EA">
      <w:pPr>
        <w:spacing w:after="160" w:line="360" w:lineRule="auto"/>
        <w:ind w:left="480" w:hanging="480"/>
      </w:pPr>
      <w:r w:rsidRPr="006E60EA">
        <w:t>Banda F, Women, Law and Human Rights: An African Perspective (Hart Publishing 2005)</w:t>
      </w:r>
    </w:p>
    <w:p w14:paraId="2226D9C6" w14:textId="77777777" w:rsidR="004B4140" w:rsidRPr="006E60EA" w:rsidRDefault="004B4140" w:rsidP="006E60EA">
      <w:pPr>
        <w:spacing w:after="160" w:line="360" w:lineRule="auto"/>
        <w:ind w:left="480" w:hanging="480"/>
      </w:pPr>
      <w:r w:rsidRPr="006E60EA">
        <w:t>Banakar R and Travers M (eds), Theory and Method in Socio-Legal Research (Hart Publishing 2005)</w:t>
      </w:r>
    </w:p>
    <w:p w14:paraId="477D4C75" w14:textId="77777777" w:rsidR="004B4140" w:rsidRPr="006E60EA" w:rsidRDefault="004B4140" w:rsidP="006E60EA">
      <w:pPr>
        <w:spacing w:after="160" w:line="360" w:lineRule="auto"/>
        <w:ind w:left="480" w:hanging="480"/>
      </w:pPr>
      <w:r w:rsidRPr="006E60EA">
        <w:t>Bryman A, Social Research Methods (5th edn, Oxford University Press 2016)</w:t>
      </w:r>
    </w:p>
    <w:p w14:paraId="2CEB01F1" w14:textId="77777777" w:rsidR="004B4140" w:rsidRPr="006E60EA" w:rsidRDefault="004B4140" w:rsidP="006E60EA">
      <w:pPr>
        <w:spacing w:after="160" w:line="360" w:lineRule="auto"/>
        <w:ind w:left="480" w:hanging="480"/>
      </w:pPr>
      <w:r w:rsidRPr="006E60EA">
        <w:t>Cook RJ, Dickens BM and Fathalla MF, Reproductive Health and Human Rights: Integrating Medicine, Ethics, and Law (Oxford University Press 2003)</w:t>
      </w:r>
    </w:p>
    <w:p w14:paraId="4EB6416F" w14:textId="77777777" w:rsidR="004B4140" w:rsidRPr="006E60EA" w:rsidRDefault="004B4140" w:rsidP="006E60EA">
      <w:pPr>
        <w:spacing w:after="160" w:line="360" w:lineRule="auto"/>
        <w:ind w:left="480" w:hanging="480"/>
      </w:pPr>
      <w:r w:rsidRPr="006E60EA">
        <w:t>Corrêa S and Petchesky R, “Reproductive and Sexual Rights: A Feminist Perspective” in Sen G, Germain A and Chen L (eds), Population Policies Reconsidered: Health, Empowerment, and Rights (Harvard University Press 1994)</w:t>
      </w:r>
    </w:p>
    <w:p w14:paraId="40F912B8" w14:textId="77777777" w:rsidR="004B4140" w:rsidRPr="006E60EA" w:rsidRDefault="004B4140" w:rsidP="006E60EA">
      <w:pPr>
        <w:spacing w:after="160" w:line="360" w:lineRule="auto"/>
        <w:ind w:left="480" w:hanging="480"/>
      </w:pPr>
      <w:r w:rsidRPr="006E60EA">
        <w:t>Creswell JW and Creswell JD, Research Design: Qualitative, Quantitative, and Mixed Methods Approaches (5th edn, SAGE Publications 2018)</w:t>
      </w:r>
    </w:p>
    <w:p w14:paraId="2E4FFD0E" w14:textId="77777777" w:rsidR="004B4140" w:rsidRPr="006E60EA" w:rsidRDefault="004B4140" w:rsidP="006E60EA">
      <w:pPr>
        <w:spacing w:after="160" w:line="360" w:lineRule="auto"/>
        <w:ind w:left="480" w:hanging="480"/>
      </w:pPr>
      <w:r w:rsidRPr="006E60EA">
        <w:lastRenderedPageBreak/>
        <w:t>Fredman S, Human Rights Transformed: Positive Rights and Positive Duties (Oxford University Press 2008)</w:t>
      </w:r>
    </w:p>
    <w:p w14:paraId="4DABBE41" w14:textId="77777777" w:rsidR="004B4140" w:rsidRPr="006E60EA" w:rsidRDefault="004B4140" w:rsidP="006E60EA">
      <w:pPr>
        <w:spacing w:after="160" w:line="360" w:lineRule="auto"/>
        <w:ind w:left="480" w:hanging="480"/>
      </w:pPr>
      <w:r w:rsidRPr="006E60EA">
        <w:t>Kothari CR, Research Methodology: Methods and Techniques (2nd edn, New Age International Publishers 2004)</w:t>
      </w:r>
    </w:p>
    <w:p w14:paraId="50AE97FB" w14:textId="77777777" w:rsidR="004B4140" w:rsidRPr="006E60EA" w:rsidRDefault="004B4140" w:rsidP="006E60EA">
      <w:pPr>
        <w:spacing w:after="160" w:line="360" w:lineRule="auto"/>
        <w:ind w:left="480" w:hanging="480"/>
      </w:pPr>
      <w:r w:rsidRPr="006E60EA">
        <w:t>Murray R, The African Commission on Human and Peoples’ Rights and International Law (Hart Publishing 2000)</w:t>
      </w:r>
    </w:p>
    <w:p w14:paraId="55096641" w14:textId="77777777" w:rsidR="004B4140" w:rsidRPr="006E60EA" w:rsidRDefault="004B4140" w:rsidP="006E60EA">
      <w:pPr>
        <w:spacing w:after="160" w:line="360" w:lineRule="auto"/>
        <w:ind w:left="480" w:hanging="480"/>
      </w:pPr>
      <w:r w:rsidRPr="006E60EA">
        <w:t>Patton MQ, Qualitative Research and Evaluation Methods: Integrating Theory and Practice (4th edn, SAGE Publications 2015)</w:t>
      </w:r>
    </w:p>
    <w:p w14:paraId="64A49EEE" w14:textId="77777777" w:rsidR="004B4140" w:rsidRPr="006E60EA" w:rsidRDefault="004B4140" w:rsidP="006E60EA">
      <w:pPr>
        <w:spacing w:after="160" w:line="360" w:lineRule="auto"/>
        <w:ind w:left="480" w:hanging="480"/>
      </w:pPr>
      <w:r w:rsidRPr="006E60EA">
        <w:t>Saunders M, Lewis P and Thornhill A, Research Methods for Business Students (8th edn, Pearson Education 2019)</w:t>
      </w:r>
    </w:p>
    <w:p w14:paraId="1A721011" w14:textId="77777777" w:rsidR="004B4140" w:rsidRPr="006E60EA" w:rsidRDefault="004B4140" w:rsidP="006E60EA">
      <w:pPr>
        <w:spacing w:after="160" w:line="360" w:lineRule="auto"/>
        <w:ind w:left="480" w:hanging="480"/>
      </w:pPr>
      <w:r w:rsidRPr="006E60EA">
        <w:t>Siems M, Comparative Law (2nd edn, Cambridge University Press 2018)</w:t>
      </w:r>
    </w:p>
    <w:p w14:paraId="24DF1C77" w14:textId="77777777" w:rsidR="004B4140" w:rsidRPr="006E60EA" w:rsidRDefault="004B4140" w:rsidP="006E60EA">
      <w:pPr>
        <w:spacing w:after="160" w:line="360" w:lineRule="auto"/>
        <w:ind w:left="480" w:hanging="480"/>
      </w:pPr>
      <w:r w:rsidRPr="006E60EA">
        <w:t>Toebes B, The Right to Health as a Human Right in International Law (Intersentia 1999)</w:t>
      </w:r>
    </w:p>
    <w:p w14:paraId="1E53D53A" w14:textId="77777777" w:rsidR="004B4140" w:rsidRPr="006E60EA" w:rsidRDefault="004B4140" w:rsidP="006E60EA">
      <w:pPr>
        <w:spacing w:after="160" w:line="360" w:lineRule="auto"/>
        <w:ind w:left="480" w:hanging="480"/>
      </w:pPr>
      <w:r w:rsidRPr="006E60EA">
        <w:t>Viljoen F, International Human Rights Law in Africa (2nd edn, Oxford University Press 2012)</w:t>
      </w:r>
    </w:p>
    <w:p w14:paraId="1127DD4D" w14:textId="77777777" w:rsidR="004B4140" w:rsidRPr="006E60EA" w:rsidRDefault="004B4140" w:rsidP="006E60EA">
      <w:pPr>
        <w:spacing w:after="160" w:line="360" w:lineRule="auto"/>
        <w:ind w:left="480" w:hanging="480"/>
      </w:pPr>
      <w:r w:rsidRPr="006E60EA">
        <w:t>World Health Organization Commission on Social Determinants of Health, Closing the Gap in a Generation: Health Equity through Action on the Social Determinants of Health (WHO 2008)</w:t>
      </w:r>
    </w:p>
    <w:p w14:paraId="41619489" w14:textId="77777777" w:rsidR="004B4140" w:rsidRPr="006E60EA" w:rsidRDefault="004B4140" w:rsidP="006E60EA">
      <w:pPr>
        <w:spacing w:after="160" w:line="360" w:lineRule="auto"/>
        <w:ind w:left="480" w:hanging="480"/>
      </w:pPr>
      <w:r w:rsidRPr="006E60EA">
        <w:t>Yamin AE, Power, Suffering, and the Struggle for Dignity: Human Rights Frameworks for Health and Why They Matter (University of Pennsylvania Press 2016)</w:t>
      </w:r>
    </w:p>
    <w:p w14:paraId="578C2323" w14:textId="77777777" w:rsidR="004B4140" w:rsidRPr="006E60EA" w:rsidRDefault="004B4140" w:rsidP="006E60EA">
      <w:pPr>
        <w:spacing w:after="160" w:line="360" w:lineRule="auto"/>
        <w:ind w:left="480" w:hanging="480"/>
      </w:pPr>
      <w:r w:rsidRPr="006E60EA">
        <w:t>Yamin AE and Gloppen S (eds), Litigating Health Rights: Can Courts Bring More Justice to Health? (Harvard University Press 2011)</w:t>
      </w:r>
    </w:p>
    <w:p w14:paraId="362CC79D" w14:textId="77777777" w:rsidR="004B4140" w:rsidRPr="006E60EA" w:rsidRDefault="004B4140" w:rsidP="006E60EA">
      <w:pPr>
        <w:spacing w:after="160" w:line="360" w:lineRule="auto"/>
        <w:ind w:left="480" w:hanging="480"/>
      </w:pPr>
      <w:r w:rsidRPr="006E60EA">
        <w:t>Yin RK, Case Study Research and Applications: Design and Methods (6th edn, SAGE Publications 2018)</w:t>
      </w:r>
    </w:p>
    <w:p w14:paraId="6EF299F7" w14:textId="77777777" w:rsidR="004B4140" w:rsidRPr="006E60EA" w:rsidRDefault="004B4140" w:rsidP="006E60EA">
      <w:pPr>
        <w:spacing w:after="60" w:line="360" w:lineRule="auto"/>
      </w:pPr>
    </w:p>
    <w:p w14:paraId="6C0980F4" w14:textId="77777777" w:rsidR="004B4140" w:rsidRPr="006E60EA" w:rsidRDefault="004B4140" w:rsidP="006E60EA">
      <w:pPr>
        <w:pStyle w:val="Heading3"/>
        <w:spacing w:line="360" w:lineRule="auto"/>
      </w:pPr>
      <w:bookmarkStart w:id="68" w:name="_Toc231383016"/>
      <w:r w:rsidRPr="006E60EA">
        <w:rPr>
          <w:sz w:val="24"/>
          <w:szCs w:val="24"/>
          <w:u w:val="single"/>
        </w:rPr>
        <w:t>Journal Articles</w:t>
      </w:r>
      <w:bookmarkEnd w:id="68"/>
    </w:p>
    <w:p w14:paraId="43A503F5" w14:textId="77777777" w:rsidR="004B4140" w:rsidRPr="006E60EA" w:rsidRDefault="004B4140" w:rsidP="006E60EA">
      <w:pPr>
        <w:spacing w:after="160" w:line="360" w:lineRule="auto"/>
        <w:ind w:left="480" w:hanging="480"/>
      </w:pPr>
      <w:r w:rsidRPr="006E60EA">
        <w:lastRenderedPageBreak/>
        <w:t>Braun V and Clarke V, “Using Thematic Analysis in Psychology” (2006) 3(2) Qualitative Research in Psychology 77</w:t>
      </w:r>
    </w:p>
    <w:p w14:paraId="2C959676" w14:textId="77777777" w:rsidR="004B4140" w:rsidRPr="006E60EA" w:rsidRDefault="004B4140" w:rsidP="006E60EA">
      <w:pPr>
        <w:spacing w:after="160" w:line="360" w:lineRule="auto"/>
        <w:ind w:left="480" w:hanging="480"/>
      </w:pPr>
      <w:r w:rsidRPr="006E60EA">
        <w:t>Bozeman B, “Public Values Theory: Three Big Questions” (2009) 4(5) International Journal of Public Policy 369</w:t>
      </w:r>
    </w:p>
    <w:p w14:paraId="01B9F926" w14:textId="77777777" w:rsidR="004B4140" w:rsidRPr="006E60EA" w:rsidRDefault="004B4140" w:rsidP="006E60EA">
      <w:pPr>
        <w:spacing w:after="160" w:line="360" w:lineRule="auto"/>
        <w:ind w:left="480" w:hanging="480"/>
      </w:pPr>
      <w:r w:rsidRPr="006E60EA">
        <w:t>Chandra-Mouli V and others, “Contraception for Adolescents in Low and Middle Income Countries: Needs, Barriers, and Access” (2014) 11(1) Reproductive Health 1</w:t>
      </w:r>
    </w:p>
    <w:p w14:paraId="5697D6D5" w14:textId="77777777" w:rsidR="004B4140" w:rsidRPr="006E60EA" w:rsidRDefault="004B4140" w:rsidP="006E60EA">
      <w:pPr>
        <w:spacing w:after="160" w:line="360" w:lineRule="auto"/>
        <w:ind w:left="480" w:hanging="480"/>
      </w:pPr>
      <w:r w:rsidRPr="006E60EA">
        <w:t>Chirwa DM, “Toward Revitalizing Economic, Social and Cultural Rights in Africa: Social and Economic Rights Action Centre v Nigeria” (2002) 10 Human Rights Brief 14</w:t>
      </w:r>
    </w:p>
    <w:p w14:paraId="1A1993C8" w14:textId="77777777" w:rsidR="004B4140" w:rsidRPr="006E60EA" w:rsidRDefault="004B4140" w:rsidP="006E60EA">
      <w:pPr>
        <w:spacing w:after="160" w:line="360" w:lineRule="auto"/>
        <w:ind w:left="480" w:hanging="480"/>
      </w:pPr>
      <w:r w:rsidRPr="006E60EA">
        <w:t>Dixon-Mueller R, “The Sexuality Connection in Reproductive Health” (1993) 24(5) Studies in Family Planning 269</w:t>
      </w:r>
    </w:p>
    <w:p w14:paraId="62472770" w14:textId="77777777" w:rsidR="004B4140" w:rsidRPr="006E60EA" w:rsidRDefault="004B4140" w:rsidP="006E60EA">
      <w:pPr>
        <w:spacing w:after="160" w:line="360" w:lineRule="auto"/>
        <w:ind w:left="480" w:hanging="480"/>
      </w:pPr>
      <w:r w:rsidRPr="006E60EA">
        <w:t>Gitahi-Kamau N, “The Reproductive Healthcare Bill, 2019 and the Future of Women’s Rights in Kenya” (2020) 12 East African Law Journal 78</w:t>
      </w:r>
    </w:p>
    <w:p w14:paraId="5EC0CDF9" w14:textId="77777777" w:rsidR="004B4140" w:rsidRPr="006E60EA" w:rsidRDefault="004B4140" w:rsidP="006E60EA">
      <w:pPr>
        <w:spacing w:after="160" w:line="360" w:lineRule="auto"/>
        <w:ind w:left="480" w:hanging="480"/>
      </w:pPr>
      <w:r w:rsidRPr="006E60EA">
        <w:t>Hunt P and Khosla R, “The Human Right to Medicines” (2008) 1 Sur: International Journal on Human Rights 99</w:t>
      </w:r>
    </w:p>
    <w:p w14:paraId="25AAC4F1" w14:textId="77777777" w:rsidR="004B4140" w:rsidRPr="006E60EA" w:rsidRDefault="004B4140" w:rsidP="006E60EA">
      <w:pPr>
        <w:spacing w:after="160" w:line="360" w:lineRule="auto"/>
        <w:ind w:left="480" w:hanging="480"/>
      </w:pPr>
      <w:r w:rsidRPr="006E60EA">
        <w:t>Hutchinson T and Duncan N, “Defining and Describing What We Do: Doctrinal Legal Research” (2012) 17 Deakin Law Review 83</w:t>
      </w:r>
    </w:p>
    <w:p w14:paraId="23521237" w14:textId="77777777" w:rsidR="004B4140" w:rsidRPr="006E60EA" w:rsidRDefault="004B4140" w:rsidP="006E60EA">
      <w:pPr>
        <w:spacing w:after="160" w:line="360" w:lineRule="auto"/>
        <w:ind w:left="480" w:hanging="480"/>
      </w:pPr>
      <w:r w:rsidRPr="006E60EA">
        <w:t>Kamau A, “Social and Cultural Factors Affecting Reproductive Health in Kenya” (2017) 9 African Journal of Reproductive Health 112</w:t>
      </w:r>
    </w:p>
    <w:p w14:paraId="1E919875" w14:textId="77777777" w:rsidR="004B4140" w:rsidRPr="006E60EA" w:rsidRDefault="004B4140" w:rsidP="006E60EA">
      <w:pPr>
        <w:spacing w:after="160" w:line="360" w:lineRule="auto"/>
        <w:ind w:left="480" w:hanging="480"/>
      </w:pPr>
      <w:r w:rsidRPr="006E60EA">
        <w:t>Kameri-Mbote P and Akello J, “Reproductive Rights under Kenya’s New Constitutional Framework” (2012) 3 Journal of African Law 201</w:t>
      </w:r>
    </w:p>
    <w:p w14:paraId="52927720" w14:textId="77777777" w:rsidR="004B4140" w:rsidRPr="006E60EA" w:rsidRDefault="004B4140" w:rsidP="006E60EA">
      <w:pPr>
        <w:spacing w:after="160" w:line="360" w:lineRule="auto"/>
        <w:ind w:left="480" w:hanging="480"/>
      </w:pPr>
      <w:r w:rsidRPr="006E60EA">
        <w:t>Mtambo B, “Socio-Legal Research Methods in African Health Rights Scholarship” (2018) 14 African Journal of Legal Studies 201</w:t>
      </w:r>
    </w:p>
    <w:p w14:paraId="57F0F06C" w14:textId="77777777" w:rsidR="004B4140" w:rsidRPr="006E60EA" w:rsidRDefault="004B4140" w:rsidP="006E60EA">
      <w:pPr>
        <w:spacing w:after="160" w:line="360" w:lineRule="auto"/>
        <w:ind w:left="480" w:hanging="480"/>
      </w:pPr>
      <w:r w:rsidRPr="006E60EA">
        <w:t>Muigua K, “Abortion Law, Policy and Practice in Kenya” (2013) 5 African Journal of Reproductive Health 45</w:t>
      </w:r>
    </w:p>
    <w:p w14:paraId="51444B5B" w14:textId="77777777" w:rsidR="004B4140" w:rsidRPr="006E60EA" w:rsidRDefault="004B4140" w:rsidP="006E60EA">
      <w:pPr>
        <w:spacing w:after="160" w:line="360" w:lineRule="auto"/>
        <w:ind w:left="480" w:hanging="480"/>
      </w:pPr>
      <w:r w:rsidRPr="006E60EA">
        <w:t>Murungi L and Galati J, “Is the Right to Health Justiciable? Comparative Perspectives from Sub-Saharan Africa” (2010) 22 Windsor Review of Legal and Social Issues 110</w:t>
      </w:r>
    </w:p>
    <w:p w14:paraId="440BC005" w14:textId="77777777" w:rsidR="004B4140" w:rsidRPr="006E60EA" w:rsidRDefault="004B4140" w:rsidP="006E60EA">
      <w:pPr>
        <w:spacing w:after="160" w:line="360" w:lineRule="auto"/>
        <w:ind w:left="480" w:hanging="480"/>
      </w:pPr>
      <w:r w:rsidRPr="006E60EA">
        <w:lastRenderedPageBreak/>
        <w:t>Osur J and others, “How Unsafe Abortion Is Practiced among Vulnerable Groups in Kenya: A Qualitative Study” (2015) 10(9) PLOS ONE e0136498</w:t>
      </w:r>
    </w:p>
    <w:p w14:paraId="11D2511E" w14:textId="77777777" w:rsidR="004B4140" w:rsidRPr="006E60EA" w:rsidRDefault="004B4140" w:rsidP="006E60EA">
      <w:pPr>
        <w:spacing w:after="160" w:line="360" w:lineRule="auto"/>
        <w:ind w:left="480" w:hanging="480"/>
      </w:pPr>
      <w:r w:rsidRPr="006E60EA">
        <w:t>Ouedraogo A and Andago P, “Reproductive Rights Litigation in Sub-Saharan Africa: Trends and Prospects” (2020) 18 African Human Rights Law Journal 302</w:t>
      </w:r>
    </w:p>
    <w:p w14:paraId="4C7EA272" w14:textId="77777777" w:rsidR="004B4140" w:rsidRPr="006E60EA" w:rsidRDefault="004B4140" w:rsidP="006E60EA">
      <w:pPr>
        <w:spacing w:after="160" w:line="360" w:lineRule="auto"/>
        <w:ind w:left="480" w:hanging="480"/>
      </w:pPr>
      <w:r w:rsidRPr="006E60EA">
        <w:t>“PAK v Attorney General” (2022) 136 Harvard Law Review 733</w:t>
      </w:r>
    </w:p>
    <w:p w14:paraId="312AD23F" w14:textId="77777777" w:rsidR="004B4140" w:rsidRPr="006E60EA" w:rsidRDefault="004B4140" w:rsidP="006E60EA">
      <w:pPr>
        <w:spacing w:after="160" w:line="360" w:lineRule="auto"/>
        <w:ind w:left="480" w:hanging="480"/>
      </w:pPr>
      <w:r w:rsidRPr="006E60EA">
        <w:t>Zampas C and Gher JM, “Abortion as a Human Right: International and Regional Standards” (2008) 8 Human Rights Law Review 249</w:t>
      </w:r>
    </w:p>
    <w:p w14:paraId="52D084C4" w14:textId="77777777" w:rsidR="004B4140" w:rsidRPr="006E60EA" w:rsidRDefault="004B4140" w:rsidP="006E60EA">
      <w:pPr>
        <w:spacing w:after="60" w:line="360" w:lineRule="auto"/>
      </w:pPr>
    </w:p>
    <w:p w14:paraId="531A63BF" w14:textId="77777777" w:rsidR="00B4512E" w:rsidRDefault="00B4512E" w:rsidP="006E60EA">
      <w:pPr>
        <w:pStyle w:val="Heading3"/>
        <w:spacing w:line="360" w:lineRule="auto"/>
        <w:rPr>
          <w:sz w:val="24"/>
          <w:szCs w:val="24"/>
          <w:u w:val="single"/>
        </w:rPr>
      </w:pPr>
    </w:p>
    <w:p w14:paraId="248230CA" w14:textId="2443AB96" w:rsidR="004B4140" w:rsidRPr="006E60EA" w:rsidRDefault="004B4140" w:rsidP="006E60EA">
      <w:pPr>
        <w:pStyle w:val="Heading3"/>
        <w:spacing w:line="360" w:lineRule="auto"/>
      </w:pPr>
      <w:bookmarkStart w:id="69" w:name="_Toc231383017"/>
      <w:r w:rsidRPr="006E60EA">
        <w:rPr>
          <w:sz w:val="24"/>
          <w:szCs w:val="24"/>
          <w:u w:val="single"/>
        </w:rPr>
        <w:t>Reports and Other Sources</w:t>
      </w:r>
      <w:bookmarkEnd w:id="69"/>
    </w:p>
    <w:p w14:paraId="31968A34" w14:textId="77777777" w:rsidR="004B4140" w:rsidRPr="007512C1" w:rsidRDefault="004B4140" w:rsidP="006E60EA">
      <w:pPr>
        <w:spacing w:after="160" w:line="360" w:lineRule="auto"/>
        <w:ind w:left="480" w:hanging="480"/>
        <w:rPr>
          <w:color w:val="5B9BD5" w:themeColor="accent1"/>
        </w:rPr>
      </w:pPr>
      <w:r w:rsidRPr="007512C1">
        <w:rPr>
          <w:color w:val="5B9BD5" w:themeColor="accent1"/>
        </w:rPr>
        <w:t>African Population and Health Research Center, “Barriers to Reproductive Health in Rural Kenya” (APHRC 2021)</w:t>
      </w:r>
    </w:p>
    <w:p w14:paraId="7740B80A" w14:textId="77777777" w:rsidR="004B4140" w:rsidRPr="007512C1" w:rsidRDefault="004B4140" w:rsidP="006E60EA">
      <w:pPr>
        <w:spacing w:after="160" w:line="360" w:lineRule="auto"/>
        <w:ind w:left="480" w:hanging="480"/>
        <w:rPr>
          <w:color w:val="5B9BD5" w:themeColor="accent1"/>
        </w:rPr>
      </w:pPr>
      <w:r w:rsidRPr="007512C1">
        <w:rPr>
          <w:color w:val="5B9BD5" w:themeColor="accent1"/>
        </w:rPr>
        <w:t>Centre for Reproductive Rights, “Failure to Implement Guidelines on Safe Abortion in Kenya” (CRR 2018) &lt;https://reproductiverights.org&gt; accessed March 2026</w:t>
      </w:r>
    </w:p>
    <w:p w14:paraId="08E15EF5" w14:textId="77777777" w:rsidR="004B4140" w:rsidRPr="007512C1" w:rsidRDefault="004B4140" w:rsidP="006E60EA">
      <w:pPr>
        <w:spacing w:after="160" w:line="360" w:lineRule="auto"/>
        <w:ind w:left="480" w:hanging="480"/>
        <w:rPr>
          <w:color w:val="5B9BD5" w:themeColor="accent1"/>
        </w:rPr>
      </w:pPr>
      <w:r w:rsidRPr="007512C1">
        <w:rPr>
          <w:color w:val="5B9BD5" w:themeColor="accent1"/>
        </w:rPr>
        <w:t>Centre for Reproductive Rights, “PAK and Salim Mohammed v Attorney General and Three Others” (CRR, updated April 2022) &lt;https://reproductiverights.org&gt; accessed March 2026</w:t>
      </w:r>
    </w:p>
    <w:p w14:paraId="49049247" w14:textId="77777777" w:rsidR="004B4140" w:rsidRPr="007512C1" w:rsidRDefault="004B4140" w:rsidP="006E60EA">
      <w:pPr>
        <w:spacing w:after="160" w:line="360" w:lineRule="auto"/>
        <w:ind w:left="480" w:hanging="480"/>
        <w:rPr>
          <w:color w:val="5B9BD5" w:themeColor="accent1"/>
        </w:rPr>
      </w:pPr>
      <w:r w:rsidRPr="007512C1">
        <w:rPr>
          <w:color w:val="5B9BD5" w:themeColor="accent1"/>
        </w:rPr>
        <w:t>KELIN, “Judgment Date Set in Consolidated Appeals on Abortion Rights” (KELIN, November 2025) &lt;https://www.kelinkenya.org&gt; accessed March 2026</w:t>
      </w:r>
    </w:p>
    <w:p w14:paraId="4F6C8D40" w14:textId="77777777" w:rsidR="004B4140" w:rsidRPr="007512C1" w:rsidRDefault="004B4140" w:rsidP="006E60EA">
      <w:pPr>
        <w:spacing w:after="160" w:line="360" w:lineRule="auto"/>
        <w:ind w:left="480" w:hanging="480"/>
        <w:rPr>
          <w:color w:val="5B9BD5" w:themeColor="accent1"/>
        </w:rPr>
      </w:pPr>
      <w:r w:rsidRPr="007512C1">
        <w:rPr>
          <w:color w:val="5B9BD5" w:themeColor="accent1"/>
        </w:rPr>
        <w:t>Kenya National Bureau of Statistics, Kenya Demographic and Health Survey 2022 (KNBS 2023)</w:t>
      </w:r>
    </w:p>
    <w:p w14:paraId="1273B9D4" w14:textId="77777777" w:rsidR="004B4140" w:rsidRPr="006E60EA" w:rsidRDefault="004B4140" w:rsidP="006E60EA">
      <w:pPr>
        <w:spacing w:after="60" w:line="360" w:lineRule="auto"/>
      </w:pPr>
    </w:p>
    <w:p w14:paraId="7CACAADE" w14:textId="77777777" w:rsidR="004C2C89" w:rsidRPr="006E60EA" w:rsidRDefault="004C2C89" w:rsidP="006E60EA">
      <w:pPr>
        <w:spacing w:line="360" w:lineRule="auto"/>
      </w:pPr>
    </w:p>
    <w:sectPr w:rsidR="004C2C89" w:rsidRPr="006E60EA" w:rsidSect="00346335">
      <w:pgSz w:w="12240" w:h="15840"/>
      <w:pgMar w:top="1440" w:right="1440" w:bottom="1440" w:left="180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FE3274" w14:textId="77777777" w:rsidR="00FF1E5B" w:rsidRDefault="00FF1E5B" w:rsidP="00236FC8">
      <w:r>
        <w:separator/>
      </w:r>
    </w:p>
  </w:endnote>
  <w:endnote w:type="continuationSeparator" w:id="0">
    <w:p w14:paraId="2BFFDE73" w14:textId="77777777" w:rsidR="00FF1E5B" w:rsidRDefault="00FF1E5B" w:rsidP="00236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366598"/>
      <w:docPartObj>
        <w:docPartGallery w:val="Page Numbers (Bottom of Page)"/>
        <w:docPartUnique/>
      </w:docPartObj>
    </w:sdtPr>
    <w:sdtEndPr>
      <w:rPr>
        <w:noProof/>
      </w:rPr>
    </w:sdtEndPr>
    <w:sdtContent>
      <w:p w14:paraId="505A955F" w14:textId="745CBE26" w:rsidR="00F04AE5" w:rsidRDefault="00F04AE5">
        <w:pPr>
          <w:pStyle w:val="Footer"/>
          <w:jc w:val="center"/>
        </w:pPr>
        <w:r>
          <w:fldChar w:fldCharType="begin"/>
        </w:r>
        <w:r>
          <w:instrText xml:space="preserve"> PAGE   \* MERGEFORMAT </w:instrText>
        </w:r>
        <w:r>
          <w:fldChar w:fldCharType="separate"/>
        </w:r>
        <w:r w:rsidR="005E0520">
          <w:rPr>
            <w:noProof/>
          </w:rPr>
          <w:t>vi</w:t>
        </w:r>
        <w:r>
          <w:rPr>
            <w:noProof/>
          </w:rPr>
          <w:fldChar w:fldCharType="end"/>
        </w:r>
      </w:p>
    </w:sdtContent>
  </w:sdt>
  <w:p w14:paraId="3E213EFE" w14:textId="77777777" w:rsidR="00F04AE5" w:rsidRDefault="00F04A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2987636"/>
      <w:docPartObj>
        <w:docPartGallery w:val="Page Numbers (Bottom of Page)"/>
        <w:docPartUnique/>
      </w:docPartObj>
    </w:sdtPr>
    <w:sdtEndPr>
      <w:rPr>
        <w:noProof/>
      </w:rPr>
    </w:sdtEndPr>
    <w:sdtContent>
      <w:p w14:paraId="21FAA563" w14:textId="71403D48" w:rsidR="00F04AE5" w:rsidRDefault="00F04AE5">
        <w:pPr>
          <w:pStyle w:val="Footer"/>
          <w:jc w:val="center"/>
        </w:pPr>
        <w:r>
          <w:fldChar w:fldCharType="begin"/>
        </w:r>
        <w:r>
          <w:instrText xml:space="preserve"> PAGE   \* MERGEFORMAT </w:instrText>
        </w:r>
        <w:r>
          <w:fldChar w:fldCharType="separate"/>
        </w:r>
        <w:r w:rsidR="005E0520">
          <w:rPr>
            <w:noProof/>
          </w:rPr>
          <w:t>1</w:t>
        </w:r>
        <w:r>
          <w:rPr>
            <w:noProof/>
          </w:rPr>
          <w:fldChar w:fldCharType="end"/>
        </w:r>
      </w:p>
    </w:sdtContent>
  </w:sdt>
  <w:p w14:paraId="27A7950B" w14:textId="77777777" w:rsidR="00F04AE5" w:rsidRDefault="00F04A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C03907" w14:textId="77777777" w:rsidR="00FF1E5B" w:rsidRDefault="00FF1E5B" w:rsidP="00236FC8">
      <w:r>
        <w:separator/>
      </w:r>
    </w:p>
  </w:footnote>
  <w:footnote w:type="continuationSeparator" w:id="0">
    <w:p w14:paraId="1F6AE601" w14:textId="77777777" w:rsidR="00FF1E5B" w:rsidRDefault="00FF1E5B" w:rsidP="00236FC8">
      <w:r>
        <w:continuationSeparator/>
      </w:r>
    </w:p>
  </w:footnote>
  <w:footnote w:id="1">
    <w:p w14:paraId="3E111FCA" w14:textId="77777777" w:rsidR="00F04AE5" w:rsidRDefault="00F04AE5" w:rsidP="006E60EA">
      <w:pPr>
        <w:pStyle w:val="FootnoteText"/>
      </w:pPr>
      <w:r>
        <w:rPr>
          <w:rStyle w:val="FootnoteReference"/>
        </w:rPr>
        <w:footnoteRef/>
      </w:r>
      <w:r>
        <w:t xml:space="preserve"> World Health Organization, “Reproductive Health,” WHO,2020.</w:t>
      </w:r>
    </w:p>
  </w:footnote>
  <w:footnote w:id="2">
    <w:p w14:paraId="31FD63F2" w14:textId="77777777" w:rsidR="00F04AE5" w:rsidRDefault="00F04AE5" w:rsidP="006E60EA">
      <w:pPr>
        <w:pStyle w:val="FootnoteText"/>
      </w:pPr>
      <w:r>
        <w:rPr>
          <w:rStyle w:val="FootnoteReference"/>
        </w:rPr>
        <w:footnoteRef/>
      </w:r>
      <w:r>
        <w:t xml:space="preserve"> United Nations, ICPD Programme of Action, 1994.</w:t>
      </w:r>
    </w:p>
  </w:footnote>
  <w:footnote w:id="3">
    <w:p w14:paraId="60F01367" w14:textId="77777777" w:rsidR="00F04AE5" w:rsidRDefault="00F04AE5" w:rsidP="006E60EA">
      <w:pPr>
        <w:pStyle w:val="FootnoteText"/>
      </w:pPr>
      <w:r>
        <w:rPr>
          <w:rStyle w:val="FootnoteReference"/>
        </w:rPr>
        <w:footnoteRef/>
      </w:r>
      <w:r>
        <w:t xml:space="preserve"> International Covenant on Economic, Social and Cultural Rights, Article 12.</w:t>
      </w:r>
    </w:p>
  </w:footnote>
  <w:footnote w:id="4">
    <w:p w14:paraId="7525441C" w14:textId="77777777" w:rsidR="00F04AE5" w:rsidRDefault="00F04AE5" w:rsidP="006E60EA">
      <w:pPr>
        <w:pStyle w:val="FootnoteText"/>
      </w:pPr>
      <w:r>
        <w:rPr>
          <w:rStyle w:val="FootnoteReference"/>
        </w:rPr>
        <w:footnoteRef/>
      </w:r>
      <w:r>
        <w:t xml:space="preserve"> African Population and Health Research Center, “Barriers to Reproductive Health in Rural Kenya,” 2021.</w:t>
      </w:r>
    </w:p>
  </w:footnote>
  <w:footnote w:id="5">
    <w:p w14:paraId="31B2E361" w14:textId="77777777" w:rsidR="00F04AE5" w:rsidRDefault="00F04AE5" w:rsidP="006E60EA">
      <w:pPr>
        <w:pStyle w:val="FootnoteText"/>
      </w:pPr>
      <w:r>
        <w:rPr>
          <w:rStyle w:val="FootnoteReference"/>
        </w:rPr>
        <w:footnoteRef/>
      </w:r>
      <w:r>
        <w:t xml:space="preserve"> Kenya National Bureau of Statistics, Demographic and Health Survey, 2022</w:t>
      </w:r>
    </w:p>
  </w:footnote>
  <w:footnote w:id="6">
    <w:p w14:paraId="36C9C7CC" w14:textId="77777777" w:rsidR="00F04AE5" w:rsidRDefault="00F04AE5" w:rsidP="006E60EA">
      <w:pPr>
        <w:pStyle w:val="FootnoteText"/>
      </w:pPr>
      <w:r>
        <w:rPr>
          <w:rStyle w:val="FootnoteReference"/>
        </w:rPr>
        <w:footnoteRef/>
      </w:r>
      <w:r>
        <w:t xml:space="preserve"> Constitution of Kenya, Article 43(1)(a).</w:t>
      </w:r>
    </w:p>
  </w:footnote>
  <w:footnote w:id="7">
    <w:p w14:paraId="7602A27D" w14:textId="77777777" w:rsidR="00F04AE5" w:rsidRDefault="00F04AE5" w:rsidP="006E60EA">
      <w:pPr>
        <w:pStyle w:val="FootnoteText"/>
      </w:pPr>
      <w:r>
        <w:rPr>
          <w:rStyle w:val="FootnoteReference"/>
        </w:rPr>
        <w:footnoteRef/>
      </w:r>
      <w:r>
        <w:t xml:space="preserve"> International Conference on Population and Development (ICPD), Programme of Action, Cairo, 1994.</w:t>
      </w:r>
    </w:p>
  </w:footnote>
  <w:footnote w:id="8">
    <w:p w14:paraId="5E209D41" w14:textId="77777777" w:rsidR="00F04AE5" w:rsidRDefault="00F04AE5" w:rsidP="006E60EA">
      <w:pPr>
        <w:pStyle w:val="FootnoteText"/>
      </w:pPr>
      <w:r>
        <w:rPr>
          <w:rStyle w:val="FootnoteReference"/>
        </w:rPr>
        <w:footnoteRef/>
      </w:r>
      <w:r>
        <w:t xml:space="preserve"> Protocol to the African Charter on Human and Peoples’ Rights on the Rights of Women in Africa (“Maputo Protocol”), 2003.</w:t>
      </w:r>
    </w:p>
  </w:footnote>
  <w:footnote w:id="9">
    <w:p w14:paraId="243DAC98" w14:textId="77777777" w:rsidR="00F04AE5" w:rsidRDefault="00F04AE5" w:rsidP="006E60EA">
      <w:pPr>
        <w:pStyle w:val="FootnoteText"/>
      </w:pPr>
      <w:r>
        <w:rPr>
          <w:rStyle w:val="FootnoteReference"/>
        </w:rPr>
        <w:footnoteRef/>
      </w:r>
      <w:r>
        <w:t xml:space="preserve"> Constitution of Kenya (2010), Articles 26(4) and 43(1)(a).</w:t>
      </w:r>
    </w:p>
  </w:footnote>
  <w:footnote w:id="10">
    <w:p w14:paraId="6D12FEDC" w14:textId="77777777" w:rsidR="00F04AE5" w:rsidRDefault="00F04AE5" w:rsidP="006E60EA">
      <w:pPr>
        <w:pStyle w:val="FootnoteText"/>
      </w:pPr>
      <w:r>
        <w:rPr>
          <w:rStyle w:val="FootnoteReference"/>
        </w:rPr>
        <w:footnoteRef/>
      </w:r>
      <w:r>
        <w:t xml:space="preserve"> Kenya National Bureau of Statistics, Kenya Demographic and Health Survey (KDHS) 2022, Nairobi: KNBS, 2023.</w:t>
      </w:r>
    </w:p>
  </w:footnote>
  <w:footnote w:id="11">
    <w:p w14:paraId="0CC82E3E" w14:textId="77777777" w:rsidR="00F04AE5" w:rsidRDefault="00F04AE5" w:rsidP="006E60EA">
      <w:pPr>
        <w:pStyle w:val="FootnoteText"/>
      </w:pPr>
      <w:r>
        <w:rPr>
          <w:rStyle w:val="FootnoteReference"/>
        </w:rPr>
        <w:footnoteRef/>
      </w:r>
      <w:r>
        <w:t xml:space="preserve"> </w:t>
      </w:r>
      <w:r>
        <w:rPr>
          <w:rStyle w:val="Emphasis"/>
        </w:rPr>
        <w:t>JMM v Attorney General &amp; Others</w:t>
      </w:r>
      <w:r>
        <w:t xml:space="preserve"> [2018] eKLR.</w:t>
      </w:r>
    </w:p>
  </w:footnote>
  <w:footnote w:id="12">
    <w:p w14:paraId="76A2BEC9" w14:textId="77777777" w:rsidR="00F04AE5" w:rsidRDefault="00F04AE5" w:rsidP="006E60EA">
      <w:pPr>
        <w:pStyle w:val="FootnoteText"/>
      </w:pPr>
      <w:r>
        <w:rPr>
          <w:rStyle w:val="FootnoteReference"/>
        </w:rPr>
        <w:footnoteRef/>
      </w:r>
      <w:r>
        <w:t xml:space="preserve"> Constitution of Kenya (2010), Article 43(1)(a).</w:t>
      </w:r>
    </w:p>
  </w:footnote>
  <w:footnote w:id="13">
    <w:p w14:paraId="5C7E230C" w14:textId="77777777" w:rsidR="00F04AE5" w:rsidRDefault="00F04AE5" w:rsidP="006E60EA">
      <w:pPr>
        <w:pStyle w:val="FootnoteText"/>
      </w:pPr>
      <w:r>
        <w:rPr>
          <w:rStyle w:val="FootnoteReference"/>
        </w:rPr>
        <w:footnoteRef/>
      </w:r>
      <w:r>
        <w:t xml:space="preserve"> Committee on Economic, Social and Cultural Rights, </w:t>
      </w:r>
      <w:r>
        <w:rPr>
          <w:rStyle w:val="Emphasis"/>
        </w:rPr>
        <w:t>General Comment No. 22: The Right to Sexual and Reproductive Health</w:t>
      </w:r>
      <w:r>
        <w:t xml:space="preserve"> (UN Doc. E/C.12/GC/22, 2016).</w:t>
      </w:r>
    </w:p>
  </w:footnote>
  <w:footnote w:id="14">
    <w:p w14:paraId="6E137147" w14:textId="77777777" w:rsidR="00F04AE5" w:rsidRDefault="00F04AE5" w:rsidP="006E60EA">
      <w:pPr>
        <w:pStyle w:val="FootnoteText"/>
      </w:pPr>
      <w:r>
        <w:rPr>
          <w:rStyle w:val="FootnoteReference"/>
        </w:rPr>
        <w:footnoteRef/>
      </w:r>
      <w:r>
        <w:t xml:space="preserve"> Kenya Demographic and Health Survey (KDHS), 2022.</w:t>
      </w:r>
    </w:p>
  </w:footnote>
  <w:footnote w:id="15">
    <w:p w14:paraId="7AED9C89" w14:textId="77777777" w:rsidR="00F04AE5" w:rsidRDefault="00F04AE5" w:rsidP="006E60EA">
      <w:pPr>
        <w:pStyle w:val="FootnoteText"/>
      </w:pPr>
      <w:r>
        <w:rPr>
          <w:rStyle w:val="FootnoteReference"/>
        </w:rPr>
        <w:footnoteRef/>
      </w:r>
      <w:r>
        <w:t xml:space="preserve"> CEDAW Committee, </w:t>
      </w:r>
      <w:r>
        <w:rPr>
          <w:rStyle w:val="Emphasis"/>
        </w:rPr>
        <w:t>Concluding Observations on Kenya</w:t>
      </w:r>
      <w:r>
        <w:t>, CEDAW/C/KEN/CO/8 (2017).</w:t>
      </w:r>
    </w:p>
  </w:footnote>
  <w:footnote w:id="16">
    <w:p w14:paraId="089B3BC5" w14:textId="77777777" w:rsidR="00F04AE5" w:rsidRDefault="00F04AE5" w:rsidP="006E60EA">
      <w:pPr>
        <w:pStyle w:val="FootnoteText"/>
      </w:pPr>
      <w:r>
        <w:rPr>
          <w:rStyle w:val="FootnoteReference"/>
        </w:rPr>
        <w:footnoteRef/>
      </w:r>
      <w:r>
        <w:t xml:space="preserve"> ibid</w:t>
      </w:r>
    </w:p>
  </w:footnote>
  <w:footnote w:id="17">
    <w:p w14:paraId="46509BC1" w14:textId="77777777" w:rsidR="00F04AE5" w:rsidRDefault="00F04AE5" w:rsidP="006E60EA">
      <w:pPr>
        <w:pStyle w:val="FootnoteText"/>
      </w:pPr>
      <w:r>
        <w:rPr>
          <w:rStyle w:val="FootnoteReference"/>
        </w:rPr>
        <w:footnoteRef/>
      </w:r>
      <w:r>
        <w:t xml:space="preserve"> ibid</w:t>
      </w:r>
    </w:p>
  </w:footnote>
  <w:footnote w:id="18">
    <w:p w14:paraId="1D7414E1" w14:textId="77777777" w:rsidR="00F04AE5" w:rsidRDefault="00F04AE5" w:rsidP="006E60EA">
      <w:pPr>
        <w:pStyle w:val="FootnoteText"/>
      </w:pPr>
      <w:r>
        <w:rPr>
          <w:rStyle w:val="FootnoteReference"/>
        </w:rPr>
        <w:footnoteRef/>
      </w:r>
      <w:r>
        <w:t xml:space="preserve"> RJ Cook, BM Dickens and MF Fathalla, Reproductive Health and Human Rights: Integrating Medicine, Ethics, and Law (Oxford University Press, 2003).</w:t>
      </w:r>
    </w:p>
  </w:footnote>
  <w:footnote w:id="19">
    <w:p w14:paraId="0951C672" w14:textId="77777777" w:rsidR="00F04AE5" w:rsidRDefault="00F04AE5" w:rsidP="006E60EA">
      <w:pPr>
        <w:pStyle w:val="FootnoteText"/>
      </w:pPr>
      <w:r>
        <w:rPr>
          <w:rStyle w:val="FootnoteReference"/>
        </w:rPr>
        <w:footnoteRef/>
      </w:r>
      <w:r>
        <w:t xml:space="preserve"> RJ Cook and BM Dickens, 'Human Rights Dynamics of Abortion Law Reform' (2003) 25 Human Rights Quarterly 1.</w:t>
      </w:r>
    </w:p>
  </w:footnote>
  <w:footnote w:id="20">
    <w:p w14:paraId="2136BA90" w14:textId="77777777" w:rsidR="00F04AE5" w:rsidRDefault="00F04AE5" w:rsidP="006E60EA">
      <w:pPr>
        <w:pStyle w:val="FootnoteText"/>
      </w:pPr>
      <w:r>
        <w:rPr>
          <w:rStyle w:val="FootnoteReference"/>
        </w:rPr>
        <w:footnoteRef/>
      </w:r>
      <w:r>
        <w:t xml:space="preserve"> R Dixon-Mueller, 'The Sexuality Connection in Reproductive Health' (1993) 24(5) Studies in Family Planning 269.</w:t>
      </w:r>
    </w:p>
  </w:footnote>
  <w:footnote w:id="21">
    <w:p w14:paraId="4B9FF42A" w14:textId="77777777" w:rsidR="00F04AE5" w:rsidRDefault="00F04AE5" w:rsidP="006E60EA">
      <w:pPr>
        <w:pStyle w:val="FootnoteText"/>
      </w:pPr>
      <w:r>
        <w:rPr>
          <w:rStyle w:val="FootnoteReference"/>
        </w:rPr>
        <w:footnoteRef/>
      </w:r>
      <w:r>
        <w:t xml:space="preserve"> S Corrêa and R Petchesky, 'Reproductive and Sexual Rights: A Feminist Perspective' in G Sen, A Germain and L Chen (eds), Population Policies Reconsidered (Harvard University Press, 1994) 107.</w:t>
      </w:r>
    </w:p>
  </w:footnote>
  <w:footnote w:id="22">
    <w:p w14:paraId="5266BE88" w14:textId="77777777" w:rsidR="00F04AE5" w:rsidRDefault="00F04AE5" w:rsidP="006E60EA">
      <w:pPr>
        <w:pStyle w:val="FootnoteText"/>
      </w:pPr>
      <w:r>
        <w:rPr>
          <w:rStyle w:val="FootnoteReference"/>
        </w:rPr>
        <w:footnoteRef/>
      </w:r>
      <w:r>
        <w:t xml:space="preserve"> AE Yamin, Power, Suffering, and the Struggle for Dignity: Human Rights Frameworks for Health and Why They Matter (University of Pennsylvania Press, 2016).</w:t>
      </w:r>
    </w:p>
  </w:footnote>
  <w:footnote w:id="23">
    <w:p w14:paraId="4AA847FD" w14:textId="77777777" w:rsidR="00F04AE5" w:rsidRDefault="00F04AE5" w:rsidP="006E60EA">
      <w:pPr>
        <w:pStyle w:val="FootnoteText"/>
      </w:pPr>
      <w:r>
        <w:rPr>
          <w:rStyle w:val="FootnoteReference"/>
        </w:rPr>
        <w:footnoteRef/>
      </w:r>
      <w:r>
        <w:t xml:space="preserve"> AE Yamin and S Gloppen (eds), Litigating Health Rights: Can Courts Bring More Justice to Health? (Harvard University Press, 2011).</w:t>
      </w:r>
    </w:p>
  </w:footnote>
  <w:footnote w:id="24">
    <w:p w14:paraId="34DE93EC" w14:textId="77777777" w:rsidR="00F04AE5" w:rsidRDefault="00F04AE5" w:rsidP="006E60EA">
      <w:pPr>
        <w:pStyle w:val="FootnoteText"/>
      </w:pPr>
      <w:r>
        <w:rPr>
          <w:rStyle w:val="FootnoteReference"/>
        </w:rPr>
        <w:footnoteRef/>
      </w:r>
      <w:r>
        <w:t xml:space="preserve"> P Kameri-Mbote and J Akello, 'Reproductive Rights under Kenya's New Constitutional Framework' (2012) 3 Journal of African Law 201.</w:t>
      </w:r>
    </w:p>
  </w:footnote>
  <w:footnote w:id="25">
    <w:p w14:paraId="59DD847F" w14:textId="77777777" w:rsidR="00F04AE5" w:rsidRDefault="00F04AE5" w:rsidP="006E60EA">
      <w:pPr>
        <w:pStyle w:val="FootnoteText"/>
      </w:pPr>
      <w:r>
        <w:rPr>
          <w:rStyle w:val="FootnoteReference"/>
        </w:rPr>
        <w:footnoteRef/>
      </w:r>
      <w:r>
        <w:t xml:space="preserve"> K Muigua, 'Abortion Law, Policy and Practice in Kenya' (2013) 5 African Journal of Reproductive Health 45.</w:t>
      </w:r>
    </w:p>
  </w:footnote>
  <w:footnote w:id="26">
    <w:p w14:paraId="2230EC15" w14:textId="77777777" w:rsidR="00F04AE5" w:rsidRDefault="00F04AE5" w:rsidP="006E60EA">
      <w:pPr>
        <w:pStyle w:val="FootnoteText"/>
      </w:pPr>
      <w:r>
        <w:rPr>
          <w:rStyle w:val="FootnoteReference"/>
        </w:rPr>
        <w:footnoteRef/>
      </w:r>
      <w:r>
        <w:t xml:space="preserve"> J Osur and others, 'How Unsafe Abortion Is Practiced among Vulnerable Groups in Kenya: A Qualitative Study' (2015) 10(9) PLOS ONE e0136498.</w:t>
      </w:r>
    </w:p>
  </w:footnote>
  <w:footnote w:id="27">
    <w:p w14:paraId="49DDA357" w14:textId="77777777" w:rsidR="00F04AE5" w:rsidRDefault="00F04AE5" w:rsidP="006E60EA">
      <w:pPr>
        <w:pStyle w:val="FootnoteText"/>
      </w:pPr>
      <w:r>
        <w:rPr>
          <w:rStyle w:val="FootnoteReference"/>
        </w:rPr>
        <w:footnoteRef/>
      </w:r>
      <w:r>
        <w:t xml:space="preserve"> N Gitahi-Kamau, 'The Reproductive Healthcare Bill, 2019 and the Future of Women's Rights in Kenya' (2020) 12 East African Law Journal 78.</w:t>
      </w:r>
    </w:p>
  </w:footnote>
  <w:footnote w:id="28">
    <w:p w14:paraId="56D025E8" w14:textId="77777777" w:rsidR="00F04AE5" w:rsidRDefault="00F04AE5" w:rsidP="006E60EA">
      <w:pPr>
        <w:pStyle w:val="FootnoteText"/>
      </w:pPr>
      <w:r>
        <w:rPr>
          <w:rStyle w:val="FootnoteReference"/>
        </w:rPr>
        <w:footnoteRef/>
      </w:r>
      <w:r>
        <w:t xml:space="preserve"> B Toebes, The Right to Health as a Human Right in International Law (Intersentia, 1999).</w:t>
      </w:r>
    </w:p>
  </w:footnote>
  <w:footnote w:id="29">
    <w:p w14:paraId="0A4B254D" w14:textId="77777777" w:rsidR="00F04AE5" w:rsidRDefault="00F04AE5" w:rsidP="006E60EA">
      <w:pPr>
        <w:pStyle w:val="FootnoteText"/>
      </w:pPr>
      <w:r>
        <w:rPr>
          <w:rStyle w:val="FootnoteReference"/>
        </w:rPr>
        <w:footnoteRef/>
      </w:r>
      <w:r>
        <w:t xml:space="preserve"> F Banda, Women, Law and Human Rights: An African Perspective (Hart Publishing, 2005).</w:t>
      </w:r>
    </w:p>
  </w:footnote>
  <w:footnote w:id="30">
    <w:p w14:paraId="7FE2C3A6" w14:textId="77777777" w:rsidR="00F04AE5" w:rsidRDefault="00F04AE5" w:rsidP="006E60EA">
      <w:pPr>
        <w:pStyle w:val="FootnoteText"/>
      </w:pPr>
      <w:r>
        <w:rPr>
          <w:rStyle w:val="FootnoteReference"/>
        </w:rPr>
        <w:footnoteRef/>
      </w:r>
      <w:r>
        <w:t xml:space="preserve"> F Viljoen, International Human Rights Law in Africa (2nd edn, Oxford University Press, 2012).</w:t>
      </w:r>
    </w:p>
  </w:footnote>
  <w:footnote w:id="31">
    <w:p w14:paraId="3978BEDA" w14:textId="77777777" w:rsidR="00F04AE5" w:rsidRDefault="00F04AE5" w:rsidP="006E60EA">
      <w:pPr>
        <w:pStyle w:val="FootnoteText"/>
      </w:pPr>
      <w:r>
        <w:rPr>
          <w:rStyle w:val="FootnoteReference"/>
        </w:rPr>
        <w:footnoteRef/>
      </w:r>
      <w:r>
        <w:t xml:space="preserve"> R Murray, The African Commission on Human and Peoples' Rights and International Law (Hart Publishing, 2000).</w:t>
      </w:r>
    </w:p>
  </w:footnote>
  <w:footnote w:id="32">
    <w:p w14:paraId="683E7B4C" w14:textId="77777777" w:rsidR="00F04AE5" w:rsidRDefault="00F04AE5" w:rsidP="006E60EA">
      <w:pPr>
        <w:pStyle w:val="FootnoteText"/>
      </w:pPr>
      <w:r>
        <w:rPr>
          <w:rStyle w:val="FootnoteReference"/>
        </w:rPr>
        <w:footnoteRef/>
      </w:r>
      <w:r>
        <w:t xml:space="preserve"> A Kamau, 'Social and Cultural Factors Affecting Reproductive Health in Kenya' (2017) 9 African Journal of Reproductive Health 112.</w:t>
      </w:r>
    </w:p>
  </w:footnote>
  <w:footnote w:id="33">
    <w:p w14:paraId="400D051A" w14:textId="77777777" w:rsidR="00F04AE5" w:rsidRDefault="00F04AE5" w:rsidP="006E60EA">
      <w:pPr>
        <w:pStyle w:val="FootnoteText"/>
      </w:pPr>
      <w:r>
        <w:rPr>
          <w:rStyle w:val="FootnoteReference"/>
        </w:rPr>
        <w:footnoteRef/>
      </w:r>
      <w:r>
        <w:t xml:space="preserve"> V Chandra-Mouli and others, 'Contraception for Adolescents in Low and Middle Income Countries: Needs, Barriers, and Access' (2014) 11(1) Reproductive Health 1.</w:t>
      </w:r>
    </w:p>
  </w:footnote>
  <w:footnote w:id="34">
    <w:p w14:paraId="4E897EE7" w14:textId="77777777" w:rsidR="00F04AE5" w:rsidRDefault="00F04AE5" w:rsidP="006E60EA">
      <w:pPr>
        <w:pStyle w:val="FootnoteText"/>
      </w:pPr>
      <w:r>
        <w:rPr>
          <w:rStyle w:val="FootnoteReference"/>
        </w:rPr>
        <w:footnoteRef/>
      </w:r>
      <w:r>
        <w:t xml:space="preserve"> C Zampas and JM Gher, 'Abortion as a Human Right: International and Regional Standards' (2008) 8 Human Rights Law Review 249.</w:t>
      </w:r>
    </w:p>
  </w:footnote>
  <w:footnote w:id="35">
    <w:p w14:paraId="0BD63033" w14:textId="77777777" w:rsidR="00F04AE5" w:rsidRDefault="00F04AE5" w:rsidP="006E60EA">
      <w:pPr>
        <w:pStyle w:val="FootnoteText"/>
      </w:pPr>
      <w:r>
        <w:rPr>
          <w:rStyle w:val="FootnoteReference"/>
        </w:rPr>
        <w:footnoteRef/>
      </w:r>
      <w:r>
        <w:t xml:space="preserve"> L Murungi and J Galati, 'Is the Right to Health Justiciable? Comparative Perspectives from Sub-Saharan Africa' (2010) 22 Windsor Review of Legal and Social Issues 110.</w:t>
      </w:r>
    </w:p>
  </w:footnote>
  <w:footnote w:id="36">
    <w:p w14:paraId="3303C48F" w14:textId="77777777" w:rsidR="00F04AE5" w:rsidRDefault="00F04AE5" w:rsidP="006E60EA">
      <w:pPr>
        <w:pStyle w:val="FootnoteText"/>
      </w:pPr>
      <w:r>
        <w:rPr>
          <w:rStyle w:val="FootnoteReference"/>
        </w:rPr>
        <w:footnoteRef/>
      </w:r>
      <w:r>
        <w:t xml:space="preserve"> Universal Declaration of Human Rights (UDHR), 1948, Article 25.</w:t>
      </w:r>
    </w:p>
  </w:footnote>
  <w:footnote w:id="37">
    <w:p w14:paraId="329865FC" w14:textId="77777777" w:rsidR="00F04AE5" w:rsidRDefault="00F04AE5" w:rsidP="006E60EA">
      <w:pPr>
        <w:pStyle w:val="FootnoteText"/>
      </w:pPr>
      <w:r>
        <w:rPr>
          <w:rStyle w:val="FootnoteReference"/>
        </w:rPr>
        <w:footnoteRef/>
      </w:r>
      <w:r>
        <w:t xml:space="preserve"> International Covenant on Economic, Social and Cultural Rights (ICESCR), 1966, Article 12.</w:t>
      </w:r>
    </w:p>
  </w:footnote>
  <w:footnote w:id="38">
    <w:p w14:paraId="1B8D4BB1" w14:textId="77777777" w:rsidR="00F04AE5" w:rsidRDefault="00F04AE5" w:rsidP="006E60EA">
      <w:pPr>
        <w:pStyle w:val="FootnoteText"/>
      </w:pPr>
      <w:r>
        <w:rPr>
          <w:rStyle w:val="FootnoteReference"/>
        </w:rPr>
        <w:footnoteRef/>
      </w:r>
      <w:r>
        <w:t xml:space="preserve"> African Charter on Human and Peoples’ Rights, 1981, Article 16.</w:t>
      </w:r>
    </w:p>
  </w:footnote>
  <w:footnote w:id="39">
    <w:p w14:paraId="169D824C" w14:textId="77777777" w:rsidR="00F04AE5" w:rsidRDefault="00F04AE5" w:rsidP="006E60EA">
      <w:pPr>
        <w:pStyle w:val="FootnoteText"/>
      </w:pPr>
      <w:r>
        <w:rPr>
          <w:rStyle w:val="FootnoteReference"/>
        </w:rPr>
        <w:footnoteRef/>
      </w:r>
      <w:r>
        <w:t xml:space="preserve"> Protocol to the African Charter on the Rights of Women in Africa (“Maputo Protocol”), 2003, Article 14.</w:t>
      </w:r>
    </w:p>
  </w:footnote>
  <w:footnote w:id="40">
    <w:p w14:paraId="339C4B8B" w14:textId="77777777" w:rsidR="00F04AE5" w:rsidRDefault="00F04AE5" w:rsidP="006E60EA">
      <w:pPr>
        <w:pStyle w:val="FootnoteText"/>
      </w:pPr>
      <w:r>
        <w:rPr>
          <w:rStyle w:val="FootnoteReference"/>
        </w:rPr>
        <w:footnoteRef/>
      </w:r>
      <w:r>
        <w:t xml:space="preserve"> Committee on Economic, Social and Cultural Rights, General Comment No. 22: The Right to Sexual and Reproductive Health, UN Doc. E/C.12/GC/22 (2016)</w:t>
      </w:r>
    </w:p>
  </w:footnote>
  <w:footnote w:id="41">
    <w:p w14:paraId="0E0AD43D" w14:textId="77777777" w:rsidR="00F04AE5" w:rsidRDefault="00F04AE5" w:rsidP="006E60EA">
      <w:pPr>
        <w:pStyle w:val="FootnoteText"/>
      </w:pPr>
      <w:r>
        <w:rPr>
          <w:rStyle w:val="FootnoteReference"/>
        </w:rPr>
        <w:footnoteRef/>
      </w:r>
      <w:r>
        <w:t xml:space="preserve"> JMM v. Attorney General &amp; Others [2018] eKLR; FIDA-Kenya &amp; Centre for Reproductive Rights (CRR) v Attorney General &amp; Others [2019]</w:t>
      </w:r>
    </w:p>
  </w:footnote>
  <w:footnote w:id="42">
    <w:p w14:paraId="507CD93D" w14:textId="77777777" w:rsidR="00F04AE5" w:rsidRDefault="00F04AE5" w:rsidP="006E60EA">
      <w:pPr>
        <w:pStyle w:val="FootnoteText"/>
      </w:pPr>
      <w:r>
        <w:rPr>
          <w:rStyle w:val="FootnoteReference"/>
        </w:rPr>
        <w:footnoteRef/>
      </w:r>
      <w:r>
        <w:t xml:space="preserve"> </w:t>
      </w:r>
      <w:bookmarkStart w:id="19" w:name="_Hlk207578882"/>
      <w:bookmarkStart w:id="20" w:name="_Hlk207578883"/>
      <w:r>
        <w:t>World Health Organization (WHO), Closing the Gap in a Generation: Health Equity through Action on the Social Determinants of Health, WHO Commission Report (2008).</w:t>
      </w:r>
      <w:bookmarkEnd w:id="19"/>
      <w:bookmarkEnd w:id="20"/>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DF9C1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3"/>
    <w:multiLevelType w:val="hybridMultilevel"/>
    <w:tmpl w:val="3CA050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8"/>
    <w:multiLevelType w:val="hybridMultilevel"/>
    <w:tmpl w:val="B0925B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10"/>
    <w:multiLevelType w:val="hybridMultilevel"/>
    <w:tmpl w:val="1488F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11"/>
    <w:multiLevelType w:val="hybridMultilevel"/>
    <w:tmpl w:val="F7F05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12"/>
    <w:multiLevelType w:val="hybridMultilevel"/>
    <w:tmpl w:val="A3CA1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19"/>
    <w:multiLevelType w:val="hybridMultilevel"/>
    <w:tmpl w:val="92566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1C"/>
    <w:multiLevelType w:val="hybridMultilevel"/>
    <w:tmpl w:val="E5128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1F"/>
    <w:multiLevelType w:val="multilevel"/>
    <w:tmpl w:val="E430A0B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0000020"/>
    <w:multiLevelType w:val="multilevel"/>
    <w:tmpl w:val="E430A0B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6993E0E"/>
    <w:multiLevelType w:val="hybridMultilevel"/>
    <w:tmpl w:val="BB067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FE1DDE"/>
    <w:multiLevelType w:val="hybridMultilevel"/>
    <w:tmpl w:val="1CDA1678"/>
    <w:lvl w:ilvl="0" w:tplc="4264790C">
      <w:start w:val="1"/>
      <w:numFmt w:val="decimal"/>
      <w:lvlText w:val="%1."/>
      <w:lvlJc w:val="left"/>
      <w:pPr>
        <w:ind w:left="720" w:hanging="360"/>
      </w:pPr>
    </w:lvl>
    <w:lvl w:ilvl="1" w:tplc="3752D81C">
      <w:numFmt w:val="decimal"/>
      <w:lvlText w:val=""/>
      <w:lvlJc w:val="left"/>
    </w:lvl>
    <w:lvl w:ilvl="2" w:tplc="3EA47904">
      <w:numFmt w:val="decimal"/>
      <w:lvlText w:val=""/>
      <w:lvlJc w:val="left"/>
    </w:lvl>
    <w:lvl w:ilvl="3" w:tplc="1BB097C8">
      <w:numFmt w:val="decimal"/>
      <w:lvlText w:val=""/>
      <w:lvlJc w:val="left"/>
    </w:lvl>
    <w:lvl w:ilvl="4" w:tplc="6F103B32">
      <w:numFmt w:val="decimal"/>
      <w:lvlText w:val=""/>
      <w:lvlJc w:val="left"/>
    </w:lvl>
    <w:lvl w:ilvl="5" w:tplc="4CBC3CAA">
      <w:numFmt w:val="decimal"/>
      <w:lvlText w:val=""/>
      <w:lvlJc w:val="left"/>
    </w:lvl>
    <w:lvl w:ilvl="6" w:tplc="C8E0CB5A">
      <w:numFmt w:val="decimal"/>
      <w:lvlText w:val=""/>
      <w:lvlJc w:val="left"/>
    </w:lvl>
    <w:lvl w:ilvl="7" w:tplc="AFE094E2">
      <w:numFmt w:val="decimal"/>
      <w:lvlText w:val=""/>
      <w:lvlJc w:val="left"/>
    </w:lvl>
    <w:lvl w:ilvl="8" w:tplc="44C4799C">
      <w:numFmt w:val="decimal"/>
      <w:lvlText w:val=""/>
      <w:lvlJc w:val="left"/>
    </w:lvl>
  </w:abstractNum>
  <w:abstractNum w:abstractNumId="12" w15:restartNumberingAfterBreak="0">
    <w:nsid w:val="4A001356"/>
    <w:multiLevelType w:val="hybridMultilevel"/>
    <w:tmpl w:val="119CCA6E"/>
    <w:lvl w:ilvl="0" w:tplc="8280FB12">
      <w:start w:val="1"/>
      <w:numFmt w:val="decimal"/>
      <w:lvlText w:val="%1."/>
      <w:lvlJc w:val="left"/>
      <w:pPr>
        <w:ind w:left="720" w:hanging="360"/>
      </w:pPr>
    </w:lvl>
    <w:lvl w:ilvl="1" w:tplc="935E18D2">
      <w:numFmt w:val="decimal"/>
      <w:lvlText w:val=""/>
      <w:lvlJc w:val="left"/>
    </w:lvl>
    <w:lvl w:ilvl="2" w:tplc="78D608B8">
      <w:numFmt w:val="decimal"/>
      <w:lvlText w:val=""/>
      <w:lvlJc w:val="left"/>
    </w:lvl>
    <w:lvl w:ilvl="3" w:tplc="C39CE390">
      <w:numFmt w:val="decimal"/>
      <w:lvlText w:val=""/>
      <w:lvlJc w:val="left"/>
    </w:lvl>
    <w:lvl w:ilvl="4" w:tplc="892A798E">
      <w:numFmt w:val="decimal"/>
      <w:lvlText w:val=""/>
      <w:lvlJc w:val="left"/>
    </w:lvl>
    <w:lvl w:ilvl="5" w:tplc="C2E8DCC8">
      <w:numFmt w:val="decimal"/>
      <w:lvlText w:val=""/>
      <w:lvlJc w:val="left"/>
    </w:lvl>
    <w:lvl w:ilvl="6" w:tplc="83D020E0">
      <w:numFmt w:val="decimal"/>
      <w:lvlText w:val=""/>
      <w:lvlJc w:val="left"/>
    </w:lvl>
    <w:lvl w:ilvl="7" w:tplc="975C4126">
      <w:numFmt w:val="decimal"/>
      <w:lvlText w:val=""/>
      <w:lvlJc w:val="left"/>
    </w:lvl>
    <w:lvl w:ilvl="8" w:tplc="C2941B50">
      <w:numFmt w:val="decimal"/>
      <w:lvlText w:val=""/>
      <w:lvlJc w:val="left"/>
    </w:lvl>
  </w:abstractNum>
  <w:abstractNum w:abstractNumId="13" w15:restartNumberingAfterBreak="0">
    <w:nsid w:val="50D846D6"/>
    <w:multiLevelType w:val="hybridMultilevel"/>
    <w:tmpl w:val="82DA7586"/>
    <w:lvl w:ilvl="0" w:tplc="3474B4E0">
      <w:start w:val="1"/>
      <w:numFmt w:val="decimal"/>
      <w:lvlText w:val="%1."/>
      <w:lvlJc w:val="left"/>
      <w:pPr>
        <w:ind w:left="720" w:hanging="360"/>
      </w:pPr>
    </w:lvl>
    <w:lvl w:ilvl="1" w:tplc="7E389ADC">
      <w:numFmt w:val="decimal"/>
      <w:lvlText w:val=""/>
      <w:lvlJc w:val="left"/>
    </w:lvl>
    <w:lvl w:ilvl="2" w:tplc="527498D0">
      <w:numFmt w:val="decimal"/>
      <w:lvlText w:val=""/>
      <w:lvlJc w:val="left"/>
    </w:lvl>
    <w:lvl w:ilvl="3" w:tplc="F684DE38">
      <w:numFmt w:val="decimal"/>
      <w:lvlText w:val=""/>
      <w:lvlJc w:val="left"/>
    </w:lvl>
    <w:lvl w:ilvl="4" w:tplc="953EE67A">
      <w:numFmt w:val="decimal"/>
      <w:lvlText w:val=""/>
      <w:lvlJc w:val="left"/>
    </w:lvl>
    <w:lvl w:ilvl="5" w:tplc="88046854">
      <w:numFmt w:val="decimal"/>
      <w:lvlText w:val=""/>
      <w:lvlJc w:val="left"/>
    </w:lvl>
    <w:lvl w:ilvl="6" w:tplc="D94CC928">
      <w:numFmt w:val="decimal"/>
      <w:lvlText w:val=""/>
      <w:lvlJc w:val="left"/>
    </w:lvl>
    <w:lvl w:ilvl="7" w:tplc="AB0A4510">
      <w:numFmt w:val="decimal"/>
      <w:lvlText w:val=""/>
      <w:lvlJc w:val="left"/>
    </w:lvl>
    <w:lvl w:ilvl="8" w:tplc="C30063D0">
      <w:numFmt w:val="decimal"/>
      <w:lvlText w:val=""/>
      <w:lvlJc w:val="left"/>
    </w:lvl>
  </w:abstractNum>
  <w:abstractNum w:abstractNumId="14" w15:restartNumberingAfterBreak="0">
    <w:nsid w:val="61832B28"/>
    <w:multiLevelType w:val="hybridMultilevel"/>
    <w:tmpl w:val="9924A302"/>
    <w:lvl w:ilvl="0" w:tplc="18B2EB46">
      <w:start w:val="1"/>
      <w:numFmt w:val="decimal"/>
      <w:lvlText w:val="%1."/>
      <w:lvlJc w:val="left"/>
      <w:pPr>
        <w:ind w:left="720" w:hanging="360"/>
      </w:pPr>
    </w:lvl>
    <w:lvl w:ilvl="1" w:tplc="A57C0322">
      <w:numFmt w:val="decimal"/>
      <w:lvlText w:val=""/>
      <w:lvlJc w:val="left"/>
    </w:lvl>
    <w:lvl w:ilvl="2" w:tplc="98D25E5C">
      <w:numFmt w:val="decimal"/>
      <w:lvlText w:val=""/>
      <w:lvlJc w:val="left"/>
    </w:lvl>
    <w:lvl w:ilvl="3" w:tplc="5514392E">
      <w:numFmt w:val="decimal"/>
      <w:lvlText w:val=""/>
      <w:lvlJc w:val="left"/>
    </w:lvl>
    <w:lvl w:ilvl="4" w:tplc="F20AFA76">
      <w:numFmt w:val="decimal"/>
      <w:lvlText w:val=""/>
      <w:lvlJc w:val="left"/>
    </w:lvl>
    <w:lvl w:ilvl="5" w:tplc="290029A6">
      <w:numFmt w:val="decimal"/>
      <w:lvlText w:val=""/>
      <w:lvlJc w:val="left"/>
    </w:lvl>
    <w:lvl w:ilvl="6" w:tplc="2DE660B2">
      <w:numFmt w:val="decimal"/>
      <w:lvlText w:val=""/>
      <w:lvlJc w:val="left"/>
    </w:lvl>
    <w:lvl w:ilvl="7" w:tplc="F124AC66">
      <w:numFmt w:val="decimal"/>
      <w:lvlText w:val=""/>
      <w:lvlJc w:val="left"/>
    </w:lvl>
    <w:lvl w:ilvl="8" w:tplc="4846327E">
      <w:numFmt w:val="decimal"/>
      <w:lvlText w:val=""/>
      <w:lvlJc w:val="left"/>
    </w:lvl>
  </w:abstractNum>
  <w:abstractNum w:abstractNumId="15" w15:restartNumberingAfterBreak="0">
    <w:nsid w:val="70553B18"/>
    <w:multiLevelType w:val="hybridMultilevel"/>
    <w:tmpl w:val="42AE6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lvlOverride w:ilvl="0">
      <w:startOverride w:val="1"/>
    </w:lvlOverride>
  </w:num>
  <w:num w:numId="2">
    <w:abstractNumId w:val="14"/>
    <w:lvlOverride w:ilvl="0">
      <w:startOverride w:val="1"/>
    </w:lvlOverride>
  </w:num>
  <w:num w:numId="3">
    <w:abstractNumId w:val="10"/>
  </w:num>
  <w:num w:numId="4">
    <w:abstractNumId w:val="15"/>
  </w:num>
  <w:num w:numId="5">
    <w:abstractNumId w:val="13"/>
    <w:lvlOverride w:ilvl="0">
      <w:startOverride w:val="1"/>
    </w:lvlOverride>
  </w:num>
  <w:num w:numId="6">
    <w:abstractNumId w:val="12"/>
    <w:lvlOverride w:ilvl="0">
      <w:startOverride w:val="1"/>
    </w:lvlOverride>
  </w:num>
  <w:num w:numId="7">
    <w:abstractNumId w:val="8"/>
  </w:num>
  <w:num w:numId="8">
    <w:abstractNumId w:val="9"/>
  </w:num>
  <w:num w:numId="9">
    <w:abstractNumId w:val="4"/>
  </w:num>
  <w:num w:numId="10">
    <w:abstractNumId w:val="1"/>
  </w:num>
  <w:num w:numId="11">
    <w:abstractNumId w:val="3"/>
  </w:num>
  <w:num w:numId="12">
    <w:abstractNumId w:val="0"/>
  </w:num>
  <w:num w:numId="13">
    <w:abstractNumId w:val="5"/>
  </w:num>
  <w:num w:numId="14">
    <w:abstractNumId w:val="6"/>
  </w:num>
  <w:num w:numId="15">
    <w:abstractNumId w:val="7"/>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15A"/>
    <w:rsid w:val="00006DB9"/>
    <w:rsid w:val="000118B2"/>
    <w:rsid w:val="00045E1D"/>
    <w:rsid w:val="000851FB"/>
    <w:rsid w:val="000C2A9E"/>
    <w:rsid w:val="000C3D91"/>
    <w:rsid w:val="000C501D"/>
    <w:rsid w:val="000D31E0"/>
    <w:rsid w:val="00136995"/>
    <w:rsid w:val="00167941"/>
    <w:rsid w:val="00173F11"/>
    <w:rsid w:val="001754A4"/>
    <w:rsid w:val="001A7027"/>
    <w:rsid w:val="001C3B5A"/>
    <w:rsid w:val="00215308"/>
    <w:rsid w:val="00236FC8"/>
    <w:rsid w:val="00245A86"/>
    <w:rsid w:val="002612BB"/>
    <w:rsid w:val="002D02F3"/>
    <w:rsid w:val="002E6E05"/>
    <w:rsid w:val="002F0B70"/>
    <w:rsid w:val="00301D39"/>
    <w:rsid w:val="00305FFE"/>
    <w:rsid w:val="0030604B"/>
    <w:rsid w:val="00316410"/>
    <w:rsid w:val="003208B8"/>
    <w:rsid w:val="00343626"/>
    <w:rsid w:val="00346335"/>
    <w:rsid w:val="00363460"/>
    <w:rsid w:val="003758BF"/>
    <w:rsid w:val="003D2CE7"/>
    <w:rsid w:val="003E1BCF"/>
    <w:rsid w:val="0048079F"/>
    <w:rsid w:val="004840E4"/>
    <w:rsid w:val="004A65ED"/>
    <w:rsid w:val="004B4140"/>
    <w:rsid w:val="004B4768"/>
    <w:rsid w:val="004C2C89"/>
    <w:rsid w:val="004C4689"/>
    <w:rsid w:val="004C64E9"/>
    <w:rsid w:val="004F2186"/>
    <w:rsid w:val="00537530"/>
    <w:rsid w:val="00553A67"/>
    <w:rsid w:val="005B0DC8"/>
    <w:rsid w:val="005E0520"/>
    <w:rsid w:val="00602EE5"/>
    <w:rsid w:val="00626AD9"/>
    <w:rsid w:val="0068045F"/>
    <w:rsid w:val="00681FBC"/>
    <w:rsid w:val="006866A5"/>
    <w:rsid w:val="00695687"/>
    <w:rsid w:val="006E60EA"/>
    <w:rsid w:val="0071570A"/>
    <w:rsid w:val="0071697D"/>
    <w:rsid w:val="0072532A"/>
    <w:rsid w:val="00743897"/>
    <w:rsid w:val="007456E6"/>
    <w:rsid w:val="007512C1"/>
    <w:rsid w:val="00754F97"/>
    <w:rsid w:val="0076278A"/>
    <w:rsid w:val="007664FD"/>
    <w:rsid w:val="007868D7"/>
    <w:rsid w:val="0079588B"/>
    <w:rsid w:val="0080117A"/>
    <w:rsid w:val="008353EA"/>
    <w:rsid w:val="008B2BBE"/>
    <w:rsid w:val="008C0D61"/>
    <w:rsid w:val="008F3E29"/>
    <w:rsid w:val="00903973"/>
    <w:rsid w:val="00926476"/>
    <w:rsid w:val="0093574F"/>
    <w:rsid w:val="00962527"/>
    <w:rsid w:val="00964075"/>
    <w:rsid w:val="009B4E2C"/>
    <w:rsid w:val="009E6054"/>
    <w:rsid w:val="00A17844"/>
    <w:rsid w:val="00A22A7B"/>
    <w:rsid w:val="00A32782"/>
    <w:rsid w:val="00AA141C"/>
    <w:rsid w:val="00AA7A0E"/>
    <w:rsid w:val="00AB0224"/>
    <w:rsid w:val="00AC6FDD"/>
    <w:rsid w:val="00AD39FC"/>
    <w:rsid w:val="00AE0392"/>
    <w:rsid w:val="00B227F4"/>
    <w:rsid w:val="00B24756"/>
    <w:rsid w:val="00B24FD8"/>
    <w:rsid w:val="00B4512E"/>
    <w:rsid w:val="00B524C1"/>
    <w:rsid w:val="00B74897"/>
    <w:rsid w:val="00B8486C"/>
    <w:rsid w:val="00B8662C"/>
    <w:rsid w:val="00BD194F"/>
    <w:rsid w:val="00C37568"/>
    <w:rsid w:val="00C37C66"/>
    <w:rsid w:val="00C44D3C"/>
    <w:rsid w:val="00C9765D"/>
    <w:rsid w:val="00CC1296"/>
    <w:rsid w:val="00D766AB"/>
    <w:rsid w:val="00DB3B29"/>
    <w:rsid w:val="00DF792A"/>
    <w:rsid w:val="00E0043A"/>
    <w:rsid w:val="00E36989"/>
    <w:rsid w:val="00E73267"/>
    <w:rsid w:val="00E84CC8"/>
    <w:rsid w:val="00ED627C"/>
    <w:rsid w:val="00EE38BE"/>
    <w:rsid w:val="00EF28A0"/>
    <w:rsid w:val="00EF3B77"/>
    <w:rsid w:val="00F04AE5"/>
    <w:rsid w:val="00F0767E"/>
    <w:rsid w:val="00F3315A"/>
    <w:rsid w:val="00F606B9"/>
    <w:rsid w:val="00F8551B"/>
    <w:rsid w:val="00FA1B6E"/>
    <w:rsid w:val="00FB5347"/>
    <w:rsid w:val="00FC1B04"/>
    <w:rsid w:val="00FD580A"/>
    <w:rsid w:val="00FE06E5"/>
    <w:rsid w:val="00FE336B"/>
    <w:rsid w:val="00FF1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3D74C"/>
  <w15:chartTrackingRefBased/>
  <w15:docId w15:val="{4727DBC5-823C-40B9-B745-13FB7D46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3F11"/>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B5347"/>
    <w:pPr>
      <w:keepNext/>
      <w:keepLines/>
      <w:spacing w:before="240"/>
      <w:jc w:val="center"/>
      <w:outlineLvl w:val="0"/>
    </w:pPr>
    <w:rPr>
      <w:rFonts w:eastAsiaTheme="majorEastAsia" w:cstheme="majorBidi"/>
      <w:b/>
      <w:color w:val="000000" w:themeColor="text1"/>
      <w:sz w:val="32"/>
      <w:szCs w:val="32"/>
    </w:rPr>
  </w:style>
  <w:style w:type="paragraph" w:styleId="Heading2">
    <w:name w:val="heading 2"/>
    <w:link w:val="Heading2Char"/>
    <w:qFormat/>
    <w:rsid w:val="00C9765D"/>
    <w:pPr>
      <w:spacing w:before="520" w:after="220" w:line="240" w:lineRule="auto"/>
      <w:outlineLvl w:val="1"/>
    </w:pPr>
    <w:rPr>
      <w:rFonts w:ascii="Times New Roman" w:eastAsia="Times New Roman" w:hAnsi="Times New Roman" w:cs="Times New Roman"/>
      <w:b/>
      <w:bCs/>
      <w:color w:val="000000"/>
      <w:sz w:val="24"/>
      <w:szCs w:val="28"/>
    </w:rPr>
  </w:style>
  <w:style w:type="paragraph" w:styleId="Heading3">
    <w:name w:val="heading 3"/>
    <w:link w:val="Heading3Char"/>
    <w:qFormat/>
    <w:rsid w:val="00236FC8"/>
    <w:pPr>
      <w:spacing w:before="360" w:line="240" w:lineRule="auto"/>
      <w:outlineLvl w:val="2"/>
    </w:pPr>
    <w:rPr>
      <w:rFonts w:ascii="Times New Roman" w:eastAsia="Times New Roman" w:hAnsi="Times New Roman" w:cs="Times New Roman"/>
      <w:b/>
      <w:bCs/>
      <w:color w:val="000000"/>
      <w:sz w:val="25"/>
      <w:szCs w:val="25"/>
    </w:rPr>
  </w:style>
  <w:style w:type="paragraph" w:styleId="Heading4">
    <w:name w:val="heading 4"/>
    <w:basedOn w:val="Normal"/>
    <w:next w:val="Normal"/>
    <w:link w:val="Heading4Char"/>
    <w:uiPriority w:val="9"/>
    <w:semiHidden/>
    <w:unhideWhenUsed/>
    <w:qFormat/>
    <w:rsid w:val="00626AD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9765D"/>
    <w:rPr>
      <w:rFonts w:ascii="Times New Roman" w:eastAsia="Times New Roman" w:hAnsi="Times New Roman" w:cs="Times New Roman"/>
      <w:b/>
      <w:bCs/>
      <w:color w:val="000000"/>
      <w:sz w:val="24"/>
      <w:szCs w:val="28"/>
    </w:rPr>
  </w:style>
  <w:style w:type="character" w:customStyle="1" w:styleId="Heading3Char">
    <w:name w:val="Heading 3 Char"/>
    <w:basedOn w:val="DefaultParagraphFont"/>
    <w:link w:val="Heading3"/>
    <w:rsid w:val="00236FC8"/>
    <w:rPr>
      <w:rFonts w:ascii="Times New Roman" w:eastAsia="Times New Roman" w:hAnsi="Times New Roman" w:cs="Times New Roman"/>
      <w:b/>
      <w:bCs/>
      <w:color w:val="000000"/>
      <w:sz w:val="25"/>
      <w:szCs w:val="25"/>
    </w:rPr>
  </w:style>
  <w:style w:type="paragraph" w:styleId="ListParagraph">
    <w:name w:val="List Paragraph"/>
    <w:uiPriority w:val="34"/>
    <w:qFormat/>
    <w:rsid w:val="00236FC8"/>
    <w:pPr>
      <w:spacing w:after="0" w:line="240" w:lineRule="auto"/>
    </w:pPr>
    <w:rPr>
      <w:rFonts w:ascii="Times New Roman" w:eastAsia="Times New Roman" w:hAnsi="Times New Roman" w:cs="Times New Roman"/>
      <w:sz w:val="24"/>
      <w:szCs w:val="24"/>
    </w:rPr>
  </w:style>
  <w:style w:type="character" w:styleId="FootnoteReference">
    <w:name w:val="footnote reference"/>
    <w:uiPriority w:val="99"/>
    <w:unhideWhenUsed/>
    <w:rsid w:val="00236FC8"/>
    <w:rPr>
      <w:vertAlign w:val="superscript"/>
    </w:rPr>
  </w:style>
  <w:style w:type="paragraph" w:styleId="FootnoteText">
    <w:name w:val="footnote text"/>
    <w:link w:val="FootnoteTextChar"/>
    <w:uiPriority w:val="99"/>
    <w:unhideWhenUsed/>
    <w:rsid w:val="00236FC8"/>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236FC8"/>
    <w:rPr>
      <w:rFonts w:ascii="Times New Roman" w:eastAsia="Times New Roman" w:hAnsi="Times New Roman" w:cs="Times New Roman"/>
      <w:sz w:val="20"/>
      <w:szCs w:val="20"/>
    </w:rPr>
  </w:style>
  <w:style w:type="character" w:styleId="Emphasis">
    <w:name w:val="Emphasis"/>
    <w:basedOn w:val="DefaultParagraphFont"/>
    <w:uiPriority w:val="20"/>
    <w:qFormat/>
    <w:rsid w:val="00236FC8"/>
    <w:rPr>
      <w:i/>
      <w:iCs/>
    </w:rPr>
  </w:style>
  <w:style w:type="character" w:customStyle="1" w:styleId="Heading1Char">
    <w:name w:val="Heading 1 Char"/>
    <w:basedOn w:val="DefaultParagraphFont"/>
    <w:link w:val="Heading1"/>
    <w:uiPriority w:val="9"/>
    <w:rsid w:val="00FB5347"/>
    <w:rPr>
      <w:rFonts w:ascii="Times New Roman" w:eastAsiaTheme="majorEastAsia" w:hAnsi="Times New Roman" w:cstheme="majorBidi"/>
      <w:b/>
      <w:color w:val="000000" w:themeColor="text1"/>
      <w:sz w:val="32"/>
      <w:szCs w:val="32"/>
    </w:rPr>
  </w:style>
  <w:style w:type="paragraph" w:styleId="TOCHeading">
    <w:name w:val="TOC Heading"/>
    <w:basedOn w:val="Heading1"/>
    <w:next w:val="Normal"/>
    <w:uiPriority w:val="39"/>
    <w:unhideWhenUsed/>
    <w:qFormat/>
    <w:rsid w:val="00236FC8"/>
    <w:pPr>
      <w:spacing w:line="259" w:lineRule="auto"/>
      <w:outlineLvl w:val="9"/>
    </w:pPr>
  </w:style>
  <w:style w:type="paragraph" w:styleId="TOC2">
    <w:name w:val="toc 2"/>
    <w:basedOn w:val="Normal"/>
    <w:next w:val="Normal"/>
    <w:autoRedefine/>
    <w:uiPriority w:val="39"/>
    <w:unhideWhenUsed/>
    <w:rsid w:val="00236FC8"/>
    <w:pPr>
      <w:spacing w:after="100"/>
      <w:ind w:left="240"/>
    </w:pPr>
  </w:style>
  <w:style w:type="paragraph" w:styleId="TOC3">
    <w:name w:val="toc 3"/>
    <w:basedOn w:val="Normal"/>
    <w:next w:val="Normal"/>
    <w:autoRedefine/>
    <w:uiPriority w:val="39"/>
    <w:unhideWhenUsed/>
    <w:rsid w:val="00236FC8"/>
    <w:pPr>
      <w:spacing w:after="100"/>
      <w:ind w:left="480"/>
    </w:pPr>
  </w:style>
  <w:style w:type="character" w:styleId="Hyperlink">
    <w:name w:val="Hyperlink"/>
    <w:basedOn w:val="DefaultParagraphFont"/>
    <w:uiPriority w:val="99"/>
    <w:unhideWhenUsed/>
    <w:rsid w:val="00236FC8"/>
    <w:rPr>
      <w:color w:val="0563C1" w:themeColor="hyperlink"/>
      <w:u w:val="single"/>
    </w:rPr>
  </w:style>
  <w:style w:type="paragraph" w:styleId="TOC1">
    <w:name w:val="toc 1"/>
    <w:basedOn w:val="Normal"/>
    <w:next w:val="Normal"/>
    <w:autoRedefine/>
    <w:uiPriority w:val="39"/>
    <w:unhideWhenUsed/>
    <w:rsid w:val="00236FC8"/>
    <w:pPr>
      <w:spacing w:after="100"/>
    </w:pPr>
  </w:style>
  <w:style w:type="paragraph" w:styleId="Header">
    <w:name w:val="header"/>
    <w:basedOn w:val="Normal"/>
    <w:link w:val="HeaderChar"/>
    <w:uiPriority w:val="99"/>
    <w:unhideWhenUsed/>
    <w:rsid w:val="00346335"/>
    <w:pPr>
      <w:tabs>
        <w:tab w:val="center" w:pos="4680"/>
        <w:tab w:val="right" w:pos="9360"/>
      </w:tabs>
    </w:pPr>
  </w:style>
  <w:style w:type="character" w:customStyle="1" w:styleId="HeaderChar">
    <w:name w:val="Header Char"/>
    <w:basedOn w:val="DefaultParagraphFont"/>
    <w:link w:val="Header"/>
    <w:uiPriority w:val="99"/>
    <w:rsid w:val="0034633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46335"/>
    <w:pPr>
      <w:tabs>
        <w:tab w:val="center" w:pos="4680"/>
        <w:tab w:val="right" w:pos="9360"/>
      </w:tabs>
    </w:pPr>
  </w:style>
  <w:style w:type="character" w:customStyle="1" w:styleId="FooterChar">
    <w:name w:val="Footer Char"/>
    <w:basedOn w:val="DefaultParagraphFont"/>
    <w:link w:val="Footer"/>
    <w:uiPriority w:val="99"/>
    <w:rsid w:val="00346335"/>
    <w:rPr>
      <w:rFonts w:ascii="Times New Roman" w:eastAsia="Times New Roman" w:hAnsi="Times New Roman" w:cs="Times New Roman"/>
      <w:sz w:val="24"/>
      <w:szCs w:val="24"/>
    </w:rPr>
  </w:style>
  <w:style w:type="paragraph" w:styleId="NoSpacing">
    <w:name w:val="No Spacing"/>
    <w:link w:val="NoSpacingChar"/>
    <w:uiPriority w:val="1"/>
    <w:qFormat/>
    <w:rsid w:val="00FB5347"/>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rsid w:val="006E60EA"/>
    <w:pPr>
      <w:spacing w:before="100" w:beforeAutospacing="1" w:after="100" w:afterAutospacing="1"/>
      <w:jc w:val="left"/>
    </w:pPr>
  </w:style>
  <w:style w:type="character" w:styleId="Strong">
    <w:name w:val="Strong"/>
    <w:basedOn w:val="DefaultParagraphFont"/>
    <w:uiPriority w:val="22"/>
    <w:qFormat/>
    <w:rsid w:val="006E60EA"/>
    <w:rPr>
      <w:b/>
      <w:bCs/>
    </w:rPr>
  </w:style>
  <w:style w:type="character" w:customStyle="1" w:styleId="NoSpacingChar">
    <w:name w:val="No Spacing Char"/>
    <w:basedOn w:val="DefaultParagraphFont"/>
    <w:link w:val="NoSpacing"/>
    <w:uiPriority w:val="1"/>
    <w:rsid w:val="006E60EA"/>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626AD9"/>
    <w:rPr>
      <w:rFonts w:asciiTheme="majorHAnsi" w:eastAsiaTheme="majorEastAsia" w:hAnsiTheme="majorHAnsi" w:cstheme="majorBidi"/>
      <w:i/>
      <w:iCs/>
      <w:color w:val="2E74B5" w:themeColor="accent1" w:themeShade="BF"/>
      <w:sz w:val="24"/>
      <w:szCs w:val="24"/>
    </w:rPr>
  </w:style>
  <w:style w:type="paragraph" w:styleId="Caption">
    <w:name w:val="caption"/>
    <w:basedOn w:val="Normal"/>
    <w:next w:val="Normal"/>
    <w:uiPriority w:val="35"/>
    <w:semiHidden/>
    <w:unhideWhenUsed/>
    <w:qFormat/>
    <w:rsid w:val="00553A67"/>
    <w:pPr>
      <w:spacing w:after="200"/>
    </w:pPr>
    <w:rPr>
      <w:i/>
      <w:iCs/>
      <w:color w:val="44546A" w:themeColor="text2"/>
      <w:sz w:val="18"/>
      <w:szCs w:val="18"/>
    </w:rPr>
  </w:style>
  <w:style w:type="character" w:customStyle="1" w:styleId="UnresolvedMention">
    <w:name w:val="Unresolved Mention"/>
    <w:basedOn w:val="DefaultParagraphFont"/>
    <w:uiPriority w:val="99"/>
    <w:semiHidden/>
    <w:unhideWhenUsed/>
    <w:rsid w:val="00FD580A"/>
    <w:rPr>
      <w:color w:val="605E5C"/>
      <w:shd w:val="clear" w:color="auto" w:fill="E1DFDD"/>
    </w:rPr>
  </w:style>
  <w:style w:type="paragraph" w:customStyle="1" w:styleId="font-claude-response-body">
    <w:name w:val="font-claude-response-body"/>
    <w:basedOn w:val="Normal"/>
    <w:rsid w:val="00136995"/>
    <w:pPr>
      <w:spacing w:before="100" w:beforeAutospacing="1" w:after="100" w:afterAutospacing="1"/>
      <w:jc w:val="left"/>
    </w:pPr>
  </w:style>
  <w:style w:type="paragraph" w:customStyle="1" w:styleId="is-empty">
    <w:name w:val="is-empty"/>
    <w:basedOn w:val="Normal"/>
    <w:rsid w:val="00136995"/>
    <w:pPr>
      <w:spacing w:before="100" w:beforeAutospacing="1" w:after="100" w:afterAutospacing="1"/>
      <w:jc w:val="left"/>
    </w:pPr>
  </w:style>
  <w:style w:type="paragraph" w:styleId="BalloonText">
    <w:name w:val="Balloon Text"/>
    <w:basedOn w:val="Normal"/>
    <w:link w:val="BalloonTextChar"/>
    <w:uiPriority w:val="99"/>
    <w:semiHidden/>
    <w:unhideWhenUsed/>
    <w:rsid w:val="007438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3897"/>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7228C-670E-4F42-A8A0-051789E26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41</Pages>
  <Words>17317</Words>
  <Characters>98709</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 Wanjiku</dc:creator>
  <cp:keywords/>
  <dc:description/>
  <cp:lastModifiedBy>Michael Waweru</cp:lastModifiedBy>
  <cp:revision>8</cp:revision>
  <dcterms:created xsi:type="dcterms:W3CDTF">2026-06-03T09:33:00Z</dcterms:created>
  <dcterms:modified xsi:type="dcterms:W3CDTF">2026-06-03T09:42:00Z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580cc981-3259-4714-9ecf-c12070b3898f</vt:lpwstr>
  </property>
</Properties>
</file>