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color w:val="1F3A5F"/>
        </w:rPr>
        <w:t>Quarterly Review: Q3 2026</w:t>
      </w:r>
    </w:p>
    <w:p>
      <w:r>
        <w:rPr>
          <w:b w:val="0"/>
          <w:i/>
          <w:color w:val="555F6D"/>
          <w:sz w:val="18"/>
        </w:rPr>
        <w:t>19 October 2026. Levels are indicative, taken from official sources (BoE, ECB, Bundesbank, FRED, Bank of Canada) and market reports as of 15–19 Oct. Entries will be checked against live quotes before execution; option premia are model estimates, capped by the entry rules in each table.</w:t>
      </w:r>
    </w:p>
    <w:p>
      <w:pPr>
        <w:pStyle w:val="Heading1"/>
      </w:pPr>
      <w:r>
        <w:t>Summary</w:t>
      </w:r>
    </w:p>
    <w:p>
      <w:r>
        <w:rPr>
          <w:b/>
          <w:i w:val="0"/>
        </w:rPr>
        <w:t>Where the book makes money.</w:t>
      </w:r>
    </w:p>
    <w:p>
      <w:pPr>
        <w:pStyle w:val="ListBullet"/>
        <w:spacing w:after="40"/>
      </w:pPr>
      <w:r>
        <w:rPr>
          <w:b/>
          <w:i w:val="0"/>
        </w:rPr>
        <w:t>Theme 1 (BoE):</w:t>
      </w:r>
      <w:r>
        <w:rPr>
          <w:b w:val="0"/>
          <w:i w:val="0"/>
        </w:rPr>
        <w:t xml:space="preserve"> makes money unless the BoE delivers the full hiking cycle: +£4.9m if gradual, +£4.8m on one-and-done, −£1.9m on the full cycle.</w:t>
      </w:r>
    </w:p>
    <w:p>
      <w:pPr>
        <w:pStyle w:val="ListBullet"/>
        <w:spacing w:after="40"/>
      </w:pPr>
      <w:r>
        <w:rPr>
          <w:b/>
          <w:i w:val="0"/>
        </w:rPr>
        <w:t>Theme 2 (inflation persistence):</w:t>
      </w:r>
      <w:r>
        <w:rPr>
          <w:b w:val="0"/>
          <w:i w:val="0"/>
        </w:rPr>
        <w:t xml:space="preserve"> makes money while energy stays high (+£1.2m to +£7.4m) and loses £4.1m if the shock fades.</w:t>
      </w:r>
    </w:p>
    <w:p>
      <w:pPr>
        <w:pStyle w:val="ListBullet"/>
        <w:spacing w:after="40"/>
      </w:pPr>
      <w:r>
        <w:rPr>
          <w:b/>
          <w:i w:val="0"/>
        </w:rPr>
        <w:t>Theme 3 (France):</w:t>
      </w:r>
      <w:r>
        <w:rPr>
          <w:b w:val="0"/>
          <w:i w:val="0"/>
        </w:rPr>
        <w:t xml:space="preserve"> pays in a crisis (+£5.8m) or if the shock fades (+£1.9m), and loses £2.4m if France muddles through.</w:t>
      </w:r>
    </w:p>
    <w:p>
      <w:pPr>
        <w:pStyle w:val="ListBullet"/>
        <w:spacing w:after="40"/>
      </w:pPr>
      <w:r>
        <w:rPr>
          <w:b/>
          <w:i w:val="0"/>
        </w:rPr>
        <w:t>Theme 4 (European revival):</w:t>
      </w:r>
      <w:r>
        <w:rPr>
          <w:b w:val="0"/>
          <w:i w:val="0"/>
        </w:rPr>
        <w:t xml:space="preserve"> pays if the revival takes hold (+£6.1m) or on a Ukraine peace dividend (+£4.6m), and loses £1.7m if derailed.</w:t>
      </w:r>
    </w:p>
    <w:p>
      <w:pPr>
        <w:pStyle w:val="ListBullet"/>
        <w:spacing w:after="40"/>
      </w:pPr>
      <w:r>
        <w:rPr>
          <w:b/>
          <w:i w:val="0"/>
        </w:rPr>
        <w:t>Theme 5 (AI):</w:t>
      </w:r>
      <w:r>
        <w:rPr>
          <w:b w:val="0"/>
          <w:i w:val="0"/>
        </w:rPr>
        <w:t xml:space="preserve"> pays in a correction (+£2.6m) or a burst (+£14.8m), and loses £2.4m if the boom continues.</w:t>
      </w:r>
    </w:p>
    <w:p>
      <w:r>
        <w:rPr>
          <w:b/>
          <w:i w:val="0"/>
        </w:rPr>
        <w:t>How the themes interact.</w:t>
      </w:r>
    </w:p>
    <w:p>
      <w:pPr>
        <w:pStyle w:val="ListBullet"/>
        <w:spacing w:after="40"/>
      </w:pPr>
      <w:r>
        <w:rPr>
          <w:b/>
          <w:i w:val="0"/>
        </w:rPr>
        <w:t>Energy is the common factor.</w:t>
      </w:r>
      <w:r>
        <w:rPr>
          <w:b w:val="0"/>
          <w:i w:val="0"/>
        </w:rPr>
        <w:t xml:space="preserve"> Themes 1 and 2 are negatively correlated by design: the full cycle that costs Theme 1 £1.9m is Theme 2's best outcome. Together they make money in every natural pairing of their scenarios (+£0.7m to +£8.3m).</w:t>
      </w:r>
    </w:p>
    <w:p>
      <w:pPr>
        <w:pStyle w:val="ListBullet"/>
        <w:spacing w:after="40"/>
      </w:pPr>
      <w:r>
        <w:rPr>
          <w:b/>
          <w:i w:val="0"/>
        </w:rPr>
        <w:t>When the shock fades,</w:t>
      </w:r>
      <w:r>
        <w:rPr>
          <w:b w:val="0"/>
          <w:i w:val="0"/>
        </w:rPr>
        <w:t xml:space="preserve"> Theme 2's loss is offset by Theme 1 (one-and-done) and Theme 3 (Bund calls).</w:t>
      </w:r>
    </w:p>
    <w:p>
      <w:pPr>
        <w:pStyle w:val="ListBullet"/>
        <w:spacing w:after="40"/>
      </w:pPr>
      <w:r>
        <w:rPr>
          <w:b/>
          <w:i w:val="0"/>
        </w:rPr>
        <w:t>Themes 3 and 4 are opposite bets on Europe:</w:t>
      </w:r>
      <w:r>
        <w:rPr>
          <w:b w:val="0"/>
          <w:i w:val="0"/>
        </w:rPr>
        <w:t xml:space="preserve"> a French crisis is what derails the revival.</w:t>
      </w:r>
    </w:p>
    <w:p>
      <w:pPr>
        <w:pStyle w:val="ListBullet"/>
        <w:spacing w:after="40"/>
      </w:pPr>
      <w:r>
        <w:rPr>
          <w:b/>
          <w:i w:val="0"/>
        </w:rPr>
        <w:t>Theme 5 is the growth hedge:</w:t>
      </w:r>
      <w:r>
        <w:rPr>
          <w:b w:val="0"/>
          <w:i w:val="0"/>
        </w:rPr>
        <w:t xml:space="preserve"> a burst rallies rates, which helps Themes 1 and 3 and hurts Themes 2 and 4.</w:t>
      </w:r>
    </w:p>
    <w:p>
      <w:pPr>
        <w:pStyle w:val="ListBullet"/>
        <w:spacing w:after="40"/>
      </w:pPr>
      <w:r>
        <w:rPr>
          <w:b/>
          <w:i w:val="0"/>
        </w:rPr>
        <w:t>The weakest combination</w:t>
      </w:r>
      <w:r>
        <w:rPr>
          <w:b w:val="0"/>
          <w:i w:val="0"/>
        </w:rPr>
        <w:t xml:space="preserve"> is the status quo with France calming and the AI boom continuing: about +£1.0m. That is +£4.9m from Theme 1 (gradual) and +£1.2m from Theme 2 (plateau), against −£2.4m from Theme 3, −£2.4m from Theme 5 and −£0.3m from Theme 4.</w:t>
      </w:r>
    </w:p>
    <w:p>
      <w:pPr>
        <w:pStyle w:val="ListBullet"/>
        <w:spacing w:after="40"/>
      </w:pPr>
      <w:r>
        <w:rPr>
          <w:b/>
          <w:i w:val="0"/>
        </w:rPr>
        <w:t>Each theme's scenarios are separate,</w:t>
      </w:r>
      <w:r>
        <w:rPr>
          <w:b w:val="0"/>
          <w:i w:val="0"/>
        </w:rPr>
        <w:t xml:space="preserve"> so these combinations are illustrative, not a joint model.</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996"/>
        <w:gridCol w:w="1996"/>
        <w:gridCol w:w="1996"/>
        <w:gridCol w:w="1996"/>
        <w:gridCol w:w="1996"/>
      </w:tblGrid>
      <w:tr>
        <w:tc>
          <w:tcPr>
            <w:tcW w:type="dxa" w:w="1996"/>
            <w:shd w:val="clear" w:color="auto" w:fill="1F3A5F"/>
          </w:tcPr>
          <w:p>
            <w:pPr>
              <w:spacing w:after="0" w:line="240" w:lineRule="auto"/>
            </w:pPr>
            <w:r/>
            <w:r>
              <w:rPr>
                <w:b/>
                <w:i w:val="0"/>
                <w:color w:val="FFFFFF"/>
                <w:sz w:val="17"/>
              </w:rPr>
              <w:t>#</w:t>
            </w:r>
          </w:p>
        </w:tc>
        <w:tc>
          <w:tcPr>
            <w:tcW w:type="dxa" w:w="1996"/>
            <w:shd w:val="clear" w:color="auto" w:fill="1F3A5F"/>
          </w:tcPr>
          <w:p>
            <w:pPr>
              <w:spacing w:after="0" w:line="240" w:lineRule="auto"/>
            </w:pPr>
            <w:r/>
            <w:r>
              <w:rPr>
                <w:b/>
                <w:i w:val="0"/>
                <w:color w:val="FFFFFF"/>
                <w:sz w:val="17"/>
              </w:rPr>
              <w:t>Theme</w:t>
            </w:r>
          </w:p>
        </w:tc>
        <w:tc>
          <w:tcPr>
            <w:tcW w:type="dxa" w:w="1996"/>
            <w:shd w:val="clear" w:color="auto" w:fill="1F3A5F"/>
          </w:tcPr>
          <w:p>
            <w:pPr>
              <w:spacing w:after="0" w:line="240" w:lineRule="auto"/>
            </w:pPr>
            <w:r/>
            <w:r>
              <w:rPr>
                <w:b/>
                <w:i w:val="0"/>
                <w:color w:val="FFFFFF"/>
                <w:sz w:val="17"/>
              </w:rPr>
              <w:t>Trades</w:t>
            </w:r>
          </w:p>
        </w:tc>
        <w:tc>
          <w:tcPr>
            <w:tcW w:type="dxa" w:w="1996"/>
            <w:shd w:val="clear" w:color="auto" w:fill="1F3A5F"/>
          </w:tcPr>
          <w:p>
            <w:pPr>
              <w:spacing w:after="0" w:line="240" w:lineRule="auto"/>
            </w:pPr>
            <w:r/>
            <w:r>
              <w:rPr>
                <w:b/>
                <w:i w:val="0"/>
                <w:color w:val="FFFFFF"/>
                <w:sz w:val="17"/>
              </w:rPr>
              <w:t>Capital deployed</w:t>
            </w:r>
          </w:p>
        </w:tc>
        <w:tc>
          <w:tcPr>
            <w:tcW w:type="dxa" w:w="1996"/>
            <w:shd w:val="clear" w:color="auto" w:fill="1F3A5F"/>
          </w:tcPr>
          <w:p>
            <w:pPr>
              <w:spacing w:after="0" w:line="240" w:lineRule="auto"/>
            </w:pPr>
            <w:r/>
            <w:r>
              <w:rPr>
                <w:b/>
                <w:i w:val="0"/>
                <w:color w:val="FFFFFF"/>
                <w:sz w:val="17"/>
              </w:rPr>
              <w:t>P&amp;L</w:t>
            </w:r>
          </w:p>
        </w:tc>
      </w:tr>
      <w:tr>
        <w:tc>
          <w:tcPr>
            <w:tcW w:type="dxa" w:w="1996"/>
          </w:tcPr>
          <w:p>
            <w:pPr>
              <w:spacing w:after="0" w:line="240" w:lineRule="auto"/>
            </w:pPr>
            <w:r/>
            <w:r>
              <w:rPr>
                <w:b w:val="0"/>
                <w:i w:val="0"/>
                <w:sz w:val="17"/>
              </w:rPr>
              <w:t>1</w:t>
            </w:r>
          </w:p>
        </w:tc>
        <w:tc>
          <w:tcPr>
            <w:tcW w:type="dxa" w:w="1996"/>
          </w:tcPr>
          <w:p>
            <w:pPr>
              <w:spacing w:after="0" w:line="240" w:lineRule="auto"/>
            </w:pPr>
            <w:r/>
            <w:r>
              <w:rPr>
                <w:b w:val="0"/>
                <w:i w:val="0"/>
                <w:sz w:val="17"/>
              </w:rPr>
              <w:t>Gradual, short BoE hiking cycle; heavy gilt supply in the belly</w:t>
            </w:r>
          </w:p>
        </w:tc>
        <w:tc>
          <w:tcPr>
            <w:tcW w:type="dxa" w:w="1996"/>
          </w:tcPr>
          <w:p>
            <w:pPr>
              <w:spacing w:after="0" w:line="240" w:lineRule="auto"/>
            </w:pPr>
            <w:r/>
            <w:r>
              <w:rPr>
                <w:b w:val="0"/>
                <w:i w:val="0"/>
                <w:sz w:val="17"/>
              </w:rPr>
              <w:t>Receive SONIA 6m×1y; 6m×1y receiver spread; 3m×10y straddle; 2s10s30s fly; 10y gilt–OIS widener</w:t>
            </w:r>
          </w:p>
        </w:tc>
        <w:tc>
          <w:tcPr>
            <w:tcW w:type="dxa" w:w="1996"/>
          </w:tcPr>
          <w:p>
            <w:pPr>
              <w:spacing w:after="0" w:line="240" w:lineRule="auto"/>
            </w:pPr>
            <w:r/>
            <w:r>
              <w:rPr>
                <w:b w:val="0"/>
                <w:i w:val="0"/>
                <w:sz w:val="17"/>
              </w:rPr>
              <w:t>£5.22m (max loss at stops)</w:t>
            </w:r>
          </w:p>
        </w:tc>
        <w:tc>
          <w:tcPr>
            <w:tcW w:type="dxa" w:w="1996"/>
          </w:tcPr>
          <w:p>
            <w:pPr>
              <w:spacing w:after="0" w:line="240" w:lineRule="auto"/>
            </w:pPr>
            <w:r/>
            <w:r>
              <w:rPr>
                <w:b w:val="0"/>
                <w:i w:val="0"/>
                <w:sz w:val="17"/>
              </w:rPr>
              <w:t>+£3.08m expected (6m); −£1.9m if the full cycle is delivered</w:t>
            </w:r>
          </w:p>
        </w:tc>
      </w:tr>
      <w:tr>
        <w:tc>
          <w:tcPr>
            <w:tcW w:type="dxa" w:w="1996"/>
            <w:shd w:val="clear" w:color="auto" w:fill="F3F5F8"/>
          </w:tcPr>
          <w:p>
            <w:pPr>
              <w:spacing w:after="0" w:line="240" w:lineRule="auto"/>
            </w:pPr>
            <w:r/>
            <w:r>
              <w:rPr>
                <w:b w:val="0"/>
                <w:i w:val="0"/>
                <w:sz w:val="17"/>
              </w:rPr>
              <w:t>2</w:t>
            </w:r>
          </w:p>
        </w:tc>
        <w:tc>
          <w:tcPr>
            <w:tcW w:type="dxa" w:w="1996"/>
            <w:shd w:val="clear" w:color="auto" w:fill="F3F5F8"/>
          </w:tcPr>
          <w:p>
            <w:pPr>
              <w:spacing w:after="0" w:line="240" w:lineRule="auto"/>
            </w:pPr>
            <w:r/>
            <w:r>
              <w:rPr>
                <w:b w:val="0"/>
                <w:i w:val="0"/>
                <w:sz w:val="17"/>
              </w:rPr>
              <w:t>Inflation persistence, with domestic pressures re-accelerating (UK, euro area, G10)</w:t>
            </w:r>
          </w:p>
        </w:tc>
        <w:tc>
          <w:tcPr>
            <w:tcW w:type="dxa" w:w="1996"/>
            <w:shd w:val="clear" w:color="auto" w:fill="F3F5F8"/>
          </w:tcPr>
          <w:p>
            <w:pPr>
              <w:spacing w:after="0" w:line="240" w:lineRule="auto"/>
            </w:pPr>
            <w:r/>
            <w:r>
              <w:rPr>
                <w:b w:val="0"/>
                <w:i w:val="0"/>
                <w:sz w:val="17"/>
              </w:rPr>
              <w:t>Long UK 3y RPI; long US 5y breakeven; long EUR 1y1y inflation; pay EUR 1y1y vs receive SONIA 1y1y; long Dec-27 Brent</w:t>
            </w:r>
          </w:p>
        </w:tc>
        <w:tc>
          <w:tcPr>
            <w:tcW w:type="dxa" w:w="1996"/>
            <w:shd w:val="clear" w:color="auto" w:fill="F3F5F8"/>
          </w:tcPr>
          <w:p>
            <w:pPr>
              <w:spacing w:after="0" w:line="240" w:lineRule="auto"/>
            </w:pPr>
            <w:r/>
            <w:r>
              <w:rPr>
                <w:b w:val="0"/>
                <w:i w:val="0"/>
                <w:sz w:val="17"/>
              </w:rPr>
              <w:t>£5.31m (max loss at stops)</w:t>
            </w:r>
          </w:p>
        </w:tc>
        <w:tc>
          <w:tcPr>
            <w:tcW w:type="dxa" w:w="1996"/>
            <w:shd w:val="clear" w:color="auto" w:fill="F3F5F8"/>
          </w:tcPr>
          <w:p>
            <w:pPr>
              <w:spacing w:after="0" w:line="240" w:lineRule="auto"/>
            </w:pPr>
            <w:r/>
            <w:r>
              <w:rPr>
                <w:b w:val="0"/>
                <w:i w:val="0"/>
                <w:sz w:val="17"/>
              </w:rPr>
              <w:t>+£1.99m expected (6m); +£7.4m if persistence is broad, −£4.1m if the shock fades</w:t>
            </w:r>
          </w:p>
        </w:tc>
      </w:tr>
      <w:tr>
        <w:tc>
          <w:tcPr>
            <w:tcW w:type="dxa" w:w="1996"/>
          </w:tcPr>
          <w:p>
            <w:pPr>
              <w:spacing w:after="0" w:line="240" w:lineRule="auto"/>
            </w:pPr>
            <w:r/>
            <w:r>
              <w:rPr>
                <w:b w:val="0"/>
                <w:i w:val="0"/>
                <w:sz w:val="17"/>
              </w:rPr>
              <w:t>3</w:t>
            </w:r>
          </w:p>
        </w:tc>
        <w:tc>
          <w:tcPr>
            <w:tcW w:type="dxa" w:w="1996"/>
          </w:tcPr>
          <w:p>
            <w:pPr>
              <w:spacing w:after="0" w:line="240" w:lineRule="auto"/>
            </w:pPr>
            <w:r/>
            <w:r>
              <w:rPr>
                <w:b w:val="0"/>
                <w:i w:val="0"/>
                <w:sz w:val="17"/>
              </w:rPr>
              <w:t>Euro area fiscal crisis, with the political risk premium rising</w:t>
            </w:r>
          </w:p>
        </w:tc>
        <w:tc>
          <w:tcPr>
            <w:tcW w:type="dxa" w:w="1996"/>
          </w:tcPr>
          <w:p>
            <w:pPr>
              <w:spacing w:after="0" w:line="240" w:lineRule="auto"/>
            </w:pPr>
            <w:r/>
            <w:r>
              <w:rPr>
                <w:b w:val="0"/>
                <w:i w:val="0"/>
                <w:sz w:val="17"/>
              </w:rPr>
              <w:t>OAT–Bund widener; short OAT vs Bonos; 6m Bund call spread</w:t>
            </w:r>
          </w:p>
        </w:tc>
        <w:tc>
          <w:tcPr>
            <w:tcW w:type="dxa" w:w="1996"/>
          </w:tcPr>
          <w:p>
            <w:pPr>
              <w:spacing w:after="0" w:line="240" w:lineRule="auto"/>
            </w:pPr>
            <w:r/>
            <w:r>
              <w:rPr>
                <w:b w:val="0"/>
                <w:i w:val="0"/>
                <w:sz w:val="17"/>
              </w:rPr>
              <w:t>£2.65m (max loss at stops)</w:t>
            </w:r>
          </w:p>
        </w:tc>
        <w:tc>
          <w:tcPr>
            <w:tcW w:type="dxa" w:w="1996"/>
          </w:tcPr>
          <w:p>
            <w:pPr>
              <w:spacing w:after="0" w:line="240" w:lineRule="auto"/>
            </w:pPr>
            <w:r/>
            <w:r>
              <w:rPr>
                <w:b w:val="0"/>
                <w:i w:val="0"/>
                <w:sz w:val="17"/>
              </w:rPr>
              <w:t>+£0.70m expected (6m); +£5.8m in a crisis, −£2.4m if France muddles through</w:t>
            </w:r>
          </w:p>
        </w:tc>
      </w:tr>
      <w:tr>
        <w:tc>
          <w:tcPr>
            <w:tcW w:type="dxa" w:w="1996"/>
            <w:shd w:val="clear" w:color="auto" w:fill="F3F5F8"/>
          </w:tcPr>
          <w:p>
            <w:pPr>
              <w:spacing w:after="0" w:line="240" w:lineRule="auto"/>
            </w:pPr>
            <w:r/>
            <w:r>
              <w:rPr>
                <w:b w:val="0"/>
                <w:i w:val="0"/>
                <w:sz w:val="17"/>
              </w:rPr>
              <w:t>4</w:t>
            </w:r>
          </w:p>
        </w:tc>
        <w:tc>
          <w:tcPr>
            <w:tcW w:type="dxa" w:w="1996"/>
            <w:shd w:val="clear" w:color="auto" w:fill="F3F5F8"/>
          </w:tcPr>
          <w:p>
            <w:pPr>
              <w:spacing w:after="0" w:line="240" w:lineRule="auto"/>
            </w:pPr>
            <w:r/>
            <w:r>
              <w:rPr>
                <w:b w:val="0"/>
                <w:i w:val="0"/>
                <w:sz w:val="17"/>
              </w:rPr>
              <w:t>Euro area fiscal and growth revival</w:t>
            </w:r>
          </w:p>
        </w:tc>
        <w:tc>
          <w:tcPr>
            <w:tcW w:type="dxa" w:w="1996"/>
            <w:shd w:val="clear" w:color="auto" w:fill="F3F5F8"/>
          </w:tcPr>
          <w:p>
            <w:pPr>
              <w:spacing w:after="0" w:line="240" w:lineRule="auto"/>
            </w:pPr>
            <w:r/>
            <w:r>
              <w:rPr>
                <w:b w:val="0"/>
                <w:i w:val="0"/>
                <w:sz w:val="17"/>
              </w:rPr>
              <w:t>Bund 5s30s steepener; 6m EURUSD call spread</w:t>
            </w:r>
          </w:p>
        </w:tc>
        <w:tc>
          <w:tcPr>
            <w:tcW w:type="dxa" w:w="1996"/>
            <w:shd w:val="clear" w:color="auto" w:fill="F3F5F8"/>
          </w:tcPr>
          <w:p>
            <w:pPr>
              <w:spacing w:after="0" w:line="240" w:lineRule="auto"/>
            </w:pPr>
            <w:r/>
            <w:r>
              <w:rPr>
                <w:b w:val="0"/>
                <w:i w:val="0"/>
                <w:sz w:val="17"/>
              </w:rPr>
              <w:t>£1.99m (max loss at stops)</w:t>
            </w:r>
          </w:p>
        </w:tc>
        <w:tc>
          <w:tcPr>
            <w:tcW w:type="dxa" w:w="1996"/>
            <w:shd w:val="clear" w:color="auto" w:fill="F3F5F8"/>
          </w:tcPr>
          <w:p>
            <w:pPr>
              <w:spacing w:after="0" w:line="240" w:lineRule="auto"/>
            </w:pPr>
            <w:r/>
            <w:r>
              <w:rPr>
                <w:b w:val="0"/>
                <w:i w:val="0"/>
                <w:sz w:val="17"/>
              </w:rPr>
              <w:t>+£1.45m expected (6m); +£6.1m if the revival takes hold, −£1.7m if derailed</w:t>
            </w:r>
          </w:p>
        </w:tc>
      </w:tr>
      <w:tr>
        <w:tc>
          <w:tcPr>
            <w:tcW w:type="dxa" w:w="1996"/>
          </w:tcPr>
          <w:p>
            <w:pPr>
              <w:spacing w:after="0" w:line="240" w:lineRule="auto"/>
            </w:pPr>
            <w:r/>
            <w:r>
              <w:rPr>
                <w:b w:val="0"/>
                <w:i w:val="0"/>
                <w:sz w:val="17"/>
              </w:rPr>
              <w:t>5</w:t>
            </w:r>
          </w:p>
        </w:tc>
        <w:tc>
          <w:tcPr>
            <w:tcW w:type="dxa" w:w="1996"/>
          </w:tcPr>
          <w:p>
            <w:pPr>
              <w:spacing w:after="0" w:line="240" w:lineRule="auto"/>
            </w:pPr>
            <w:r/>
            <w:r>
              <w:rPr>
                <w:b w:val="0"/>
                <w:i w:val="0"/>
                <w:sz w:val="17"/>
              </w:rPr>
              <w:t>The AI bubble bursts</w:t>
            </w:r>
          </w:p>
        </w:tc>
        <w:tc>
          <w:tcPr>
            <w:tcW w:type="dxa" w:w="1996"/>
          </w:tcPr>
          <w:p>
            <w:pPr>
              <w:spacing w:after="0" w:line="240" w:lineRule="auto"/>
            </w:pPr>
            <w:r/>
            <w:r>
              <w:rPr>
                <w:b w:val="0"/>
                <w:i w:val="0"/>
                <w:sz w:val="17"/>
              </w:rPr>
              <w:t>Receive US 2y; 6m Nasdaq 100 put spread; buy CDX IG protection</w:t>
            </w:r>
          </w:p>
        </w:tc>
        <w:tc>
          <w:tcPr>
            <w:tcW w:type="dxa" w:w="1996"/>
          </w:tcPr>
          <w:p>
            <w:pPr>
              <w:spacing w:after="0" w:line="240" w:lineRule="auto"/>
            </w:pPr>
            <w:r/>
            <w:r>
              <w:rPr>
                <w:b w:val="0"/>
                <w:i w:val="0"/>
                <w:sz w:val="17"/>
              </w:rPr>
              <w:t>£3.32m (max loss at stops)</w:t>
            </w:r>
          </w:p>
        </w:tc>
        <w:tc>
          <w:tcPr>
            <w:tcW w:type="dxa" w:w="1996"/>
          </w:tcPr>
          <w:p>
            <w:pPr>
              <w:spacing w:after="0" w:line="240" w:lineRule="auto"/>
            </w:pPr>
            <w:r/>
            <w:r>
              <w:rPr>
                <w:b w:val="0"/>
                <w:i w:val="0"/>
                <w:sz w:val="17"/>
              </w:rPr>
              <w:t>+£2.78m expected (6m); +£14.8m in a burst, −£2.4m if the boom continues</w:t>
            </w:r>
          </w:p>
        </w:tc>
      </w:tr>
      <w:tr>
        <w:tc>
          <w:tcPr>
            <w:tcW w:type="dxa" w:w="1996"/>
            <w:shd w:val="clear" w:color="auto" w:fill="DCE4EE"/>
          </w:tcPr>
          <w:p>
            <w:pPr>
              <w:spacing w:after="0" w:line="240" w:lineRule="auto"/>
            </w:pPr>
            <w:r/>
          </w:p>
        </w:tc>
        <w:tc>
          <w:tcPr>
            <w:tcW w:type="dxa" w:w="1996"/>
            <w:shd w:val="clear" w:color="auto" w:fill="DCE4EE"/>
          </w:tcPr>
          <w:p>
            <w:pPr>
              <w:spacing w:after="0" w:line="240" w:lineRule="auto"/>
            </w:pPr>
            <w:r/>
            <w:r>
              <w:rPr>
                <w:b/>
                <w:i w:val="0"/>
                <w:sz w:val="17"/>
              </w:rPr>
              <w:t>Total</w:t>
            </w:r>
          </w:p>
        </w:tc>
        <w:tc>
          <w:tcPr>
            <w:tcW w:type="dxa" w:w="1996"/>
            <w:shd w:val="clear" w:color="auto" w:fill="DCE4EE"/>
          </w:tcPr>
          <w:p>
            <w:pPr>
              <w:spacing w:after="0" w:line="240" w:lineRule="auto"/>
            </w:pPr>
            <w:r/>
            <w:r>
              <w:rPr>
                <w:b/>
                <w:i w:val="0"/>
                <w:sz w:val="17"/>
              </w:rPr>
              <w:t>18 trades</w:t>
            </w:r>
          </w:p>
        </w:tc>
        <w:tc>
          <w:tcPr>
            <w:tcW w:type="dxa" w:w="1996"/>
            <w:shd w:val="clear" w:color="auto" w:fill="DCE4EE"/>
          </w:tcPr>
          <w:p>
            <w:pPr>
              <w:spacing w:after="0" w:line="240" w:lineRule="auto"/>
            </w:pPr>
            <w:r/>
            <w:r>
              <w:rPr>
                <w:b/>
                <w:i w:val="0"/>
                <w:sz w:val="17"/>
              </w:rPr>
              <w:t>£18.49m</w:t>
            </w:r>
          </w:p>
        </w:tc>
        <w:tc>
          <w:tcPr>
            <w:tcW w:type="dxa" w:w="1996"/>
            <w:shd w:val="clear" w:color="auto" w:fill="DCE4EE"/>
          </w:tcPr>
          <w:p>
            <w:pPr>
              <w:spacing w:after="0" w:line="240" w:lineRule="auto"/>
            </w:pPr>
            <w:r/>
            <w:r>
              <w:rPr>
                <w:b/>
                <w:i w:val="0"/>
                <w:sz w:val="17"/>
              </w:rPr>
              <w:t>+£10.0m expected</w:t>
            </w:r>
          </w:p>
        </w:tc>
      </w:tr>
    </w:tbl>
    <w:p>
      <w:pPr>
        <w:spacing w:after="40"/>
      </w:pPr>
    </w:p>
    <w:p>
      <w:pPr>
        <w:pStyle w:val="ListBullet"/>
        <w:spacing w:after="40"/>
      </w:pPr>
      <w:r>
        <w:rPr>
          <w:b w:val="0"/>
          <w:i/>
        </w:rPr>
        <w:t>Method:</w:t>
      </w:r>
      <w:r>
        <w:rPr>
          <w:b w:val="0"/>
          <w:i w:val="0"/>
        </w:rPr>
        <w:t xml:space="preserve"> Capital deployed is the max loss at the stops (the premium, for options).</w:t>
      </w:r>
    </w:p>
    <w:p>
      <w:pPr>
        <w:pStyle w:val="ListBullet"/>
        <w:spacing w:after="40"/>
      </w:pPr>
      <w:r>
        <w:rPr>
          <w:b w:val="0"/>
          <w:i/>
        </w:rPr>
        <w:t>Sizing:</w:t>
      </w:r>
      <w:r>
        <w:rPr>
          <w:b w:val="0"/>
          <w:i w:val="0"/>
        </w:rPr>
        <w:t xml:space="preserve"> Max loss is a conviction share of a £2.65m per-trade risk unit: conviction 2 → £663k, 3 → £1.33m, 4 → £1.99m. The unit is set so the book's six-month expected P&amp;L is £10m, 3.54× the provisional £750k limit. The pod's per-trade, bucket, scenario-loss and trade-count limits need to be raised by the same factor.</w:t>
      </w:r>
    </w:p>
    <w:p>
      <w:pPr>
        <w:pStyle w:val="ListBullet"/>
        <w:spacing w:after="40"/>
      </w:pPr>
      <w:r>
        <w:rPr>
          <w:b w:val="0"/>
          <w:i/>
        </w:rPr>
        <w:t>Expected P&amp;L:</w:t>
      </w:r>
      <w:r>
        <w:rPr>
          <w:b w:val="0"/>
          <w:i w:val="0"/>
        </w:rPr>
        <w:t xml:space="preserve"> Each trade's six-month P&amp;L is weighted by its own theme's scenario probabilities, capped at the target and floored at the stop, with carry excluded unless stated. Expected values add across themes.</w:t>
      </w:r>
    </w:p>
    <w:p>
      <w:r>
        <w:br w:type="page"/>
      </w:r>
    </w:p>
    <w:p>
      <w:pPr>
        <w:pStyle w:val="Heading1"/>
      </w:pPr>
      <w:r>
        <w:t>Theme 1: Gradual, short BoE hiking cycle, with heavy gilt supply in the belly</w:t>
      </w:r>
    </w:p>
    <w:p>
      <w:pPr>
        <w:pStyle w:val="Heading2"/>
      </w:pPr>
      <w:r>
        <w:t>Current state of the theme</w:t>
      </w:r>
    </w:p>
    <w:p>
      <w:pPr>
        <w:pStyle w:val="ListBullet"/>
        <w:spacing w:after="40"/>
      </w:pPr>
      <w:r>
        <w:rPr>
          <w:b/>
          <w:i w:val="0"/>
        </w:rPr>
        <w:t>Monetary policy:</w:t>
      </w:r>
    </w:p>
    <w:p>
      <w:pPr>
        <w:pStyle w:val="ListBullet2"/>
        <w:spacing w:after="40"/>
      </w:pPr>
      <w:r>
        <w:rPr>
          <w:b w:val="0"/>
          <w:i w:val="0"/>
        </w:rPr>
        <w:t>The centre of the MPC (Bailey, Lombardelli, Breeden, Ramsden) backs a November hike, but makes further hikes conditional on the energy shock lasting and reaching wages.</w:t>
      </w:r>
    </w:p>
    <w:p>
      <w:pPr>
        <w:pStyle w:val="ListBullet2"/>
        <w:spacing w:after="40"/>
      </w:pPr>
      <w:r>
        <w:rPr>
          <w:b w:val="0"/>
          <w:i w:val="0"/>
        </w:rPr>
        <w:t>Breeden and Bailey shifted tone dovish again in October, calling second-round effects "quite subdued."</w:t>
      </w:r>
    </w:p>
    <w:p>
      <w:pPr>
        <w:pStyle w:val="ListBullet2"/>
        <w:spacing w:after="40"/>
      </w:pPr>
      <w:r>
        <w:rPr>
          <w:b w:val="0"/>
          <w:i w:val="0"/>
        </w:rPr>
        <w:t>Bank Rate is 3.75%, held 6–3 in July and September (Greene, Mann and Pill voted for 4%). CPI is 3.1%, seen above 4% in early 2027.</w:t>
      </w:r>
    </w:p>
    <w:p>
      <w:pPr>
        <w:pStyle w:val="ListBullet"/>
        <w:spacing w:after="40"/>
      </w:pPr>
      <w:r>
        <w:rPr>
          <w:b/>
          <w:i w:val="0"/>
        </w:rPr>
        <w:t>Fiscal and supply:</w:t>
      </w:r>
    </w:p>
    <w:p>
      <w:pPr>
        <w:pStyle w:val="ListBullet2"/>
        <w:spacing w:after="40"/>
      </w:pPr>
      <w:r>
        <w:rPr>
          <w:b w:val="0"/>
          <w:i w:val="0"/>
        </w:rPr>
        <w:t>The 28 Oct Budget defers the hard choices. Headroom is expected at ~£14–15bn, down from £23.6bn; below £10bn would hit gilts.</w:t>
      </w:r>
    </w:p>
    <w:p>
      <w:pPr>
        <w:pStyle w:val="ListBullet2"/>
        <w:spacing w:after="40"/>
      </w:pPr>
      <w:r>
        <w:rPr>
          <w:b w:val="0"/>
          <w:i w:val="0"/>
        </w:rPr>
        <w:t>Banks expect the remit to rise £5bn to £251.2bn, with Mediums up to 37.4% (from 30.9%) and Longs down to 4.9%, then ~£300bn next year. Belly supply is heavier both now and later.</w:t>
      </w:r>
    </w:p>
    <w:p>
      <w:pPr>
        <w:pStyle w:val="ListBullet"/>
        <w:spacing w:after="40"/>
      </w:pPr>
      <w:r>
        <w:rPr>
          <w:b/>
          <w:i w:val="0"/>
        </w:rPr>
        <w:t>Drivers:</w:t>
      </w:r>
    </w:p>
    <w:p>
      <w:pPr>
        <w:pStyle w:val="ListBullet2"/>
        <w:spacing w:after="40"/>
      </w:pPr>
      <w:r>
        <w:rPr>
          <w:b w:val="0"/>
          <w:i w:val="0"/>
        </w:rPr>
        <w:t>Imported energy, not domestic overheating. Dated Brent is $127 (14 Oct) after re-spiking in Q3 ($70 at end-June, $116 at end-September), and the January Ofgem cap is estimated at +22%.</w:t>
      </w:r>
    </w:p>
    <w:p>
      <w:pPr>
        <w:pStyle w:val="ListBullet2"/>
        <w:spacing w:after="40"/>
      </w:pPr>
      <w:r>
        <w:rPr>
          <w:b w:val="0"/>
          <w:i w:val="0"/>
        </w:rPr>
        <w:t>Services (3.4%) and core (2.6%) CPI are flat, and the labour market is loosening.</w:t>
      </w:r>
    </w:p>
    <w:p>
      <w:pPr>
        <w:pStyle w:val="ListBullet2"/>
        <w:spacing w:after="40"/>
      </w:pPr>
      <w:r>
        <w:rPr>
          <w:b w:val="0"/>
          <w:i w:val="0"/>
        </w:rPr>
        <w:t>Duration is selling off globally on fiscal concerns and synchronised hiking; the 30y gilt hit 6.05%, its highest since 1998.</w:t>
      </w:r>
    </w:p>
    <w:p>
      <w:pPr>
        <w:pStyle w:val="ListBullet"/>
        <w:spacing w:after="40"/>
      </w:pPr>
      <w:r>
        <w:rPr>
          <w:b/>
          <w:i w:val="0"/>
        </w:rPr>
        <w:t>Pricing (15 Oct):</w:t>
      </w:r>
    </w:p>
    <w:p>
      <w:pPr>
        <w:pStyle w:val="ListBullet2"/>
        <w:spacing w:after="40"/>
      </w:pPr>
      <w:r>
        <w:rPr>
          <w:b w:val="0"/>
          <w:i w:val="0"/>
        </w:rPr>
        <w:t>OIS forwards peak at ~4.88% (~4.5 hikes), ~50bp above our 4.35% modal outcome.</w:t>
      </w:r>
    </w:p>
    <w:p>
      <w:pPr>
        <w:pStyle w:val="ListBullet2"/>
        <w:spacing w:after="40"/>
      </w:pPr>
      <w:r>
        <w:rPr>
          <w:b w:val="0"/>
          <w:i w:val="0"/>
        </w:rPr>
        <w:t>Q3 moves were belly-led: 5y +67bp, 30y +38bp, and the 2s10s30s fly up 16bp to +15bp.</w:t>
      </w:r>
    </w:p>
    <w:p>
      <w:pPr>
        <w:pStyle w:val="ListBullet2"/>
        <w:spacing w:after="40"/>
      </w:pPr>
      <w:r>
        <w:rPr>
          <w:b w:val="0"/>
          <w:i w:val="0"/>
        </w:rPr>
        <w:t>The 10y gilt–OIS spread narrowed 5bp to 45bp in Q3 and is now 48bp.</w:t>
      </w:r>
    </w:p>
    <w:p>
      <w:pPr>
        <w:pStyle w:val="Heading2"/>
      </w:pPr>
      <w:r>
        <w:t>Scenarios</w:t>
      </w:r>
    </w:p>
    <w:p>
      <w:r>
        <w:rPr>
          <w:b/>
          <w:i w:val="0"/>
        </w:rPr>
        <w:t>Weighted terminal ≈ 4.35% against ~4.88% priced: ~50bp too much hiking, with the skew in our favour. Scenarios 1 and 3 (70%) rally the front end, and the full cycle is mostly priced. The belly stays cheap except in a growth break.</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663"/>
        <w:gridCol w:w="1663"/>
        <w:gridCol w:w="1663"/>
        <w:gridCol w:w="1663"/>
        <w:gridCol w:w="1663"/>
        <w:gridCol w:w="1663"/>
      </w:tblGrid>
      <w:tr>
        <w:tc>
          <w:tcPr>
            <w:tcW w:type="dxa" w:w="1663"/>
            <w:shd w:val="clear" w:color="auto" w:fill="1F3A5F"/>
          </w:tcPr>
          <w:p>
            <w:pPr>
              <w:spacing w:after="0" w:line="240" w:lineRule="auto"/>
            </w:pPr>
            <w:r/>
            <w:r>
              <w:rPr>
                <w:b/>
                <w:i w:val="0"/>
                <w:color w:val="FFFFFF"/>
                <w:sz w:val="17"/>
              </w:rPr>
              <w:t>Scenario</w:t>
            </w:r>
          </w:p>
        </w:tc>
        <w:tc>
          <w:tcPr>
            <w:tcW w:type="dxa" w:w="1663"/>
            <w:shd w:val="clear" w:color="auto" w:fill="1F3A5F"/>
          </w:tcPr>
          <w:p>
            <w:pPr>
              <w:spacing w:after="0" w:line="240" w:lineRule="auto"/>
            </w:pPr>
            <w:r/>
            <w:r>
              <w:rPr>
                <w:b/>
                <w:i w:val="0"/>
                <w:color w:val="FFFFFF"/>
                <w:sz w:val="17"/>
              </w:rPr>
              <w:t>Prob.</w:t>
            </w:r>
          </w:p>
        </w:tc>
        <w:tc>
          <w:tcPr>
            <w:tcW w:type="dxa" w:w="1663"/>
            <w:shd w:val="clear" w:color="auto" w:fill="1F3A5F"/>
          </w:tcPr>
          <w:p>
            <w:pPr>
              <w:spacing w:after="0" w:line="240" w:lineRule="auto"/>
            </w:pPr>
            <w:r/>
            <w:r>
              <w:rPr>
                <w:b/>
                <w:i w:val="0"/>
                <w:color w:val="FFFFFF"/>
                <w:sz w:val="17"/>
              </w:rPr>
              <w:t>Terminal</w:t>
            </w:r>
          </w:p>
        </w:tc>
        <w:tc>
          <w:tcPr>
            <w:tcW w:type="dxa" w:w="1663"/>
            <w:shd w:val="clear" w:color="auto" w:fill="1F3A5F"/>
          </w:tcPr>
          <w:p>
            <w:pPr>
              <w:spacing w:after="0" w:line="240" w:lineRule="auto"/>
            </w:pPr>
            <w:r/>
            <w:r>
              <w:rPr>
                <w:b/>
                <w:i w:val="0"/>
                <w:color w:val="FFFFFF"/>
                <w:sz w:val="17"/>
              </w:rPr>
              <w:t>Front end</w:t>
            </w:r>
          </w:p>
        </w:tc>
        <w:tc>
          <w:tcPr>
            <w:tcW w:type="dxa" w:w="1663"/>
            <w:shd w:val="clear" w:color="auto" w:fill="1F3A5F"/>
          </w:tcPr>
          <w:p>
            <w:pPr>
              <w:spacing w:after="0" w:line="240" w:lineRule="auto"/>
            </w:pPr>
            <w:r/>
            <w:r>
              <w:rPr>
                <w:b/>
                <w:i w:val="0"/>
                <w:color w:val="FFFFFF"/>
                <w:sz w:val="17"/>
              </w:rPr>
              <w:t>Belly</w:t>
            </w:r>
          </w:p>
        </w:tc>
        <w:tc>
          <w:tcPr>
            <w:tcW w:type="dxa" w:w="1663"/>
            <w:shd w:val="clear" w:color="auto" w:fill="1F3A5F"/>
          </w:tcPr>
          <w:p>
            <w:pPr>
              <w:spacing w:after="0" w:line="240" w:lineRule="auto"/>
            </w:pPr>
            <w:r/>
            <w:r>
              <w:rPr>
                <w:b/>
                <w:i w:val="0"/>
                <w:color w:val="FFFFFF"/>
                <w:sz w:val="17"/>
              </w:rPr>
              <w:t>Triggers</w:t>
            </w:r>
          </w:p>
        </w:tc>
      </w:tr>
      <w:tr>
        <w:tc>
          <w:tcPr>
            <w:tcW w:type="dxa" w:w="1663"/>
          </w:tcPr>
          <w:p>
            <w:pPr>
              <w:spacing w:after="0" w:line="240" w:lineRule="auto"/>
            </w:pPr>
            <w:r/>
            <w:r>
              <w:rPr>
                <w:b w:val="0"/>
                <w:i w:val="0"/>
                <w:sz w:val="17"/>
              </w:rPr>
              <w:t>1. Gradual and short</w:t>
            </w:r>
          </w:p>
        </w:tc>
        <w:tc>
          <w:tcPr>
            <w:tcW w:type="dxa" w:w="1663"/>
          </w:tcPr>
          <w:p>
            <w:pPr>
              <w:spacing w:after="0" w:line="240" w:lineRule="auto"/>
            </w:pPr>
            <w:r/>
            <w:r>
              <w:rPr>
                <w:b w:val="0"/>
                <w:i w:val="0"/>
                <w:sz w:val="17"/>
              </w:rPr>
              <w:t>50%</w:t>
            </w:r>
          </w:p>
        </w:tc>
        <w:tc>
          <w:tcPr>
            <w:tcW w:type="dxa" w:w="1663"/>
          </w:tcPr>
          <w:p>
            <w:pPr>
              <w:spacing w:after="0" w:line="240" w:lineRule="auto"/>
            </w:pPr>
            <w:r/>
            <w:r>
              <w:rPr>
                <w:b w:val="0"/>
                <w:i w:val="0"/>
                <w:sz w:val="17"/>
              </w:rPr>
              <w:t>4.25% (Nov, Feb)</w:t>
            </w:r>
          </w:p>
        </w:tc>
        <w:tc>
          <w:tcPr>
            <w:tcW w:type="dxa" w:w="1663"/>
          </w:tcPr>
          <w:p>
            <w:pPr>
              <w:spacing w:after="0" w:line="240" w:lineRule="auto"/>
            </w:pPr>
            <w:r/>
            <w:r>
              <w:rPr>
                <w:b w:val="0"/>
                <w:i w:val="0"/>
                <w:sz w:val="17"/>
              </w:rPr>
              <w:t>Rallies</w:t>
            </w:r>
          </w:p>
        </w:tc>
        <w:tc>
          <w:tcPr>
            <w:tcW w:type="dxa" w:w="1663"/>
          </w:tcPr>
          <w:p>
            <w:pPr>
              <w:spacing w:after="0" w:line="240" w:lineRule="auto"/>
            </w:pPr>
            <w:r/>
            <w:r>
              <w:rPr>
                <w:b w:val="0"/>
                <w:i w:val="0"/>
                <w:sz w:val="17"/>
              </w:rPr>
              <w:t>Stays cheap</w:t>
            </w:r>
          </w:p>
        </w:tc>
        <w:tc>
          <w:tcPr>
            <w:tcW w:type="dxa" w:w="1663"/>
          </w:tcPr>
          <w:p>
            <w:pPr>
              <w:spacing w:after="0" w:line="240" w:lineRule="auto"/>
            </w:pPr>
            <w:r/>
            <w:r>
              <w:rPr>
                <w:b w:val="0"/>
                <w:i w:val="0"/>
                <w:sz w:val="17"/>
              </w:rPr>
              <w:t>Oil stabilises; wages cool</w:t>
            </w:r>
          </w:p>
        </w:tc>
      </w:tr>
      <w:tr>
        <w:tc>
          <w:tcPr>
            <w:tcW w:type="dxa" w:w="1663"/>
            <w:shd w:val="clear" w:color="auto" w:fill="F3F5F8"/>
          </w:tcPr>
          <w:p>
            <w:pPr>
              <w:spacing w:after="0" w:line="240" w:lineRule="auto"/>
            </w:pPr>
            <w:r/>
            <w:r>
              <w:rPr>
                <w:b w:val="0"/>
                <w:i w:val="0"/>
                <w:sz w:val="17"/>
              </w:rPr>
              <w:t>2. Full cycle</w:t>
            </w:r>
          </w:p>
        </w:tc>
        <w:tc>
          <w:tcPr>
            <w:tcW w:type="dxa" w:w="1663"/>
            <w:shd w:val="clear" w:color="auto" w:fill="F3F5F8"/>
          </w:tcPr>
          <w:p>
            <w:pPr>
              <w:spacing w:after="0" w:line="240" w:lineRule="auto"/>
            </w:pPr>
            <w:r/>
            <w:r>
              <w:rPr>
                <w:b w:val="0"/>
                <w:i w:val="0"/>
                <w:sz w:val="17"/>
              </w:rPr>
              <w:t>25%</w:t>
            </w:r>
          </w:p>
        </w:tc>
        <w:tc>
          <w:tcPr>
            <w:tcW w:type="dxa" w:w="1663"/>
            <w:shd w:val="clear" w:color="auto" w:fill="F3F5F8"/>
          </w:tcPr>
          <w:p>
            <w:pPr>
              <w:spacing w:after="0" w:line="240" w:lineRule="auto"/>
            </w:pPr>
            <w:r/>
            <w:r>
              <w:rPr>
                <w:b w:val="0"/>
                <w:i w:val="0"/>
                <w:sz w:val="17"/>
              </w:rPr>
              <w:t>4.75–5.00%</w:t>
            </w:r>
          </w:p>
        </w:tc>
        <w:tc>
          <w:tcPr>
            <w:tcW w:type="dxa" w:w="1663"/>
            <w:shd w:val="clear" w:color="auto" w:fill="F3F5F8"/>
          </w:tcPr>
          <w:p>
            <w:pPr>
              <w:spacing w:after="0" w:line="240" w:lineRule="auto"/>
            </w:pPr>
            <w:r/>
            <w:r>
              <w:rPr>
                <w:b w:val="0"/>
                <w:i w:val="0"/>
                <w:sz w:val="17"/>
              </w:rPr>
              <w:t>Flat to modest selloff</w:t>
            </w:r>
          </w:p>
        </w:tc>
        <w:tc>
          <w:tcPr>
            <w:tcW w:type="dxa" w:w="1663"/>
            <w:shd w:val="clear" w:color="auto" w:fill="F3F5F8"/>
          </w:tcPr>
          <w:p>
            <w:pPr>
              <w:spacing w:after="0" w:line="240" w:lineRule="auto"/>
            </w:pPr>
            <w:r/>
            <w:r>
              <w:rPr>
                <w:b w:val="0"/>
                <w:i w:val="0"/>
                <w:sz w:val="17"/>
              </w:rPr>
              <w:t>Cheapens; bear flattening</w:t>
            </w:r>
          </w:p>
        </w:tc>
        <w:tc>
          <w:tcPr>
            <w:tcW w:type="dxa" w:w="1663"/>
            <w:shd w:val="clear" w:color="auto" w:fill="F3F5F8"/>
          </w:tcPr>
          <w:p>
            <w:pPr>
              <w:spacing w:after="0" w:line="240" w:lineRule="auto"/>
            </w:pPr>
            <w:r/>
            <w:r>
              <w:rPr>
                <w:b w:val="0"/>
                <w:i w:val="0"/>
                <w:sz w:val="17"/>
              </w:rPr>
              <w:t>Hormuz stays shut; services and wages re-accelerate</w:t>
            </w:r>
          </w:p>
        </w:tc>
      </w:tr>
      <w:tr>
        <w:tc>
          <w:tcPr>
            <w:tcW w:type="dxa" w:w="1663"/>
          </w:tcPr>
          <w:p>
            <w:pPr>
              <w:spacing w:after="0" w:line="240" w:lineRule="auto"/>
            </w:pPr>
            <w:r/>
            <w:r>
              <w:rPr>
                <w:b w:val="0"/>
                <w:i w:val="0"/>
                <w:sz w:val="17"/>
              </w:rPr>
              <w:t>3. One and done</w:t>
            </w:r>
          </w:p>
        </w:tc>
        <w:tc>
          <w:tcPr>
            <w:tcW w:type="dxa" w:w="1663"/>
          </w:tcPr>
          <w:p>
            <w:pPr>
              <w:spacing w:after="0" w:line="240" w:lineRule="auto"/>
            </w:pPr>
            <w:r/>
            <w:r>
              <w:rPr>
                <w:b w:val="0"/>
                <w:i w:val="0"/>
                <w:sz w:val="17"/>
              </w:rPr>
              <w:t>20%</w:t>
            </w:r>
          </w:p>
        </w:tc>
        <w:tc>
          <w:tcPr>
            <w:tcW w:type="dxa" w:w="1663"/>
          </w:tcPr>
          <w:p>
            <w:pPr>
              <w:spacing w:after="0" w:line="240" w:lineRule="auto"/>
            </w:pPr>
            <w:r/>
            <w:r>
              <w:rPr>
                <w:b w:val="0"/>
                <w:i w:val="0"/>
                <w:sz w:val="17"/>
              </w:rPr>
              <w:t>3.75–4.00%; cuts H2 2027</w:t>
            </w:r>
          </w:p>
        </w:tc>
        <w:tc>
          <w:tcPr>
            <w:tcW w:type="dxa" w:w="1663"/>
          </w:tcPr>
          <w:p>
            <w:pPr>
              <w:spacing w:after="0" w:line="240" w:lineRule="auto"/>
            </w:pPr>
            <w:r/>
            <w:r>
              <w:rPr>
                <w:b w:val="0"/>
                <w:i w:val="0"/>
                <w:sz w:val="17"/>
              </w:rPr>
              <w:t>Rallies hard</w:t>
            </w:r>
          </w:p>
        </w:tc>
        <w:tc>
          <w:tcPr>
            <w:tcW w:type="dxa" w:w="1663"/>
          </w:tcPr>
          <w:p>
            <w:pPr>
              <w:spacing w:after="0" w:line="240" w:lineRule="auto"/>
            </w:pPr>
            <w:r/>
            <w:r>
              <w:rPr>
                <w:b w:val="0"/>
                <w:i w:val="0"/>
                <w:sz w:val="17"/>
              </w:rPr>
              <w:t>Richens; bull steepening</w:t>
            </w:r>
          </w:p>
        </w:tc>
        <w:tc>
          <w:tcPr>
            <w:tcW w:type="dxa" w:w="1663"/>
          </w:tcPr>
          <w:p>
            <w:pPr>
              <w:spacing w:after="0" w:line="240" w:lineRule="auto"/>
            </w:pPr>
            <w:r/>
            <w:r>
              <w:rPr>
                <w:b w:val="0"/>
                <w:i w:val="0"/>
                <w:sz w:val="17"/>
              </w:rPr>
              <w:t>US–Iran deal; unemployment rises</w:t>
            </w:r>
          </w:p>
        </w:tc>
      </w:tr>
      <w:tr>
        <w:tc>
          <w:tcPr>
            <w:tcW w:type="dxa" w:w="1663"/>
            <w:shd w:val="clear" w:color="auto" w:fill="F3F5F8"/>
          </w:tcPr>
          <w:p>
            <w:pPr>
              <w:spacing w:after="0" w:line="240" w:lineRule="auto"/>
            </w:pPr>
            <w:r/>
            <w:r>
              <w:rPr>
                <w:b w:val="0"/>
                <w:i w:val="0"/>
                <w:sz w:val="17"/>
              </w:rPr>
              <w:t>4. Fiscal stress</w:t>
            </w:r>
          </w:p>
        </w:tc>
        <w:tc>
          <w:tcPr>
            <w:tcW w:type="dxa" w:w="1663"/>
            <w:shd w:val="clear" w:color="auto" w:fill="F3F5F8"/>
          </w:tcPr>
          <w:p>
            <w:pPr>
              <w:spacing w:after="0" w:line="240" w:lineRule="auto"/>
            </w:pPr>
            <w:r/>
            <w:r>
              <w:rPr>
                <w:b w:val="0"/>
                <w:i w:val="0"/>
                <w:sz w:val="17"/>
              </w:rPr>
              <w:t>5%</w:t>
            </w:r>
          </w:p>
        </w:tc>
        <w:tc>
          <w:tcPr>
            <w:tcW w:type="dxa" w:w="1663"/>
            <w:shd w:val="clear" w:color="auto" w:fill="F3F5F8"/>
          </w:tcPr>
          <w:p>
            <w:pPr>
              <w:spacing w:after="0" w:line="240" w:lineRule="auto"/>
            </w:pPr>
            <w:r/>
            <w:r>
              <w:rPr>
                <w:b w:val="0"/>
                <w:i w:val="0"/>
                <w:sz w:val="17"/>
              </w:rPr>
              <w:t>~4.50%, then pause</w:t>
            </w:r>
          </w:p>
        </w:tc>
        <w:tc>
          <w:tcPr>
            <w:tcW w:type="dxa" w:w="1663"/>
            <w:shd w:val="clear" w:color="auto" w:fill="F3F5F8"/>
          </w:tcPr>
          <w:p>
            <w:pPr>
              <w:spacing w:after="0" w:line="240" w:lineRule="auto"/>
            </w:pPr>
            <w:r/>
            <w:r>
              <w:rPr>
                <w:b w:val="0"/>
                <w:i w:val="0"/>
                <w:sz w:val="17"/>
              </w:rPr>
              <w:t>Volatile</w:t>
            </w:r>
          </w:p>
        </w:tc>
        <w:tc>
          <w:tcPr>
            <w:tcW w:type="dxa" w:w="1663"/>
            <w:shd w:val="clear" w:color="auto" w:fill="F3F5F8"/>
          </w:tcPr>
          <w:p>
            <w:pPr>
              <w:spacing w:after="0" w:line="240" w:lineRule="auto"/>
            </w:pPr>
            <w:r/>
            <w:r>
              <w:rPr>
                <w:b w:val="0"/>
                <w:i w:val="0"/>
                <w:sz w:val="17"/>
              </w:rPr>
              <w:t>Cheapens sharply</w:t>
            </w:r>
          </w:p>
        </w:tc>
        <w:tc>
          <w:tcPr>
            <w:tcW w:type="dxa" w:w="1663"/>
            <w:shd w:val="clear" w:color="auto" w:fill="F3F5F8"/>
          </w:tcPr>
          <w:p>
            <w:pPr>
              <w:spacing w:after="0" w:line="240" w:lineRule="auto"/>
            </w:pPr>
            <w:r/>
            <w:r>
              <w:rPr>
                <w:b w:val="0"/>
                <w:i w:val="0"/>
                <w:sz w:val="17"/>
              </w:rPr>
              <w:t>Headroom &lt; £10bn; LDI-style selloff</w:t>
            </w:r>
          </w:p>
        </w:tc>
      </w:tr>
    </w:tbl>
    <w:p>
      <w:pPr>
        <w:spacing w:after="40"/>
      </w:pPr>
    </w:p>
    <w:p>
      <w:pPr>
        <w:pStyle w:val="ListBullet"/>
        <w:spacing w:after="40"/>
      </w:pPr>
      <w:r>
        <w:rPr>
          <w:b w:val="0"/>
          <w:i/>
        </w:rPr>
        <w:t>Weighted terminal:</w:t>
      </w:r>
      <w:r>
        <w:rPr>
          <w:b w:val="0"/>
          <w:i w:val="0"/>
        </w:rPr>
        <w:t xml:space="preserve"> 0.50 × 4.25 + 0.25 × 4.875 + 0.20 × 3.90 + 0.05 × 4.50 ≈ 4.35%.</w:t>
      </w:r>
    </w:p>
    <w:p>
      <w:pPr>
        <w:pStyle w:val="Heading2"/>
      </w:pPr>
      <w:r>
        <w:t>Trades</w:t>
      </w:r>
    </w:p>
    <w:p>
      <w:r>
        <w:rPr>
          <w:b/>
          <w:i w:val="0"/>
        </w:rPr>
        <w:t>Expected P&amp;L is +£3.08m against £5.22m of max loss. The theme makes +£4.9m if the cycle is gradual and short, +£4.8m on one-and-done and +£2.4m under fiscal stress. It loses money in only one scenario, the full hiking cycle (−£1.9m), and Theme 2 is the hedge for it.</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998"/>
        <w:gridCol w:w="998"/>
        <w:gridCol w:w="998"/>
        <w:gridCol w:w="998"/>
        <w:gridCol w:w="998"/>
        <w:gridCol w:w="998"/>
        <w:gridCol w:w="998"/>
        <w:gridCol w:w="998"/>
        <w:gridCol w:w="998"/>
        <w:gridCol w:w="998"/>
      </w:tblGrid>
      <w:tr>
        <w:tc>
          <w:tcPr>
            <w:tcW w:type="dxa" w:w="998"/>
            <w:shd w:val="clear" w:color="auto" w:fill="1F3A5F"/>
          </w:tcPr>
          <w:p>
            <w:pPr>
              <w:spacing w:after="0" w:line="240" w:lineRule="auto"/>
            </w:pPr>
            <w:r/>
            <w:r>
              <w:rPr>
                <w:b/>
                <w:i w:val="0"/>
                <w:color w:val="FFFFFF"/>
                <w:sz w:val="15"/>
              </w:rPr>
              <w:t>#</w:t>
            </w:r>
          </w:p>
        </w:tc>
        <w:tc>
          <w:tcPr>
            <w:tcW w:type="dxa" w:w="998"/>
            <w:shd w:val="clear" w:color="auto" w:fill="1F3A5F"/>
          </w:tcPr>
          <w:p>
            <w:pPr>
              <w:spacing w:after="0" w:line="240" w:lineRule="auto"/>
            </w:pPr>
            <w:r/>
            <w:r>
              <w:rPr>
                <w:b/>
                <w:i w:val="0"/>
                <w:color w:val="FFFFFF"/>
                <w:sz w:val="15"/>
              </w:rPr>
              <w:t>Trade</w:t>
            </w:r>
          </w:p>
        </w:tc>
        <w:tc>
          <w:tcPr>
            <w:tcW w:type="dxa" w:w="998"/>
            <w:shd w:val="clear" w:color="auto" w:fill="1F3A5F"/>
          </w:tcPr>
          <w:p>
            <w:pPr>
              <w:spacing w:after="0" w:line="240" w:lineRule="auto"/>
            </w:pPr>
            <w:r/>
            <w:r>
              <w:rPr>
                <w:b/>
                <w:i w:val="0"/>
                <w:color w:val="FFFFFF"/>
                <w:sz w:val="15"/>
              </w:rPr>
              <w:t>Entry</w:t>
            </w:r>
          </w:p>
        </w:tc>
        <w:tc>
          <w:tcPr>
            <w:tcW w:type="dxa" w:w="998"/>
            <w:shd w:val="clear" w:color="auto" w:fill="1F3A5F"/>
          </w:tcPr>
          <w:p>
            <w:pPr>
              <w:spacing w:after="0" w:line="240" w:lineRule="auto"/>
            </w:pPr>
            <w:r/>
            <w:r>
              <w:rPr>
                <w:b/>
                <w:i w:val="0"/>
                <w:color w:val="FFFFFF"/>
                <w:sz w:val="15"/>
              </w:rPr>
              <w:t>Target</w:t>
            </w:r>
          </w:p>
        </w:tc>
        <w:tc>
          <w:tcPr>
            <w:tcW w:type="dxa" w:w="998"/>
            <w:shd w:val="clear" w:color="auto" w:fill="1F3A5F"/>
          </w:tcPr>
          <w:p>
            <w:pPr>
              <w:spacing w:after="0" w:line="240" w:lineRule="auto"/>
            </w:pPr>
            <w:r/>
            <w:r>
              <w:rPr>
                <w:b/>
                <w:i w:val="0"/>
                <w:color w:val="FFFFFF"/>
                <w:sz w:val="15"/>
              </w:rPr>
              <w:t>Stop</w:t>
            </w:r>
          </w:p>
        </w:tc>
        <w:tc>
          <w:tcPr>
            <w:tcW w:type="dxa" w:w="998"/>
            <w:shd w:val="clear" w:color="auto" w:fill="1F3A5F"/>
          </w:tcPr>
          <w:p>
            <w:pPr>
              <w:spacing w:after="0" w:line="240" w:lineRule="auto"/>
            </w:pPr>
            <w:r/>
            <w:r>
              <w:rPr>
                <w:b/>
                <w:i w:val="0"/>
                <w:color w:val="FFFFFF"/>
                <w:sz w:val="15"/>
              </w:rPr>
              <w:t>R : R</w:t>
            </w:r>
          </w:p>
        </w:tc>
        <w:tc>
          <w:tcPr>
            <w:tcW w:type="dxa" w:w="998"/>
            <w:shd w:val="clear" w:color="auto" w:fill="1F3A5F"/>
          </w:tcPr>
          <w:p>
            <w:pPr>
              <w:spacing w:after="0" w:line="240" w:lineRule="auto"/>
            </w:pPr>
            <w:r/>
            <w:r>
              <w:rPr>
                <w:b/>
                <w:i w:val="0"/>
                <w:color w:val="FFFFFF"/>
                <w:sz w:val="15"/>
              </w:rPr>
              <w:t>Conv.</w:t>
            </w:r>
          </w:p>
        </w:tc>
        <w:tc>
          <w:tcPr>
            <w:tcW w:type="dxa" w:w="998"/>
            <w:shd w:val="clear" w:color="auto" w:fill="1F3A5F"/>
          </w:tcPr>
          <w:p>
            <w:pPr>
              <w:spacing w:after="0" w:line="240" w:lineRule="auto"/>
            </w:pPr>
            <w:r/>
            <w:r>
              <w:rPr>
                <w:b/>
                <w:i w:val="0"/>
                <w:color w:val="FFFFFF"/>
                <w:sz w:val="15"/>
              </w:rPr>
              <w:t>Size</w:t>
            </w:r>
          </w:p>
        </w:tc>
        <w:tc>
          <w:tcPr>
            <w:tcW w:type="dxa" w:w="998"/>
            <w:shd w:val="clear" w:color="auto" w:fill="1F3A5F"/>
          </w:tcPr>
          <w:p>
            <w:pPr>
              <w:spacing w:after="0" w:line="240" w:lineRule="auto"/>
            </w:pPr>
            <w:r/>
            <w:r>
              <w:rPr>
                <w:b/>
                <w:i w:val="0"/>
                <w:color w:val="FFFFFF"/>
                <w:sz w:val="15"/>
              </w:rPr>
              <w:t>Max loss</w:t>
            </w:r>
          </w:p>
        </w:tc>
        <w:tc>
          <w:tcPr>
            <w:tcW w:type="dxa" w:w="998"/>
            <w:shd w:val="clear" w:color="auto" w:fill="1F3A5F"/>
          </w:tcPr>
          <w:p>
            <w:pPr>
              <w:spacing w:after="0" w:line="240" w:lineRule="auto"/>
            </w:pPr>
            <w:r/>
            <w:r>
              <w:rPr>
                <w:b/>
                <w:i w:val="0"/>
                <w:color w:val="FFFFFF"/>
                <w:sz w:val="15"/>
              </w:rPr>
              <w:t>Exp. P&amp;L</w:t>
            </w:r>
          </w:p>
        </w:tc>
      </w:tr>
      <w:tr>
        <w:tc>
          <w:tcPr>
            <w:tcW w:type="dxa" w:w="998"/>
          </w:tcPr>
          <w:p>
            <w:pPr>
              <w:spacing w:after="0" w:line="240" w:lineRule="auto"/>
            </w:pPr>
            <w:r/>
            <w:r>
              <w:rPr>
                <w:b w:val="0"/>
                <w:i w:val="0"/>
                <w:sz w:val="15"/>
              </w:rPr>
              <w:t>T1</w:t>
            </w:r>
          </w:p>
        </w:tc>
        <w:tc>
          <w:tcPr>
            <w:tcW w:type="dxa" w:w="998"/>
          </w:tcPr>
          <w:p>
            <w:pPr>
              <w:spacing w:after="0" w:line="240" w:lineRule="auto"/>
            </w:pPr>
            <w:r/>
            <w:r>
              <w:rPr>
                <w:b w:val="0"/>
                <w:i w:val="0"/>
                <w:sz w:val="15"/>
              </w:rPr>
              <w:t>Receive SONIA 6m×1y</w:t>
            </w:r>
          </w:p>
        </w:tc>
        <w:tc>
          <w:tcPr>
            <w:tcW w:type="dxa" w:w="998"/>
          </w:tcPr>
          <w:p>
            <w:pPr>
              <w:spacing w:after="0" w:line="240" w:lineRule="auto"/>
            </w:pPr>
            <w:r/>
            <w:r>
              <w:rPr>
                <w:b w:val="0"/>
                <w:i w:val="0"/>
                <w:sz w:val="15"/>
              </w:rPr>
              <w:t>4.76%</w:t>
            </w:r>
          </w:p>
        </w:tc>
        <w:tc>
          <w:tcPr>
            <w:tcW w:type="dxa" w:w="998"/>
          </w:tcPr>
          <w:p>
            <w:pPr>
              <w:spacing w:after="0" w:line="240" w:lineRule="auto"/>
            </w:pPr>
            <w:r/>
            <w:r>
              <w:rPr>
                <w:b w:val="0"/>
                <w:i w:val="0"/>
                <w:sz w:val="15"/>
              </w:rPr>
              <w:t>4.35%</w:t>
            </w:r>
          </w:p>
        </w:tc>
        <w:tc>
          <w:tcPr>
            <w:tcW w:type="dxa" w:w="998"/>
          </w:tcPr>
          <w:p>
            <w:pPr>
              <w:spacing w:after="0" w:line="240" w:lineRule="auto"/>
            </w:pPr>
            <w:r/>
            <w:r>
              <w:rPr>
                <w:b w:val="0"/>
                <w:i w:val="0"/>
                <w:sz w:val="15"/>
              </w:rPr>
              <w:t>5.06%</w:t>
            </w:r>
          </w:p>
        </w:tc>
        <w:tc>
          <w:tcPr>
            <w:tcW w:type="dxa" w:w="998"/>
          </w:tcPr>
          <w:p>
            <w:pPr>
              <w:spacing w:after="0" w:line="240" w:lineRule="auto"/>
            </w:pPr>
            <w:r/>
            <w:r>
              <w:rPr>
                <w:b w:val="0"/>
                <w:i w:val="0"/>
                <w:sz w:val="15"/>
              </w:rPr>
              <w:t>1.4x</w:t>
            </w:r>
          </w:p>
        </w:tc>
        <w:tc>
          <w:tcPr>
            <w:tcW w:type="dxa" w:w="998"/>
          </w:tcPr>
          <w:p>
            <w:pPr>
              <w:spacing w:after="0" w:line="240" w:lineRule="auto"/>
            </w:pPr>
            <w:r/>
            <w:r>
              <w:rPr>
                <w:b w:val="0"/>
                <w:i w:val="0"/>
                <w:sz w:val="15"/>
              </w:rPr>
              <w:t>4</w:t>
            </w:r>
          </w:p>
        </w:tc>
        <w:tc>
          <w:tcPr>
            <w:tcW w:type="dxa" w:w="998"/>
          </w:tcPr>
          <w:p>
            <w:pPr>
              <w:spacing w:after="0" w:line="240" w:lineRule="auto"/>
            </w:pPr>
            <w:r/>
            <w:r>
              <w:rPr>
                <w:b w:val="0"/>
                <w:i w:val="0"/>
                <w:sz w:val="15"/>
              </w:rPr>
              <w:t>£66k/bp</w:t>
            </w:r>
          </w:p>
        </w:tc>
        <w:tc>
          <w:tcPr>
            <w:tcW w:type="dxa" w:w="998"/>
          </w:tcPr>
          <w:p>
            <w:pPr>
              <w:spacing w:after="0" w:line="240" w:lineRule="auto"/>
            </w:pPr>
            <w:r/>
            <w:r>
              <w:rPr>
                <w:b w:val="0"/>
                <w:i w:val="0"/>
                <w:sz w:val="15"/>
              </w:rPr>
              <w:t>£1.99m</w:t>
            </w:r>
          </w:p>
        </w:tc>
        <w:tc>
          <w:tcPr>
            <w:tcW w:type="dxa" w:w="998"/>
          </w:tcPr>
          <w:p>
            <w:pPr>
              <w:spacing w:after="0" w:line="240" w:lineRule="auto"/>
            </w:pPr>
            <w:r/>
            <w:r>
              <w:rPr>
                <w:b w:val="0"/>
                <w:i w:val="0"/>
                <w:sz w:val="15"/>
              </w:rPr>
              <w:t>+£1.58m</w:t>
            </w:r>
          </w:p>
        </w:tc>
      </w:tr>
      <w:tr>
        <w:tc>
          <w:tcPr>
            <w:tcW w:type="dxa" w:w="998"/>
            <w:shd w:val="clear" w:color="auto" w:fill="F3F5F8"/>
          </w:tcPr>
          <w:p>
            <w:pPr>
              <w:spacing w:after="0" w:line="240" w:lineRule="auto"/>
            </w:pPr>
            <w:r/>
            <w:r>
              <w:rPr>
                <w:b w:val="0"/>
                <w:i w:val="0"/>
                <w:sz w:val="15"/>
              </w:rPr>
              <w:t>T2</w:t>
            </w:r>
          </w:p>
        </w:tc>
        <w:tc>
          <w:tcPr>
            <w:tcW w:type="dxa" w:w="998"/>
            <w:shd w:val="clear" w:color="auto" w:fill="F3F5F8"/>
          </w:tcPr>
          <w:p>
            <w:pPr>
              <w:spacing w:after="0" w:line="240" w:lineRule="auto"/>
            </w:pPr>
            <w:r/>
            <w:r>
              <w:rPr>
                <w:b w:val="0"/>
                <w:i w:val="0"/>
                <w:sz w:val="15"/>
              </w:rPr>
              <w:t>6m×1y receiver spread, ATMF / −75bp</w:t>
            </w:r>
          </w:p>
        </w:tc>
        <w:tc>
          <w:tcPr>
            <w:tcW w:type="dxa" w:w="998"/>
            <w:shd w:val="clear" w:color="auto" w:fill="F3F5F8"/>
          </w:tcPr>
          <w:p>
            <w:pPr>
              <w:spacing w:after="0" w:line="240" w:lineRule="auto"/>
            </w:pPr>
            <w:r/>
            <w:r>
              <w:rPr>
                <w:b w:val="0"/>
                <w:i w:val="0"/>
                <w:sz w:val="15"/>
              </w:rPr>
              <w:t>Premium ≤ 25bp</w:t>
            </w:r>
          </w:p>
        </w:tc>
        <w:tc>
          <w:tcPr>
            <w:tcW w:type="dxa" w:w="998"/>
            <w:shd w:val="clear" w:color="auto" w:fill="F3F5F8"/>
          </w:tcPr>
          <w:p>
            <w:pPr>
              <w:spacing w:after="0" w:line="240" w:lineRule="auto"/>
            </w:pPr>
            <w:r/>
            <w:r>
              <w:rPr>
                <w:b w:val="0"/>
                <w:i w:val="0"/>
                <w:sz w:val="15"/>
              </w:rPr>
              <w:t>75bp payout</w:t>
            </w:r>
          </w:p>
        </w:tc>
        <w:tc>
          <w:tcPr>
            <w:tcW w:type="dxa" w:w="998"/>
            <w:shd w:val="clear" w:color="auto" w:fill="F3F5F8"/>
          </w:tcPr>
          <w:p>
            <w:pPr>
              <w:spacing w:after="0" w:line="240" w:lineRule="auto"/>
            </w:pPr>
            <w:r/>
            <w:r>
              <w:rPr>
                <w:b w:val="0"/>
                <w:i w:val="0"/>
                <w:sz w:val="15"/>
              </w:rPr>
              <w:t>Premium</w:t>
            </w:r>
          </w:p>
        </w:tc>
        <w:tc>
          <w:tcPr>
            <w:tcW w:type="dxa" w:w="998"/>
            <w:shd w:val="clear" w:color="auto" w:fill="F3F5F8"/>
          </w:tcPr>
          <w:p>
            <w:pPr>
              <w:spacing w:after="0" w:line="240" w:lineRule="auto"/>
            </w:pPr>
            <w:r/>
            <w:r>
              <w:rPr>
                <w:b w:val="0"/>
                <w:i w:val="0"/>
                <w:sz w:val="15"/>
              </w:rPr>
              <w:t>≥ 3x</w:t>
            </w:r>
          </w:p>
        </w:tc>
        <w:tc>
          <w:tcPr>
            <w:tcW w:type="dxa" w:w="998"/>
            <w:shd w:val="clear" w:color="auto" w:fill="F3F5F8"/>
          </w:tcPr>
          <w:p>
            <w:pPr>
              <w:spacing w:after="0" w:line="240" w:lineRule="auto"/>
            </w:pPr>
            <w:r/>
            <w:r>
              <w:rPr>
                <w:b w:val="0"/>
                <w:i w:val="0"/>
                <w:sz w:val="15"/>
              </w:rPr>
              <w:t>3</w:t>
            </w:r>
          </w:p>
        </w:tc>
        <w:tc>
          <w:tcPr>
            <w:tcW w:type="dxa" w:w="998"/>
            <w:shd w:val="clear" w:color="auto" w:fill="F3F5F8"/>
          </w:tcPr>
          <w:p>
            <w:pPr>
              <w:spacing w:after="0" w:line="240" w:lineRule="auto"/>
            </w:pPr>
            <w:r/>
            <w:r>
              <w:rPr>
                <w:b w:val="0"/>
                <w:i w:val="0"/>
                <w:sz w:val="15"/>
              </w:rPr>
              <w:t>£1.33m premium</w:t>
            </w:r>
          </w:p>
        </w:tc>
        <w:tc>
          <w:tcPr>
            <w:tcW w:type="dxa" w:w="998"/>
            <w:shd w:val="clear" w:color="auto" w:fill="F3F5F8"/>
          </w:tcPr>
          <w:p>
            <w:pPr>
              <w:spacing w:after="0" w:line="240" w:lineRule="auto"/>
            </w:pPr>
            <w:r/>
            <w:r>
              <w:rPr>
                <w:b w:val="0"/>
                <w:i w:val="0"/>
                <w:sz w:val="15"/>
              </w:rPr>
              <w:t>£1.33m</w:t>
            </w:r>
          </w:p>
        </w:tc>
        <w:tc>
          <w:tcPr>
            <w:tcW w:type="dxa" w:w="998"/>
            <w:shd w:val="clear" w:color="auto" w:fill="F3F5F8"/>
          </w:tcPr>
          <w:p>
            <w:pPr>
              <w:spacing w:after="0" w:line="240" w:lineRule="auto"/>
            </w:pPr>
            <w:r/>
            <w:r>
              <w:rPr>
                <w:b w:val="0"/>
                <w:i w:val="0"/>
                <w:sz w:val="15"/>
              </w:rPr>
              <w:t>+£719k</w:t>
            </w:r>
          </w:p>
        </w:tc>
      </w:tr>
      <w:tr>
        <w:tc>
          <w:tcPr>
            <w:tcW w:type="dxa" w:w="998"/>
          </w:tcPr>
          <w:p>
            <w:pPr>
              <w:spacing w:after="0" w:line="240" w:lineRule="auto"/>
            </w:pPr>
            <w:r/>
            <w:r>
              <w:rPr>
                <w:b w:val="0"/>
                <w:i w:val="0"/>
                <w:sz w:val="15"/>
              </w:rPr>
              <w:t>T3</w:t>
            </w:r>
          </w:p>
        </w:tc>
        <w:tc>
          <w:tcPr>
            <w:tcW w:type="dxa" w:w="998"/>
          </w:tcPr>
          <w:p>
            <w:pPr>
              <w:spacing w:after="0" w:line="240" w:lineRule="auto"/>
            </w:pPr>
            <w:r/>
            <w:r>
              <w:rPr>
                <w:b w:val="0"/>
                <w:i w:val="0"/>
                <w:sz w:val="15"/>
              </w:rPr>
              <w:t>Long 3m×10y straddle</w:t>
            </w:r>
          </w:p>
        </w:tc>
        <w:tc>
          <w:tcPr>
            <w:tcW w:type="dxa" w:w="998"/>
          </w:tcPr>
          <w:p>
            <w:pPr>
              <w:spacing w:after="0" w:line="240" w:lineRule="auto"/>
            </w:pPr>
            <w:r/>
            <w:r>
              <w:rPr>
                <w:b w:val="0"/>
                <w:i w:val="0"/>
                <w:sz w:val="15"/>
              </w:rPr>
              <w:t>Implied ≤ 80bp</w:t>
            </w:r>
          </w:p>
        </w:tc>
        <w:tc>
          <w:tcPr>
            <w:tcW w:type="dxa" w:w="998"/>
          </w:tcPr>
          <w:p>
            <w:pPr>
              <w:spacing w:after="0" w:line="240" w:lineRule="auto"/>
            </w:pPr>
            <w:r/>
            <w:r>
              <w:rPr>
                <w:b w:val="0"/>
                <w:i w:val="0"/>
                <w:sz w:val="15"/>
              </w:rPr>
              <w:t>—</w:t>
            </w:r>
          </w:p>
        </w:tc>
        <w:tc>
          <w:tcPr>
            <w:tcW w:type="dxa" w:w="998"/>
          </w:tcPr>
          <w:p>
            <w:pPr>
              <w:spacing w:after="0" w:line="240" w:lineRule="auto"/>
            </w:pPr>
            <w:r/>
            <w:r>
              <w:rPr>
                <w:b w:val="0"/>
                <w:i w:val="0"/>
                <w:sz w:val="15"/>
              </w:rPr>
              <w:t>−40% premium; exit 26 Nov</w:t>
            </w:r>
          </w:p>
        </w:tc>
        <w:tc>
          <w:tcPr>
            <w:tcW w:type="dxa" w:w="998"/>
          </w:tcPr>
          <w:p>
            <w:pPr>
              <w:spacing w:after="0" w:line="240" w:lineRule="auto"/>
            </w:pPr>
            <w:r/>
            <w:r>
              <w:rPr>
                <w:b w:val="0"/>
                <w:i w:val="0"/>
                <w:sz w:val="15"/>
              </w:rPr>
              <w:t>Asym.</w:t>
            </w:r>
          </w:p>
        </w:tc>
        <w:tc>
          <w:tcPr>
            <w:tcW w:type="dxa" w:w="998"/>
          </w:tcPr>
          <w:p>
            <w:pPr>
              <w:spacing w:after="0" w:line="240" w:lineRule="auto"/>
            </w:pPr>
            <w:r/>
            <w:r>
              <w:rPr>
                <w:b w:val="0"/>
                <w:i w:val="0"/>
                <w:sz w:val="15"/>
              </w:rPr>
              <w:t>2</w:t>
            </w:r>
          </w:p>
        </w:tc>
        <w:tc>
          <w:tcPr>
            <w:tcW w:type="dxa" w:w="998"/>
          </w:tcPr>
          <w:p>
            <w:pPr>
              <w:spacing w:after="0" w:line="240" w:lineRule="auto"/>
            </w:pPr>
            <w:r/>
            <w:r>
              <w:rPr>
                <w:b w:val="0"/>
                <w:i w:val="0"/>
                <w:sz w:val="15"/>
              </w:rPr>
              <w:t>£663k premium</w:t>
            </w:r>
          </w:p>
        </w:tc>
        <w:tc>
          <w:tcPr>
            <w:tcW w:type="dxa" w:w="998"/>
          </w:tcPr>
          <w:p>
            <w:pPr>
              <w:spacing w:after="0" w:line="240" w:lineRule="auto"/>
            </w:pPr>
            <w:r/>
            <w:r>
              <w:rPr>
                <w:b w:val="0"/>
                <w:i w:val="0"/>
                <w:sz w:val="15"/>
              </w:rPr>
              <w:t>£663k</w:t>
            </w:r>
          </w:p>
        </w:tc>
        <w:tc>
          <w:tcPr>
            <w:tcW w:type="dxa" w:w="998"/>
          </w:tcPr>
          <w:p>
            <w:pPr>
              <w:spacing w:after="0" w:line="240" w:lineRule="auto"/>
            </w:pPr>
            <w:r/>
            <w:r>
              <w:rPr>
                <w:b w:val="0"/>
                <w:i w:val="0"/>
                <w:sz w:val="15"/>
              </w:rPr>
              <w:t>+£90k</w:t>
            </w:r>
          </w:p>
        </w:tc>
      </w:tr>
      <w:tr>
        <w:tc>
          <w:tcPr>
            <w:tcW w:type="dxa" w:w="998"/>
            <w:shd w:val="clear" w:color="auto" w:fill="F3F5F8"/>
          </w:tcPr>
          <w:p>
            <w:pPr>
              <w:spacing w:after="0" w:line="240" w:lineRule="auto"/>
            </w:pPr>
            <w:r/>
            <w:r>
              <w:rPr>
                <w:b w:val="0"/>
                <w:i w:val="0"/>
                <w:sz w:val="15"/>
              </w:rPr>
              <w:t>T4</w:t>
            </w:r>
          </w:p>
        </w:tc>
        <w:tc>
          <w:tcPr>
            <w:tcW w:type="dxa" w:w="998"/>
            <w:shd w:val="clear" w:color="auto" w:fill="F3F5F8"/>
          </w:tcPr>
          <w:p>
            <w:pPr>
              <w:spacing w:after="0" w:line="240" w:lineRule="auto"/>
            </w:pPr>
            <w:r/>
            <w:r>
              <w:rPr>
                <w:b w:val="0"/>
                <w:i w:val="0"/>
                <w:sz w:val="15"/>
              </w:rPr>
              <w:t>2s10s30s fly, short 10y vs 2y and 30y (50:100:50)</w:t>
            </w:r>
          </w:p>
        </w:tc>
        <w:tc>
          <w:tcPr>
            <w:tcW w:type="dxa" w:w="998"/>
            <w:shd w:val="clear" w:color="auto" w:fill="F3F5F8"/>
          </w:tcPr>
          <w:p>
            <w:pPr>
              <w:spacing w:after="0" w:line="240" w:lineRule="auto"/>
            </w:pPr>
            <w:r/>
            <w:r>
              <w:rPr>
                <w:b w:val="0"/>
                <w:i w:val="0"/>
                <w:sz w:val="15"/>
              </w:rPr>
              <w:t>+15bp</w:t>
            </w:r>
          </w:p>
        </w:tc>
        <w:tc>
          <w:tcPr>
            <w:tcW w:type="dxa" w:w="998"/>
            <w:shd w:val="clear" w:color="auto" w:fill="F3F5F8"/>
          </w:tcPr>
          <w:p>
            <w:pPr>
              <w:spacing w:after="0" w:line="240" w:lineRule="auto"/>
            </w:pPr>
            <w:r/>
            <w:r>
              <w:rPr>
                <w:b w:val="0"/>
                <w:i w:val="0"/>
                <w:sz w:val="15"/>
              </w:rPr>
              <w:t>+27bp</w:t>
            </w:r>
          </w:p>
        </w:tc>
        <w:tc>
          <w:tcPr>
            <w:tcW w:type="dxa" w:w="998"/>
            <w:shd w:val="clear" w:color="auto" w:fill="F3F5F8"/>
          </w:tcPr>
          <w:p>
            <w:pPr>
              <w:spacing w:after="0" w:line="240" w:lineRule="auto"/>
            </w:pPr>
            <w:r/>
            <w:r>
              <w:rPr>
                <w:b w:val="0"/>
                <w:i w:val="0"/>
                <w:sz w:val="15"/>
              </w:rPr>
              <w:t>+7bp</w:t>
            </w:r>
          </w:p>
        </w:tc>
        <w:tc>
          <w:tcPr>
            <w:tcW w:type="dxa" w:w="998"/>
            <w:shd w:val="clear" w:color="auto" w:fill="F3F5F8"/>
          </w:tcPr>
          <w:p>
            <w:pPr>
              <w:spacing w:after="0" w:line="240" w:lineRule="auto"/>
            </w:pPr>
            <w:r/>
            <w:r>
              <w:rPr>
                <w:b w:val="0"/>
                <w:i w:val="0"/>
                <w:sz w:val="15"/>
              </w:rPr>
              <w:t>1.5x</w:t>
            </w:r>
          </w:p>
        </w:tc>
        <w:tc>
          <w:tcPr>
            <w:tcW w:type="dxa" w:w="998"/>
            <w:shd w:val="clear" w:color="auto" w:fill="F3F5F8"/>
          </w:tcPr>
          <w:p>
            <w:pPr>
              <w:spacing w:after="0" w:line="240" w:lineRule="auto"/>
            </w:pPr>
            <w:r/>
            <w:r>
              <w:rPr>
                <w:b w:val="0"/>
                <w:i w:val="0"/>
                <w:sz w:val="15"/>
              </w:rPr>
              <w:t>3</w:t>
            </w:r>
          </w:p>
        </w:tc>
        <w:tc>
          <w:tcPr>
            <w:tcW w:type="dxa" w:w="998"/>
            <w:shd w:val="clear" w:color="auto" w:fill="F3F5F8"/>
          </w:tcPr>
          <w:p>
            <w:pPr>
              <w:spacing w:after="0" w:line="240" w:lineRule="auto"/>
            </w:pPr>
            <w:r/>
            <w:r>
              <w:rPr>
                <w:b w:val="0"/>
                <w:i w:val="0"/>
                <w:sz w:val="15"/>
              </w:rPr>
              <w:t>£88k/bp</w:t>
            </w:r>
          </w:p>
        </w:tc>
        <w:tc>
          <w:tcPr>
            <w:tcW w:type="dxa" w:w="998"/>
            <w:shd w:val="clear" w:color="auto" w:fill="F3F5F8"/>
          </w:tcPr>
          <w:p>
            <w:pPr>
              <w:spacing w:after="0" w:line="240" w:lineRule="auto"/>
            </w:pPr>
            <w:r/>
            <w:r>
              <w:rPr>
                <w:b w:val="0"/>
                <w:i w:val="0"/>
                <w:sz w:val="15"/>
              </w:rPr>
              <w:t>£708k</w:t>
            </w:r>
          </w:p>
        </w:tc>
        <w:tc>
          <w:tcPr>
            <w:tcW w:type="dxa" w:w="998"/>
            <w:shd w:val="clear" w:color="auto" w:fill="F3F5F8"/>
          </w:tcPr>
          <w:p>
            <w:pPr>
              <w:spacing w:after="0" w:line="240" w:lineRule="auto"/>
            </w:pPr>
            <w:r/>
            <w:r>
              <w:rPr>
                <w:b w:val="0"/>
                <w:i w:val="0"/>
                <w:sz w:val="15"/>
              </w:rPr>
              <w:t>+£482k</w:t>
            </w:r>
          </w:p>
        </w:tc>
      </w:tr>
      <w:tr>
        <w:tc>
          <w:tcPr>
            <w:tcW w:type="dxa" w:w="998"/>
          </w:tcPr>
          <w:p>
            <w:pPr>
              <w:spacing w:after="0" w:line="240" w:lineRule="auto"/>
            </w:pPr>
            <w:r/>
            <w:r>
              <w:rPr>
                <w:b w:val="0"/>
                <w:i w:val="0"/>
                <w:sz w:val="15"/>
              </w:rPr>
              <w:t>T5</w:t>
            </w:r>
          </w:p>
        </w:tc>
        <w:tc>
          <w:tcPr>
            <w:tcW w:type="dxa" w:w="998"/>
          </w:tcPr>
          <w:p>
            <w:pPr>
              <w:spacing w:after="0" w:line="240" w:lineRule="auto"/>
            </w:pPr>
            <w:r/>
            <w:r>
              <w:rPr>
                <w:b w:val="0"/>
                <w:i w:val="0"/>
                <w:sz w:val="15"/>
              </w:rPr>
              <w:t>10y gilt–OIS widener</w:t>
            </w:r>
          </w:p>
        </w:tc>
        <w:tc>
          <w:tcPr>
            <w:tcW w:type="dxa" w:w="998"/>
          </w:tcPr>
          <w:p>
            <w:pPr>
              <w:spacing w:after="0" w:line="240" w:lineRule="auto"/>
            </w:pPr>
            <w:r/>
            <w:r>
              <w:rPr>
                <w:b w:val="0"/>
                <w:i w:val="0"/>
                <w:sz w:val="15"/>
              </w:rPr>
              <w:t>48bp</w:t>
            </w:r>
          </w:p>
        </w:tc>
        <w:tc>
          <w:tcPr>
            <w:tcW w:type="dxa" w:w="998"/>
          </w:tcPr>
          <w:p>
            <w:pPr>
              <w:spacing w:after="0" w:line="240" w:lineRule="auto"/>
            </w:pPr>
            <w:r/>
            <w:r>
              <w:rPr>
                <w:b w:val="0"/>
                <w:i w:val="0"/>
                <w:sz w:val="15"/>
              </w:rPr>
              <w:t>56bp</w:t>
            </w:r>
          </w:p>
        </w:tc>
        <w:tc>
          <w:tcPr>
            <w:tcW w:type="dxa" w:w="998"/>
          </w:tcPr>
          <w:p>
            <w:pPr>
              <w:spacing w:after="0" w:line="240" w:lineRule="auto"/>
            </w:pPr>
            <w:r/>
            <w:r>
              <w:rPr>
                <w:b w:val="0"/>
                <w:i w:val="0"/>
                <w:sz w:val="15"/>
              </w:rPr>
              <w:t>42bp</w:t>
            </w:r>
          </w:p>
        </w:tc>
        <w:tc>
          <w:tcPr>
            <w:tcW w:type="dxa" w:w="998"/>
          </w:tcPr>
          <w:p>
            <w:pPr>
              <w:spacing w:after="0" w:line="240" w:lineRule="auto"/>
            </w:pPr>
            <w:r/>
            <w:r>
              <w:rPr>
                <w:b w:val="0"/>
                <w:i w:val="0"/>
                <w:sz w:val="15"/>
              </w:rPr>
              <w:t>1.3x</w:t>
            </w:r>
          </w:p>
        </w:tc>
        <w:tc>
          <w:tcPr>
            <w:tcW w:type="dxa" w:w="998"/>
          </w:tcPr>
          <w:p>
            <w:pPr>
              <w:spacing w:after="0" w:line="240" w:lineRule="auto"/>
            </w:pPr>
            <w:r/>
            <w:r>
              <w:rPr>
                <w:b w:val="0"/>
                <w:i w:val="0"/>
                <w:sz w:val="15"/>
              </w:rPr>
              <w:t>2</w:t>
            </w:r>
          </w:p>
        </w:tc>
        <w:tc>
          <w:tcPr>
            <w:tcW w:type="dxa" w:w="998"/>
          </w:tcPr>
          <w:p>
            <w:pPr>
              <w:spacing w:after="0" w:line="240" w:lineRule="auto"/>
            </w:pPr>
            <w:r/>
            <w:r>
              <w:rPr>
                <w:b w:val="0"/>
                <w:i w:val="0"/>
                <w:sz w:val="15"/>
              </w:rPr>
              <w:t>£88k/bp</w:t>
            </w:r>
          </w:p>
        </w:tc>
        <w:tc>
          <w:tcPr>
            <w:tcW w:type="dxa" w:w="998"/>
          </w:tcPr>
          <w:p>
            <w:pPr>
              <w:spacing w:after="0" w:line="240" w:lineRule="auto"/>
            </w:pPr>
            <w:r/>
            <w:r>
              <w:rPr>
                <w:b w:val="0"/>
                <w:i w:val="0"/>
                <w:sz w:val="15"/>
              </w:rPr>
              <w:t>£531k</w:t>
            </w:r>
          </w:p>
        </w:tc>
        <w:tc>
          <w:tcPr>
            <w:tcW w:type="dxa" w:w="998"/>
          </w:tcPr>
          <w:p>
            <w:pPr>
              <w:spacing w:after="0" w:line="240" w:lineRule="auto"/>
            </w:pPr>
            <w:r/>
            <w:r>
              <w:rPr>
                <w:b w:val="0"/>
                <w:i w:val="0"/>
                <w:sz w:val="15"/>
              </w:rPr>
              <w:t>+£208k</w:t>
            </w:r>
          </w:p>
        </w:tc>
      </w:tr>
      <w:tr>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Total</w:t>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£5.22m</w:t>
            </w:r>
          </w:p>
        </w:tc>
        <w:tc>
          <w:tcPr>
            <w:tcW w:type="dxa" w:w="998"/>
            <w:shd w:val="clear" w:color="auto" w:fill="DCE4EE"/>
          </w:tcPr>
          <w:p>
            <w:pPr>
              <w:spacing w:after="0" w:line="240" w:lineRule="auto"/>
            </w:pPr>
            <w:r/>
            <w:r>
              <w:rPr>
                <w:b/>
                <w:i w:val="0"/>
                <w:sz w:val="15"/>
              </w:rPr>
              <w:t>+£3.08m</w:t>
            </w:r>
          </w:p>
        </w:tc>
      </w:tr>
    </w:tbl>
    <w:p>
      <w:pPr>
        <w:spacing w:after="40"/>
      </w:pP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996"/>
        <w:gridCol w:w="1996"/>
        <w:gridCol w:w="1996"/>
        <w:gridCol w:w="1996"/>
        <w:gridCol w:w="1996"/>
      </w:tblGrid>
      <w:tr>
        <w:tc>
          <w:tcPr>
            <w:tcW w:type="dxa" w:w="1996"/>
            <w:shd w:val="clear" w:color="auto" w:fill="1F3A5F"/>
          </w:tcPr>
          <w:p>
            <w:pPr>
              <w:spacing w:after="0" w:line="240" w:lineRule="auto"/>
            </w:pPr>
            <w:r/>
            <w:r>
              <w:rPr>
                <w:b/>
                <w:i w:val="0"/>
                <w:color w:val="FFFFFF"/>
                <w:sz w:val="17"/>
              </w:rPr>
              <w:t>P&amp;L by scenario (£k)</w:t>
            </w:r>
          </w:p>
        </w:tc>
        <w:tc>
          <w:tcPr>
            <w:tcW w:type="dxa" w:w="1996"/>
            <w:shd w:val="clear" w:color="auto" w:fill="1F3A5F"/>
          </w:tcPr>
          <w:p>
            <w:pPr>
              <w:spacing w:after="0" w:line="240" w:lineRule="auto"/>
            </w:pPr>
            <w:r/>
            <w:r>
              <w:rPr>
                <w:b/>
                <w:i w:val="0"/>
                <w:color w:val="FFFFFF"/>
                <w:sz w:val="17"/>
              </w:rPr>
              <w:t>1 (50%)</w:t>
            </w:r>
          </w:p>
        </w:tc>
        <w:tc>
          <w:tcPr>
            <w:tcW w:type="dxa" w:w="1996"/>
            <w:shd w:val="clear" w:color="auto" w:fill="1F3A5F"/>
          </w:tcPr>
          <w:p>
            <w:pPr>
              <w:spacing w:after="0" w:line="240" w:lineRule="auto"/>
            </w:pPr>
            <w:r/>
            <w:r>
              <w:rPr>
                <w:b/>
                <w:i w:val="0"/>
                <w:color w:val="FFFFFF"/>
                <w:sz w:val="17"/>
              </w:rPr>
              <w:t>2 (25%)</w:t>
            </w:r>
          </w:p>
        </w:tc>
        <w:tc>
          <w:tcPr>
            <w:tcW w:type="dxa" w:w="1996"/>
            <w:shd w:val="clear" w:color="auto" w:fill="1F3A5F"/>
          </w:tcPr>
          <w:p>
            <w:pPr>
              <w:spacing w:after="0" w:line="240" w:lineRule="auto"/>
            </w:pPr>
            <w:r/>
            <w:r>
              <w:rPr>
                <w:b/>
                <w:i w:val="0"/>
                <w:color w:val="FFFFFF"/>
                <w:sz w:val="17"/>
              </w:rPr>
              <w:t>3 (20%)</w:t>
            </w:r>
          </w:p>
        </w:tc>
        <w:tc>
          <w:tcPr>
            <w:tcW w:type="dxa" w:w="1996"/>
            <w:shd w:val="clear" w:color="auto" w:fill="1F3A5F"/>
          </w:tcPr>
          <w:p>
            <w:pPr>
              <w:spacing w:after="0" w:line="240" w:lineRule="auto"/>
            </w:pPr>
            <w:r/>
            <w:r>
              <w:rPr>
                <w:b/>
                <w:i w:val="0"/>
                <w:color w:val="FFFFFF"/>
                <w:sz w:val="17"/>
              </w:rPr>
              <w:t>4 (5%)</w:t>
            </w:r>
          </w:p>
        </w:tc>
      </w:tr>
      <w:tr>
        <w:tc>
          <w:tcPr>
            <w:tcW w:type="dxa" w:w="1996"/>
          </w:tcPr>
          <w:p>
            <w:pPr>
              <w:spacing w:after="0" w:line="240" w:lineRule="auto"/>
            </w:pPr>
            <w:r/>
            <w:r>
              <w:rPr>
                <w:b w:val="0"/>
                <w:i w:val="0"/>
                <w:sz w:val="17"/>
              </w:rPr>
              <w:t>T1</w:t>
            </w:r>
          </w:p>
        </w:tc>
        <w:tc>
          <w:tcPr>
            <w:tcW w:type="dxa" w:w="1996"/>
          </w:tcPr>
          <w:p>
            <w:pPr>
              <w:spacing w:after="0" w:line="240" w:lineRule="auto"/>
            </w:pPr>
            <w:r/>
            <w:r>
              <w:rPr>
                <w:b w:val="0"/>
                <w:i w:val="0"/>
                <w:sz w:val="17"/>
              </w:rPr>
              <w:t>+2,721</w:t>
            </w:r>
          </w:p>
        </w:tc>
        <w:tc>
          <w:tcPr>
            <w:tcW w:type="dxa" w:w="1996"/>
          </w:tcPr>
          <w:p>
            <w:pPr>
              <w:spacing w:after="0" w:line="240" w:lineRule="auto"/>
            </w:pPr>
            <w:r/>
            <w:r>
              <w:rPr>
                <w:b w:val="0"/>
                <w:i w:val="0"/>
                <w:sz w:val="17"/>
              </w:rPr>
              <w:t>−1,461</w:t>
            </w:r>
          </w:p>
        </w:tc>
        <w:tc>
          <w:tcPr>
            <w:tcW w:type="dxa" w:w="1996"/>
          </w:tcPr>
          <w:p>
            <w:pPr>
              <w:spacing w:after="0" w:line="240" w:lineRule="auto"/>
            </w:pPr>
            <w:r/>
            <w:r>
              <w:rPr>
                <w:b w:val="0"/>
                <w:i w:val="0"/>
                <w:sz w:val="17"/>
              </w:rPr>
              <w:t>+2,721</w:t>
            </w:r>
          </w:p>
        </w:tc>
        <w:tc>
          <w:tcPr>
            <w:tcW w:type="dxa" w:w="1996"/>
          </w:tcPr>
          <w:p>
            <w:pPr>
              <w:spacing w:after="0" w:line="240" w:lineRule="auto"/>
            </w:pPr>
            <w:r/>
            <w:r>
              <w:rPr>
                <w:b w:val="0"/>
                <w:i w:val="0"/>
                <w:sz w:val="17"/>
              </w:rPr>
              <w:t>+729</w:t>
            </w:r>
          </w:p>
        </w:tc>
      </w:tr>
      <w:tr>
        <w:tc>
          <w:tcPr>
            <w:tcW w:type="dxa" w:w="1996"/>
            <w:shd w:val="clear" w:color="auto" w:fill="F3F5F8"/>
          </w:tcPr>
          <w:p>
            <w:pPr>
              <w:spacing w:after="0" w:line="240" w:lineRule="auto"/>
            </w:pPr>
            <w:r/>
            <w:r>
              <w:rPr>
                <w:b w:val="0"/>
                <w:i w:val="0"/>
                <w:sz w:val="17"/>
              </w:rPr>
              <w:t>T2</w:t>
            </w:r>
          </w:p>
        </w:tc>
        <w:tc>
          <w:tcPr>
            <w:tcW w:type="dxa" w:w="1996"/>
            <w:shd w:val="clear" w:color="auto" w:fill="F3F5F8"/>
          </w:tcPr>
          <w:p>
            <w:pPr>
              <w:spacing w:after="0" w:line="240" w:lineRule="auto"/>
            </w:pPr>
            <w:r/>
            <w:r>
              <w:rPr>
                <w:b w:val="0"/>
                <w:i w:val="0"/>
                <w:sz w:val="17"/>
              </w:rPr>
              <w:t>+1,114</w:t>
            </w:r>
          </w:p>
        </w:tc>
        <w:tc>
          <w:tcPr>
            <w:tcW w:type="dxa" w:w="1996"/>
            <w:shd w:val="clear" w:color="auto" w:fill="F3F5F8"/>
          </w:tcPr>
          <w:p>
            <w:pPr>
              <w:spacing w:after="0" w:line="240" w:lineRule="auto"/>
            </w:pPr>
            <w:r/>
            <w:r>
              <w:rPr>
                <w:b w:val="0"/>
                <w:i w:val="0"/>
                <w:sz w:val="17"/>
              </w:rPr>
              <w:t>−1,327</w:t>
            </w:r>
          </w:p>
        </w:tc>
        <w:tc>
          <w:tcPr>
            <w:tcW w:type="dxa" w:w="1996"/>
            <w:shd w:val="clear" w:color="auto" w:fill="F3F5F8"/>
          </w:tcPr>
          <w:p>
            <w:pPr>
              <w:spacing w:after="0" w:line="240" w:lineRule="auto"/>
            </w:pPr>
            <w:r/>
            <w:r>
              <w:rPr>
                <w:b w:val="0"/>
                <w:i w:val="0"/>
                <w:sz w:val="17"/>
              </w:rPr>
              <w:t>+2,653</w:t>
            </w:r>
          </w:p>
        </w:tc>
        <w:tc>
          <w:tcPr>
            <w:tcW w:type="dxa" w:w="1996"/>
            <w:shd w:val="clear" w:color="auto" w:fill="F3F5F8"/>
          </w:tcPr>
          <w:p>
            <w:pPr>
              <w:spacing w:after="0" w:line="240" w:lineRule="auto"/>
            </w:pPr>
            <w:r/>
            <w:r>
              <w:rPr>
                <w:b w:val="0"/>
                <w:i w:val="0"/>
                <w:sz w:val="17"/>
              </w:rPr>
              <w:t>−743</w:t>
            </w:r>
          </w:p>
        </w:tc>
      </w:tr>
      <w:tr>
        <w:tc>
          <w:tcPr>
            <w:tcW w:type="dxa" w:w="1996"/>
          </w:tcPr>
          <w:p>
            <w:pPr>
              <w:spacing w:after="0" w:line="240" w:lineRule="auto"/>
            </w:pPr>
            <w:r/>
            <w:r>
              <w:rPr>
                <w:b w:val="0"/>
                <w:i w:val="0"/>
                <w:sz w:val="17"/>
              </w:rPr>
              <w:t>T3</w:t>
            </w:r>
          </w:p>
        </w:tc>
        <w:tc>
          <w:tcPr>
            <w:tcW w:type="dxa" w:w="1996"/>
          </w:tcPr>
          <w:p>
            <w:pPr>
              <w:spacing w:after="0" w:line="240" w:lineRule="auto"/>
            </w:pPr>
            <w:r/>
            <w:r>
              <w:rPr>
                <w:b w:val="0"/>
                <w:i w:val="0"/>
                <w:sz w:val="17"/>
              </w:rPr>
              <w:t>−50</w:t>
            </w:r>
          </w:p>
        </w:tc>
        <w:tc>
          <w:tcPr>
            <w:tcW w:type="dxa" w:w="1996"/>
          </w:tcPr>
          <w:p>
            <w:pPr>
              <w:spacing w:after="0" w:line="240" w:lineRule="auto"/>
            </w:pPr>
            <w:r/>
            <w:r>
              <w:rPr>
                <w:b w:val="0"/>
                <w:i w:val="0"/>
                <w:sz w:val="17"/>
              </w:rPr>
              <w:t>+25</w:t>
            </w:r>
          </w:p>
        </w:tc>
        <w:tc>
          <w:tcPr>
            <w:tcW w:type="dxa" w:w="1996"/>
          </w:tcPr>
          <w:p>
            <w:pPr>
              <w:spacing w:after="0" w:line="240" w:lineRule="auto"/>
            </w:pPr>
            <w:r/>
            <w:r>
              <w:rPr>
                <w:b w:val="0"/>
                <w:i w:val="0"/>
                <w:sz w:val="17"/>
              </w:rPr>
              <w:t>+375</w:t>
            </w:r>
          </w:p>
        </w:tc>
        <w:tc>
          <w:tcPr>
            <w:tcW w:type="dxa" w:w="1996"/>
          </w:tcPr>
          <w:p>
            <w:pPr>
              <w:spacing w:after="0" w:line="240" w:lineRule="auto"/>
            </w:pPr>
            <w:r/>
            <w:r>
              <w:rPr>
                <w:b w:val="0"/>
                <w:i w:val="0"/>
                <w:sz w:val="17"/>
              </w:rPr>
              <w:t>+662</w:t>
            </w:r>
          </w:p>
        </w:tc>
      </w:tr>
      <w:tr>
        <w:tc>
          <w:tcPr>
            <w:tcW w:type="dxa" w:w="1996"/>
            <w:shd w:val="clear" w:color="auto" w:fill="F3F5F8"/>
          </w:tcPr>
          <w:p>
            <w:pPr>
              <w:spacing w:after="0" w:line="240" w:lineRule="auto"/>
            </w:pPr>
            <w:r/>
            <w:r>
              <w:rPr>
                <w:b w:val="0"/>
                <w:i w:val="0"/>
                <w:sz w:val="17"/>
              </w:rPr>
              <w:t>T4</w:t>
            </w:r>
          </w:p>
        </w:tc>
        <w:tc>
          <w:tcPr>
            <w:tcW w:type="dxa" w:w="1996"/>
            <w:shd w:val="clear" w:color="auto" w:fill="F3F5F8"/>
          </w:tcPr>
          <w:p>
            <w:pPr>
              <w:spacing w:after="0" w:line="240" w:lineRule="auto"/>
            </w:pPr>
            <w:r/>
            <w:r>
              <w:rPr>
                <w:b w:val="0"/>
                <w:i w:val="0"/>
                <w:sz w:val="17"/>
              </w:rPr>
              <w:t>+884</w:t>
            </w:r>
          </w:p>
        </w:tc>
        <w:tc>
          <w:tcPr>
            <w:tcW w:type="dxa" w:w="1996"/>
            <w:shd w:val="clear" w:color="auto" w:fill="F3F5F8"/>
          </w:tcPr>
          <w:p>
            <w:pPr>
              <w:spacing w:after="0" w:line="240" w:lineRule="auto"/>
            </w:pPr>
            <w:r/>
            <w:r>
              <w:rPr>
                <w:b w:val="0"/>
                <w:i w:val="0"/>
                <w:sz w:val="17"/>
              </w:rPr>
              <w:t>+442</w:t>
            </w:r>
          </w:p>
        </w:tc>
        <w:tc>
          <w:tcPr>
            <w:tcW w:type="dxa" w:w="1996"/>
            <w:shd w:val="clear" w:color="auto" w:fill="F3F5F8"/>
          </w:tcPr>
          <w:p>
            <w:pPr>
              <w:spacing w:after="0" w:line="240" w:lineRule="auto"/>
            </w:pPr>
            <w:r/>
            <w:r>
              <w:rPr>
                <w:b w:val="0"/>
                <w:i w:val="0"/>
                <w:sz w:val="17"/>
              </w:rPr>
              <w:t>−619</w:t>
            </w:r>
          </w:p>
        </w:tc>
        <w:tc>
          <w:tcPr>
            <w:tcW w:type="dxa" w:w="1996"/>
            <w:shd w:val="clear" w:color="auto" w:fill="F3F5F8"/>
          </w:tcPr>
          <w:p>
            <w:pPr>
              <w:spacing w:after="0" w:line="240" w:lineRule="auto"/>
            </w:pPr>
            <w:r/>
            <w:r>
              <w:rPr>
                <w:b w:val="0"/>
                <w:i w:val="0"/>
                <w:sz w:val="17"/>
              </w:rPr>
              <w:t>+1,061</w:t>
            </w:r>
          </w:p>
        </w:tc>
      </w:tr>
      <w:tr>
        <w:tc>
          <w:tcPr>
            <w:tcW w:type="dxa" w:w="1996"/>
          </w:tcPr>
          <w:p>
            <w:pPr>
              <w:spacing w:after="0" w:line="240" w:lineRule="auto"/>
            </w:pPr>
            <w:r/>
            <w:r>
              <w:rPr>
                <w:b w:val="0"/>
                <w:i w:val="0"/>
                <w:sz w:val="17"/>
              </w:rPr>
              <w:t>T5</w:t>
            </w:r>
          </w:p>
        </w:tc>
        <w:tc>
          <w:tcPr>
            <w:tcW w:type="dxa" w:w="1996"/>
          </w:tcPr>
          <w:p>
            <w:pPr>
              <w:spacing w:after="0" w:line="240" w:lineRule="auto"/>
            </w:pPr>
            <w:r/>
            <w:r>
              <w:rPr>
                <w:b w:val="0"/>
                <w:i w:val="0"/>
                <w:sz w:val="17"/>
              </w:rPr>
              <w:t>+265</w:t>
            </w:r>
          </w:p>
        </w:tc>
        <w:tc>
          <w:tcPr>
            <w:tcW w:type="dxa" w:w="1996"/>
          </w:tcPr>
          <w:p>
            <w:pPr>
              <w:spacing w:after="0" w:line="240" w:lineRule="auto"/>
            </w:pPr>
            <w:r/>
            <w:r>
              <w:rPr>
                <w:b w:val="0"/>
                <w:i w:val="0"/>
                <w:sz w:val="17"/>
              </w:rPr>
              <w:t>+442</w:t>
            </w:r>
          </w:p>
        </w:tc>
        <w:tc>
          <w:tcPr>
            <w:tcW w:type="dxa" w:w="1996"/>
          </w:tcPr>
          <w:p>
            <w:pPr>
              <w:spacing w:after="0" w:line="240" w:lineRule="auto"/>
            </w:pPr>
            <w:r/>
            <w:r>
              <w:rPr>
                <w:b w:val="0"/>
                <w:i w:val="0"/>
                <w:sz w:val="17"/>
              </w:rPr>
              <w:t>−354</w:t>
            </w:r>
          </w:p>
        </w:tc>
        <w:tc>
          <w:tcPr>
            <w:tcW w:type="dxa" w:w="1996"/>
          </w:tcPr>
          <w:p>
            <w:pPr>
              <w:spacing w:after="0" w:line="240" w:lineRule="auto"/>
            </w:pPr>
            <w:r/>
            <w:r>
              <w:rPr>
                <w:b w:val="0"/>
                <w:i w:val="0"/>
                <w:sz w:val="17"/>
              </w:rPr>
              <w:t>+708</w:t>
            </w:r>
          </w:p>
        </w:tc>
      </w:tr>
      <w:tr>
        <w:tc>
          <w:tcPr>
            <w:tcW w:type="dxa" w:w="1996"/>
            <w:shd w:val="clear" w:color="auto" w:fill="DCE4EE"/>
          </w:tcPr>
          <w:p>
            <w:pPr>
              <w:spacing w:after="0" w:line="240" w:lineRule="auto"/>
            </w:pPr>
            <w:r/>
            <w:r>
              <w:rPr>
                <w:b/>
                <w:i w:val="0"/>
                <w:sz w:val="17"/>
              </w:rPr>
              <w:t>Theme 1</w:t>
            </w:r>
          </w:p>
        </w:tc>
        <w:tc>
          <w:tcPr>
            <w:tcW w:type="dxa" w:w="1996"/>
            <w:shd w:val="clear" w:color="auto" w:fill="DCE4EE"/>
          </w:tcPr>
          <w:p>
            <w:pPr>
              <w:spacing w:after="0" w:line="240" w:lineRule="auto"/>
            </w:pPr>
            <w:r/>
            <w:r>
              <w:rPr>
                <w:b/>
                <w:i w:val="0"/>
                <w:sz w:val="17"/>
              </w:rPr>
              <w:t>+4,934</w:t>
            </w:r>
          </w:p>
        </w:tc>
        <w:tc>
          <w:tcPr>
            <w:tcW w:type="dxa" w:w="1996"/>
            <w:shd w:val="clear" w:color="auto" w:fill="DCE4EE"/>
          </w:tcPr>
          <w:p>
            <w:pPr>
              <w:spacing w:after="0" w:line="240" w:lineRule="auto"/>
            </w:pPr>
            <w:r/>
            <w:r>
              <w:rPr>
                <w:b/>
                <w:i w:val="0"/>
                <w:sz w:val="17"/>
              </w:rPr>
              <w:t>−1,879</w:t>
            </w:r>
          </w:p>
        </w:tc>
        <w:tc>
          <w:tcPr>
            <w:tcW w:type="dxa" w:w="1996"/>
            <w:shd w:val="clear" w:color="auto" w:fill="DCE4EE"/>
          </w:tcPr>
          <w:p>
            <w:pPr>
              <w:spacing w:after="0" w:line="240" w:lineRule="auto"/>
            </w:pPr>
            <w:r/>
            <w:r>
              <w:rPr>
                <w:b/>
                <w:i w:val="0"/>
                <w:sz w:val="17"/>
              </w:rPr>
              <w:t>+4,776</w:t>
            </w:r>
          </w:p>
        </w:tc>
        <w:tc>
          <w:tcPr>
            <w:tcW w:type="dxa" w:w="1996"/>
            <w:shd w:val="clear" w:color="auto" w:fill="DCE4EE"/>
          </w:tcPr>
          <w:p>
            <w:pPr>
              <w:spacing w:after="0" w:line="240" w:lineRule="auto"/>
            </w:pPr>
            <w:r/>
            <w:r>
              <w:rPr>
                <w:b/>
                <w:i w:val="0"/>
                <w:sz w:val="17"/>
              </w:rPr>
              <w:t>+2,417</w:t>
            </w:r>
          </w:p>
        </w:tc>
      </w:tr>
    </w:tbl>
    <w:p>
      <w:pPr>
        <w:spacing w:after="40"/>
      </w:pPr>
    </w:p>
    <w:p>
      <w:pPr>
        <w:pStyle w:val="ListBullet"/>
        <w:spacing w:after="40"/>
      </w:pPr>
      <w:r>
        <w:rPr>
          <w:b/>
          <w:i w:val="0"/>
        </w:rPr>
        <w:t>T1:</w:t>
      </w:r>
      <w:r>
        <w:rPr>
          <w:b w:val="0"/>
          <w:i w:val="0"/>
        </w:rPr>
        <w:t xml:space="preserve"> Receives Apr-27 to Apr-28, where the terminal is priced. The stop sits above the Q3 peak forward (5.03%), ~4 daily standard deviations away (realised 7.5bp/day).</w:t>
      </w:r>
    </w:p>
    <w:p>
      <w:pPr>
        <w:pStyle w:val="ListBullet"/>
        <w:spacing w:after="40"/>
      </w:pPr>
      <w:r>
        <w:rPr>
          <w:b/>
          <w:i w:val="0"/>
        </w:rPr>
        <w:t>T2:</w:t>
      </w:r>
      <w:r>
        <w:rPr>
          <w:b w:val="0"/>
          <w:i w:val="0"/>
        </w:rPr>
        <w:t xml:space="preserve"> Holds the view through a hawkish November that would stop out T1. Notional is ~£550m at 25bp; above 25bp, scale up T1 instead.</w:t>
      </w:r>
    </w:p>
    <w:p>
      <w:pPr>
        <w:pStyle w:val="ListBullet"/>
        <w:spacing w:after="40"/>
      </w:pPr>
      <w:r>
        <w:rPr>
          <w:b/>
          <w:i w:val="0"/>
        </w:rPr>
        <w:t>T3:</w:t>
      </w:r>
      <w:r>
        <w:rPr>
          <w:b w:val="0"/>
          <w:i w:val="0"/>
        </w:rPr>
        <w:t xml:space="preserve"> Covers the Budget (28 Oct), MPC (5 Nov) and Ofgem cap (25 Nov), hedging scenarios 2 and 4. Buy only at or below realised vol (78bp); valued at the 26 Nov exit.</w:t>
      </w:r>
    </w:p>
    <w:p>
      <w:pPr>
        <w:pStyle w:val="ListBullet"/>
        <w:spacing w:after="40"/>
      </w:pPr>
      <w:r>
        <w:rPr>
          <w:b/>
          <w:i w:val="0"/>
        </w:rPr>
        <w:t>T4:</w:t>
      </w:r>
      <w:r>
        <w:rPr>
          <w:b w:val="0"/>
          <w:i w:val="0"/>
        </w:rPr>
        <w:t xml:space="preserve"> The fly is at +15bp (1y range −10 to +25bp) as Mediums rise and Longs shrink. The stop is ~3× daily realised vol.</w:t>
      </w:r>
    </w:p>
    <w:p>
      <w:pPr>
        <w:pStyle w:val="ListBullet"/>
        <w:spacing w:after="40"/>
      </w:pPr>
      <w:r>
        <w:rPr>
          <w:b/>
          <w:i w:val="0"/>
        </w:rPr>
        <w:t>T5:</w:t>
      </w:r>
      <w:r>
        <w:rPr>
          <w:b w:val="0"/>
          <w:i w:val="0"/>
        </w:rPr>
        <w:t xml:space="preserve"> Supply hasn't reached swap spreads yet (1y low 44bp). The catalyst is headroom below £10bn or a gilt-heavy remit.</w:t>
      </w:r>
    </w:p>
    <w:p>
      <w:pPr>
        <w:pStyle w:val="ListBullet"/>
        <w:spacing w:after="40"/>
      </w:pPr>
      <w:r>
        <w:rPr>
          <w:b w:val="0"/>
          <w:i/>
        </w:rPr>
        <w:t>Overlap:</w:t>
      </w:r>
      <w:r>
        <w:rPr>
          <w:b w:val="0"/>
          <w:i w:val="0"/>
        </w:rPr>
        <w:t xml:space="preserve"> T1, T2 and T4's 2y wing are one front-end bet.</w:t>
      </w:r>
    </w:p>
    <w:p>
      <w:r>
        <w:br w:type="page"/>
      </w:r>
    </w:p>
    <w:p>
      <w:pPr>
        <w:pStyle w:val="Heading1"/>
      </w:pPr>
      <w:r>
        <w:t>Theme 2: Inflation persistence, with domestic pressures re-accelerating (UK, euro area, G10)</w:t>
      </w:r>
    </w:p>
    <w:p>
      <w:pPr>
        <w:pStyle w:val="Heading2"/>
      </w:pPr>
      <w:r>
        <w:t>Current state of the theme</w:t>
      </w:r>
    </w:p>
    <w:p>
      <w:pPr>
        <w:pStyle w:val="ListBullet"/>
        <w:spacing w:after="40"/>
      </w:pPr>
      <w:r>
        <w:rPr>
          <w:b/>
          <w:i w:val="0"/>
        </w:rPr>
        <w:t>The common shock:</w:t>
      </w:r>
    </w:p>
    <w:p>
      <w:pPr>
        <w:pStyle w:val="ListBullet2"/>
        <w:spacing w:after="40"/>
      </w:pPr>
      <w:r>
        <w:rPr>
          <w:b w:val="0"/>
          <w:i w:val="0"/>
        </w:rPr>
        <w:t>Energy has lifted headline inflation across the G10, though not continuously: Brent fell back to $70 by end-June, then re-intensified in Q3 (dated $127 on 14 Oct).</w:t>
      </w:r>
    </w:p>
    <w:p>
      <w:pPr>
        <w:pStyle w:val="ListBullet2"/>
        <w:spacing w:after="40"/>
      </w:pPr>
      <w:r>
        <w:rPr>
          <w:b w:val="0"/>
          <w:i w:val="0"/>
        </w:rPr>
        <w:t>The curve is steeply backwardated (Dec-26 ~$110, Dec-27 ~$87), so the market prices the shock fading.</w:t>
      </w:r>
    </w:p>
    <w:p>
      <w:pPr>
        <w:pStyle w:val="ListBullet2"/>
        <w:spacing w:after="40"/>
      </w:pPr>
      <w:r>
        <w:rPr>
          <w:b w:val="0"/>
          <w:i w:val="0"/>
        </w:rPr>
        <w:t>Central banks are split. The Fed (3.75–4.00%), ECB (2.50%) and BoJ (1.25%) hiked in September; the BoE and BoC (2.25%) held.</w:t>
      </w:r>
    </w:p>
    <w:p>
      <w:pPr>
        <w:pStyle w:val="ListBullet2"/>
        <w:spacing w:after="40"/>
      </w:pPr>
      <w:r>
        <w:rPr>
          <w:b w:val="0"/>
          <w:i w:val="0"/>
        </w:rPr>
        <w:t>Domestic pressures haven't clearly turned anywhere, with only tentative signs in the euro area and Japan.</w:t>
      </w:r>
    </w:p>
    <w:p>
      <w:pPr>
        <w:pStyle w:val="ListBullet"/>
        <w:spacing w:after="40"/>
      </w:pPr>
      <w:r>
        <w:rPr>
          <w:b/>
          <w:i w:val="0"/>
        </w:rPr>
        <w:t>UK:</w:t>
      </w:r>
    </w:p>
    <w:p>
      <w:pPr>
        <w:pStyle w:val="ListBullet2"/>
        <w:spacing w:after="40"/>
      </w:pPr>
      <w:r>
        <w:rPr>
          <w:b w:val="0"/>
          <w:i w:val="0"/>
        </w:rPr>
        <w:t>Not re-accelerating yet: services 3.4% (from 4.4% in January) and core 2.6%, both flat. DMP expectations are steady (1y 3.1%, 3y 2.8%, wages 3.4%).</w:t>
      </w:r>
    </w:p>
    <w:p>
      <w:pPr>
        <w:pStyle w:val="ListBullet2"/>
        <w:spacing w:after="40"/>
      </w:pPr>
      <w:r>
        <w:rPr>
          <w:b w:val="0"/>
          <w:i w:val="0"/>
        </w:rPr>
        <w:t>The pipeline is building: CPI is seen above 4% in early 2027, the Ofgem cap is estimated at +22%, and hikes lift RPI through mortgage interest.</w:t>
      </w:r>
    </w:p>
    <w:p>
      <w:pPr>
        <w:pStyle w:val="ListBullet2"/>
        <w:spacing w:after="40"/>
      </w:pPr>
      <w:r>
        <w:rPr>
          <w:b w:val="0"/>
          <w:i w:val="0"/>
        </w:rPr>
        <w:t>3y RPI is 4.02%, 47bp below its March peak.</w:t>
      </w:r>
    </w:p>
    <w:p>
      <w:pPr>
        <w:pStyle w:val="ListBullet"/>
        <w:spacing w:after="40"/>
      </w:pPr>
      <w:r>
        <w:rPr>
          <w:b/>
          <w:i w:val="0"/>
        </w:rPr>
        <w:t>Euro area:</w:t>
      </w:r>
    </w:p>
    <w:p>
      <w:pPr>
        <w:pStyle w:val="ListBullet2"/>
        <w:spacing w:after="40"/>
      </w:pPr>
      <w:r>
        <w:rPr>
          <w:b w:val="0"/>
          <w:i w:val="0"/>
        </w:rPr>
        <w:t>The rise is in headline, not domestic, inflation. September HICP was 3.8% (energy +18.8%).</w:t>
      </w:r>
    </w:p>
    <w:p>
      <w:pPr>
        <w:pStyle w:val="ListBullet2"/>
        <w:spacing w:after="40"/>
      </w:pPr>
      <w:r>
        <w:rPr>
          <w:b w:val="0"/>
          <w:i w:val="0"/>
        </w:rPr>
        <w:t>Services (3.2%) and core (2.5%) are only 20–30bp above their troughs, and one month of volatile data isn't a trend. Wages haven't responded.</w:t>
      </w:r>
    </w:p>
    <w:p>
      <w:pPr>
        <w:pStyle w:val="ListBullet2"/>
        <w:spacing w:after="40"/>
      </w:pPr>
      <w:r>
        <w:rPr>
          <w:b w:val="0"/>
          <w:i w:val="0"/>
        </w:rPr>
        <w:t>The ECB sees inflation "well above target for an extended period," and Lagarde is uncommitted for 29 Oct.</w:t>
      </w:r>
    </w:p>
    <w:p>
      <w:pPr>
        <w:pStyle w:val="ListBullet2"/>
        <w:spacing w:after="40"/>
      </w:pPr>
      <w:r>
        <w:rPr>
          <w:b w:val="0"/>
          <w:i w:val="0"/>
        </w:rPr>
        <w:t>Swaps price 1y1y inflation at ~2.3% and 5y5y at ~2.2% (ECB, 9 Sep).</w:t>
      </w:r>
    </w:p>
    <w:p>
      <w:pPr>
        <w:pStyle w:val="ListBullet"/>
        <w:spacing w:after="40"/>
      </w:pPr>
      <w:r>
        <w:rPr>
          <w:b/>
          <w:i w:val="0"/>
        </w:rPr>
        <w:t>Other G10:</w:t>
      </w:r>
    </w:p>
    <w:p>
      <w:pPr>
        <w:pStyle w:val="ListBullet2"/>
        <w:spacing w:after="40"/>
      </w:pPr>
      <w:r>
        <w:rPr>
          <w:b w:val="0"/>
          <w:i w:val="0"/>
        </w:rPr>
        <w:t>US PCE is 3.8%, against a 2.37% 5y breakeven that is 30bp below its March peak.</w:t>
      </w:r>
    </w:p>
    <w:p>
      <w:pPr>
        <w:pStyle w:val="ListBullet2"/>
        <w:spacing w:after="40"/>
      </w:pPr>
      <w:r>
        <w:rPr>
          <w:b w:val="0"/>
          <w:i w:val="0"/>
        </w:rPr>
        <w:t>Japanese core CPI is expected above 2% for the first time since December.</w:t>
      </w:r>
    </w:p>
    <w:p>
      <w:pPr>
        <w:pStyle w:val="ListBullet2"/>
        <w:spacing w:after="40"/>
      </w:pPr>
      <w:r>
        <w:rPr>
          <w:b w:val="0"/>
          <w:i w:val="0"/>
        </w:rPr>
        <w:t>Canada (CPI 3.0%, trimmed core 1.9%) is looking through.</w:t>
      </w:r>
    </w:p>
    <w:p>
      <w:pPr>
        <w:pStyle w:val="Heading2"/>
      </w:pPr>
      <w:r>
        <w:t>Scenarios</w:t>
      </w:r>
    </w:p>
    <w:p>
      <w:r>
        <w:rPr>
          <w:b/>
          <w:i w:val="0"/>
        </w:rPr>
        <w:t>Theme 2's scenarios turn on two questions: does the energy shock persist, and do second-round effects take hold, and where? Broad persistence is a 25% risk, but breakevens and the Brent curve price the shock fading. The euro area gets its own scenario because it has the widest headline–breakeven gap; that scenario requires its tentative services uptick to become a trend. The long end stays anchored (5y5y ~2.2% in EUR, ~3.1% in UK RPI), so all the trades sit in the front end.</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109"/>
        <w:gridCol w:w="1109"/>
        <w:gridCol w:w="1109"/>
        <w:gridCol w:w="1109"/>
        <w:gridCol w:w="1109"/>
        <w:gridCol w:w="1109"/>
        <w:gridCol w:w="1109"/>
        <w:gridCol w:w="1109"/>
        <w:gridCol w:w="1109"/>
      </w:tblGrid>
      <w:tr>
        <w:tc>
          <w:tcPr>
            <w:tcW w:type="dxa" w:w="1109"/>
            <w:shd w:val="clear" w:color="auto" w:fill="1F3A5F"/>
          </w:tcPr>
          <w:p>
            <w:pPr>
              <w:spacing w:after="0" w:line="240" w:lineRule="auto"/>
            </w:pPr>
            <w:r/>
            <w:r>
              <w:rPr>
                <w:b/>
                <w:i w:val="0"/>
                <w:color w:val="FFFFFF"/>
                <w:sz w:val="15"/>
              </w:rPr>
              <w:t>Scenario</w:t>
            </w:r>
          </w:p>
        </w:tc>
        <w:tc>
          <w:tcPr>
            <w:tcW w:type="dxa" w:w="1109"/>
            <w:shd w:val="clear" w:color="auto" w:fill="1F3A5F"/>
          </w:tcPr>
          <w:p>
            <w:pPr>
              <w:spacing w:after="0" w:line="240" w:lineRule="auto"/>
            </w:pPr>
            <w:r/>
            <w:r>
              <w:rPr>
                <w:b/>
                <w:i w:val="0"/>
                <w:color w:val="FFFFFF"/>
                <w:sz w:val="15"/>
              </w:rPr>
              <w:t>Prob.</w:t>
            </w:r>
          </w:p>
        </w:tc>
        <w:tc>
          <w:tcPr>
            <w:tcW w:type="dxa" w:w="1109"/>
            <w:shd w:val="clear" w:color="auto" w:fill="1F3A5F"/>
          </w:tcPr>
          <w:p>
            <w:pPr>
              <w:spacing w:after="0" w:line="240" w:lineRule="auto"/>
            </w:pPr>
            <w:r/>
            <w:r>
              <w:rPr>
                <w:b/>
                <w:i w:val="0"/>
                <w:color w:val="FFFFFF"/>
                <w:sz w:val="15"/>
              </w:rPr>
              <w:t>Energy</w:t>
            </w:r>
          </w:p>
        </w:tc>
        <w:tc>
          <w:tcPr>
            <w:tcW w:type="dxa" w:w="1109"/>
            <w:shd w:val="clear" w:color="auto" w:fill="1F3A5F"/>
          </w:tcPr>
          <w:p>
            <w:pPr>
              <w:spacing w:after="0" w:line="240" w:lineRule="auto"/>
            </w:pPr>
            <w:r/>
            <w:r>
              <w:rPr>
                <w:b/>
                <w:i w:val="0"/>
                <w:color w:val="FFFFFF"/>
                <w:sz w:val="15"/>
              </w:rPr>
              <w:t>Second-round effects</w:t>
            </w:r>
          </w:p>
        </w:tc>
        <w:tc>
          <w:tcPr>
            <w:tcW w:type="dxa" w:w="1109"/>
            <w:shd w:val="clear" w:color="auto" w:fill="1F3A5F"/>
          </w:tcPr>
          <w:p>
            <w:pPr>
              <w:spacing w:after="0" w:line="240" w:lineRule="auto"/>
            </w:pPr>
            <w:r/>
            <w:r>
              <w:rPr>
                <w:b/>
                <w:i w:val="0"/>
                <w:color w:val="FFFFFF"/>
                <w:sz w:val="15"/>
              </w:rPr>
              <w:t>UK 3y RPI</w:t>
            </w:r>
          </w:p>
        </w:tc>
        <w:tc>
          <w:tcPr>
            <w:tcW w:type="dxa" w:w="1109"/>
            <w:shd w:val="clear" w:color="auto" w:fill="1F3A5F"/>
          </w:tcPr>
          <w:p>
            <w:pPr>
              <w:spacing w:after="0" w:line="240" w:lineRule="auto"/>
            </w:pPr>
            <w:r/>
            <w:r>
              <w:rPr>
                <w:b/>
                <w:i w:val="0"/>
                <w:color w:val="FFFFFF"/>
                <w:sz w:val="15"/>
              </w:rPr>
              <w:t>EUR 1y1y infl.</w:t>
            </w:r>
          </w:p>
        </w:tc>
        <w:tc>
          <w:tcPr>
            <w:tcW w:type="dxa" w:w="1109"/>
            <w:shd w:val="clear" w:color="auto" w:fill="1F3A5F"/>
          </w:tcPr>
          <w:p>
            <w:pPr>
              <w:spacing w:after="0" w:line="240" w:lineRule="auto"/>
            </w:pPr>
            <w:r/>
            <w:r>
              <w:rPr>
                <w:b/>
                <w:i w:val="0"/>
                <w:color w:val="FFFFFF"/>
                <w:sz w:val="15"/>
              </w:rPr>
              <w:t>US 5y BE</w:t>
            </w:r>
          </w:p>
        </w:tc>
        <w:tc>
          <w:tcPr>
            <w:tcW w:type="dxa" w:w="1109"/>
            <w:shd w:val="clear" w:color="auto" w:fill="1F3A5F"/>
          </w:tcPr>
          <w:p>
            <w:pPr>
              <w:spacing w:after="0" w:line="240" w:lineRule="auto"/>
            </w:pPr>
            <w:r/>
            <w:r>
              <w:rPr>
                <w:b/>
                <w:i w:val="0"/>
                <w:color w:val="FFFFFF"/>
                <w:sz w:val="15"/>
              </w:rPr>
              <w:t>EUR − GBP 1y1y</w:t>
            </w:r>
          </w:p>
        </w:tc>
        <w:tc>
          <w:tcPr>
            <w:tcW w:type="dxa" w:w="1109"/>
            <w:shd w:val="clear" w:color="auto" w:fill="1F3A5F"/>
          </w:tcPr>
          <w:p>
            <w:pPr>
              <w:spacing w:after="0" w:line="240" w:lineRule="auto"/>
            </w:pPr>
            <w:r/>
            <w:r>
              <w:rPr>
                <w:b/>
                <w:i w:val="0"/>
                <w:color w:val="FFFFFF"/>
                <w:sz w:val="15"/>
              </w:rPr>
              <w:t>Brent Dec-27</w:t>
            </w:r>
          </w:p>
        </w:tc>
      </w:tr>
      <w:tr>
        <w:tc>
          <w:tcPr>
            <w:tcW w:type="dxa" w:w="1109"/>
          </w:tcPr>
          <w:p>
            <w:pPr>
              <w:spacing w:after="0" w:line="240" w:lineRule="auto"/>
            </w:pPr>
            <w:r/>
            <w:r>
              <w:rPr>
                <w:b w:val="0"/>
                <w:i w:val="0"/>
                <w:sz w:val="15"/>
              </w:rPr>
              <w:t>A. Shock fades</w:t>
            </w:r>
          </w:p>
        </w:tc>
        <w:tc>
          <w:tcPr>
            <w:tcW w:type="dxa" w:w="1109"/>
          </w:tcPr>
          <w:p>
            <w:pPr>
              <w:spacing w:after="0" w:line="240" w:lineRule="auto"/>
            </w:pPr>
            <w:r/>
            <w:r>
              <w:rPr>
                <w:b w:val="0"/>
                <w:i w:val="0"/>
                <w:sz w:val="15"/>
              </w:rPr>
              <w:t>20%</w:t>
            </w:r>
          </w:p>
        </w:tc>
        <w:tc>
          <w:tcPr>
            <w:tcW w:type="dxa" w:w="1109"/>
          </w:tcPr>
          <w:p>
            <w:pPr>
              <w:spacing w:after="0" w:line="240" w:lineRule="auto"/>
            </w:pPr>
            <w:r/>
            <w:r>
              <w:rPr>
                <w:b w:val="0"/>
                <w:i w:val="0"/>
                <w:sz w:val="15"/>
              </w:rPr>
              <w:t>Reverses (US–Iran deal) or demand destruction</w:t>
            </w:r>
          </w:p>
        </w:tc>
        <w:tc>
          <w:tcPr>
            <w:tcW w:type="dxa" w:w="1109"/>
          </w:tcPr>
          <w:p>
            <w:pPr>
              <w:spacing w:after="0" w:line="240" w:lineRule="auto"/>
            </w:pPr>
            <w:r/>
            <w:r>
              <w:rPr>
                <w:b w:val="0"/>
                <w:i w:val="0"/>
                <w:sz w:val="15"/>
              </w:rPr>
              <w:t>None</w:t>
            </w:r>
          </w:p>
        </w:tc>
        <w:tc>
          <w:tcPr>
            <w:tcW w:type="dxa" w:w="1109"/>
          </w:tcPr>
          <w:p>
            <w:pPr>
              <w:spacing w:after="0" w:line="240" w:lineRule="auto"/>
            </w:pPr>
            <w:r/>
            <w:r>
              <w:rPr>
                <w:b w:val="0"/>
                <w:i w:val="0"/>
                <w:sz w:val="15"/>
              </w:rPr>
              <w:t>3.70%</w:t>
            </w:r>
          </w:p>
        </w:tc>
        <w:tc>
          <w:tcPr>
            <w:tcW w:type="dxa" w:w="1109"/>
          </w:tcPr>
          <w:p>
            <w:pPr>
              <w:spacing w:after="0" w:line="240" w:lineRule="auto"/>
            </w:pPr>
            <w:r/>
            <w:r>
              <w:rPr>
                <w:b w:val="0"/>
                <w:i w:val="0"/>
                <w:sz w:val="15"/>
              </w:rPr>
              <w:t>2.10%</w:t>
            </w:r>
          </w:p>
        </w:tc>
        <w:tc>
          <w:tcPr>
            <w:tcW w:type="dxa" w:w="1109"/>
          </w:tcPr>
          <w:p>
            <w:pPr>
              <w:spacing w:after="0" w:line="240" w:lineRule="auto"/>
            </w:pPr>
            <w:r/>
            <w:r>
              <w:rPr>
                <w:b w:val="0"/>
                <w:i w:val="0"/>
                <w:sz w:val="15"/>
              </w:rPr>
              <w:t>2.18%</w:t>
            </w:r>
          </w:p>
        </w:tc>
        <w:tc>
          <w:tcPr>
            <w:tcW w:type="dxa" w:w="1109"/>
          </w:tcPr>
          <w:p>
            <w:pPr>
              <w:spacing w:after="0" w:line="240" w:lineRule="auto"/>
            </w:pPr>
            <w:r/>
            <w:r>
              <w:rPr>
                <w:b w:val="0"/>
                <w:i w:val="0"/>
                <w:sz w:val="15"/>
              </w:rPr>
              <w:t>−149bp</w:t>
            </w:r>
          </w:p>
        </w:tc>
        <w:tc>
          <w:tcPr>
            <w:tcW w:type="dxa" w:w="1109"/>
          </w:tcPr>
          <w:p>
            <w:pPr>
              <w:spacing w:after="0" w:line="240" w:lineRule="auto"/>
            </w:pPr>
            <w:r/>
            <w:r>
              <w:rPr>
                <w:b w:val="0"/>
                <w:i w:val="0"/>
                <w:sz w:val="15"/>
              </w:rPr>
              <w:t>$72</w:t>
            </w:r>
          </w:p>
        </w:tc>
      </w:tr>
      <w:tr>
        <w:tc>
          <w:tcPr>
            <w:tcW w:type="dxa" w:w="1109"/>
            <w:shd w:val="clear" w:color="auto" w:fill="F3F5F8"/>
          </w:tcPr>
          <w:p>
            <w:pPr>
              <w:spacing w:after="0" w:line="240" w:lineRule="auto"/>
            </w:pPr>
            <w:r/>
            <w:r>
              <w:rPr>
                <w:b w:val="0"/>
                <w:i w:val="0"/>
                <w:sz w:val="15"/>
              </w:rPr>
              <w:t>B. Contained plateau</w:t>
            </w:r>
          </w:p>
        </w:tc>
        <w:tc>
          <w:tcPr>
            <w:tcW w:type="dxa" w:w="1109"/>
            <w:shd w:val="clear" w:color="auto" w:fill="F3F5F8"/>
          </w:tcPr>
          <w:p>
            <w:pPr>
              <w:spacing w:after="0" w:line="240" w:lineRule="auto"/>
            </w:pPr>
            <w:r/>
            <w:r>
              <w:rPr>
                <w:b w:val="0"/>
                <w:i w:val="0"/>
                <w:sz w:val="15"/>
              </w:rPr>
              <w:t>40%</w:t>
            </w:r>
          </w:p>
        </w:tc>
        <w:tc>
          <w:tcPr>
            <w:tcW w:type="dxa" w:w="1109"/>
            <w:shd w:val="clear" w:color="auto" w:fill="F3F5F8"/>
          </w:tcPr>
          <w:p>
            <w:pPr>
              <w:spacing w:after="0" w:line="240" w:lineRule="auto"/>
            </w:pPr>
            <w:r/>
            <w:r>
              <w:rPr>
                <w:b w:val="0"/>
                <w:i w:val="0"/>
                <w:sz w:val="15"/>
              </w:rPr>
              <w:t>Stays high; headline peaks early 2027</w:t>
            </w:r>
          </w:p>
        </w:tc>
        <w:tc>
          <w:tcPr>
            <w:tcW w:type="dxa" w:w="1109"/>
            <w:shd w:val="clear" w:color="auto" w:fill="F3F5F8"/>
          </w:tcPr>
          <w:p>
            <w:pPr>
              <w:spacing w:after="0" w:line="240" w:lineRule="auto"/>
            </w:pPr>
            <w:r/>
            <w:r>
              <w:rPr>
                <w:b w:val="0"/>
                <w:i w:val="0"/>
                <w:sz w:val="15"/>
              </w:rPr>
              <w:t>Contained</w:t>
            </w:r>
          </w:p>
        </w:tc>
        <w:tc>
          <w:tcPr>
            <w:tcW w:type="dxa" w:w="1109"/>
            <w:shd w:val="clear" w:color="auto" w:fill="F3F5F8"/>
          </w:tcPr>
          <w:p>
            <w:pPr>
              <w:spacing w:after="0" w:line="240" w:lineRule="auto"/>
            </w:pPr>
            <w:r/>
            <w:r>
              <w:rPr>
                <w:b w:val="0"/>
                <w:i w:val="0"/>
                <w:sz w:val="15"/>
              </w:rPr>
              <w:t>3.95%</w:t>
            </w:r>
          </w:p>
        </w:tc>
        <w:tc>
          <w:tcPr>
            <w:tcW w:type="dxa" w:w="1109"/>
            <w:shd w:val="clear" w:color="auto" w:fill="F3F5F8"/>
          </w:tcPr>
          <w:p>
            <w:pPr>
              <w:spacing w:after="0" w:line="240" w:lineRule="auto"/>
            </w:pPr>
            <w:r/>
            <w:r>
              <w:rPr>
                <w:b w:val="0"/>
                <w:i w:val="0"/>
                <w:sz w:val="15"/>
              </w:rPr>
              <w:t>2.35%</w:t>
            </w:r>
          </w:p>
        </w:tc>
        <w:tc>
          <w:tcPr>
            <w:tcW w:type="dxa" w:w="1109"/>
            <w:shd w:val="clear" w:color="auto" w:fill="F3F5F8"/>
          </w:tcPr>
          <w:p>
            <w:pPr>
              <w:spacing w:after="0" w:line="240" w:lineRule="auto"/>
            </w:pPr>
            <w:r/>
            <w:r>
              <w:rPr>
                <w:b w:val="0"/>
                <w:i w:val="0"/>
                <w:sz w:val="15"/>
              </w:rPr>
              <w:t>2.40%</w:t>
            </w:r>
          </w:p>
        </w:tc>
        <w:tc>
          <w:tcPr>
            <w:tcW w:type="dxa" w:w="1109"/>
            <w:shd w:val="clear" w:color="auto" w:fill="F3F5F8"/>
          </w:tcPr>
          <w:p>
            <w:pPr>
              <w:spacing w:after="0" w:line="240" w:lineRule="auto"/>
            </w:pPr>
            <w:r/>
            <w:r>
              <w:rPr>
                <w:b w:val="0"/>
                <w:i w:val="0"/>
                <w:sz w:val="15"/>
              </w:rPr>
              <w:t>−162bp</w:t>
            </w:r>
          </w:p>
        </w:tc>
        <w:tc>
          <w:tcPr>
            <w:tcW w:type="dxa" w:w="1109"/>
            <w:shd w:val="clear" w:color="auto" w:fill="F3F5F8"/>
          </w:tcPr>
          <w:p>
            <w:pPr>
              <w:spacing w:after="0" w:line="240" w:lineRule="auto"/>
            </w:pPr>
            <w:r/>
            <w:r>
              <w:rPr>
                <w:b w:val="0"/>
                <w:i w:val="0"/>
                <w:sz w:val="15"/>
              </w:rPr>
              <w:t>$93</w:t>
            </w:r>
          </w:p>
        </w:tc>
      </w:tr>
      <w:tr>
        <w:tc>
          <w:tcPr>
            <w:tcW w:type="dxa" w:w="1109"/>
          </w:tcPr>
          <w:p>
            <w:pPr>
              <w:spacing w:after="0" w:line="240" w:lineRule="auto"/>
            </w:pPr>
            <w:r/>
            <w:r>
              <w:rPr>
                <w:b w:val="0"/>
                <w:i w:val="0"/>
                <w:sz w:val="15"/>
              </w:rPr>
              <w:t>C. Euro-area-led</w:t>
            </w:r>
          </w:p>
        </w:tc>
        <w:tc>
          <w:tcPr>
            <w:tcW w:type="dxa" w:w="1109"/>
          </w:tcPr>
          <w:p>
            <w:pPr>
              <w:spacing w:after="0" w:line="240" w:lineRule="auto"/>
            </w:pPr>
            <w:r/>
            <w:r>
              <w:rPr>
                <w:b w:val="0"/>
                <w:i w:val="0"/>
                <w:sz w:val="15"/>
              </w:rPr>
              <w:t>15%</w:t>
            </w:r>
          </w:p>
        </w:tc>
        <w:tc>
          <w:tcPr>
            <w:tcW w:type="dxa" w:w="1109"/>
          </w:tcPr>
          <w:p>
            <w:pPr>
              <w:spacing w:after="0" w:line="240" w:lineRule="auto"/>
            </w:pPr>
            <w:r/>
            <w:r>
              <w:rPr>
                <w:b w:val="0"/>
                <w:i w:val="0"/>
                <w:sz w:val="15"/>
              </w:rPr>
              <w:t>Stays high</w:t>
            </w:r>
          </w:p>
        </w:tc>
        <w:tc>
          <w:tcPr>
            <w:tcW w:type="dxa" w:w="1109"/>
          </w:tcPr>
          <w:p>
            <w:pPr>
              <w:spacing w:after="0" w:line="240" w:lineRule="auto"/>
            </w:pPr>
            <w:r/>
            <w:r>
              <w:rPr>
                <w:b w:val="0"/>
                <w:i w:val="0"/>
                <w:sz w:val="15"/>
              </w:rPr>
              <w:t>Euro area only: services ≥ 3.3%, wages respond</w:t>
            </w:r>
          </w:p>
        </w:tc>
        <w:tc>
          <w:tcPr>
            <w:tcW w:type="dxa" w:w="1109"/>
          </w:tcPr>
          <w:p>
            <w:pPr>
              <w:spacing w:after="0" w:line="240" w:lineRule="auto"/>
            </w:pPr>
            <w:r/>
            <w:r>
              <w:rPr>
                <w:b w:val="0"/>
                <w:i w:val="0"/>
                <w:sz w:val="15"/>
              </w:rPr>
              <w:t>4.05%</w:t>
            </w:r>
          </w:p>
        </w:tc>
        <w:tc>
          <w:tcPr>
            <w:tcW w:type="dxa" w:w="1109"/>
          </w:tcPr>
          <w:p>
            <w:pPr>
              <w:spacing w:after="0" w:line="240" w:lineRule="auto"/>
            </w:pPr>
            <w:r/>
            <w:r>
              <w:rPr>
                <w:b w:val="0"/>
                <w:i w:val="0"/>
                <w:sz w:val="15"/>
              </w:rPr>
              <w:t>2.60%</w:t>
            </w:r>
          </w:p>
        </w:tc>
        <w:tc>
          <w:tcPr>
            <w:tcW w:type="dxa" w:w="1109"/>
          </w:tcPr>
          <w:p>
            <w:pPr>
              <w:spacing w:after="0" w:line="240" w:lineRule="auto"/>
            </w:pPr>
            <w:r/>
            <w:r>
              <w:rPr>
                <w:b w:val="0"/>
                <w:i w:val="0"/>
                <w:sz w:val="15"/>
              </w:rPr>
              <w:t>2.42%</w:t>
            </w:r>
          </w:p>
        </w:tc>
        <w:tc>
          <w:tcPr>
            <w:tcW w:type="dxa" w:w="1109"/>
          </w:tcPr>
          <w:p>
            <w:pPr>
              <w:spacing w:after="0" w:line="240" w:lineRule="auto"/>
            </w:pPr>
            <w:r/>
            <w:r>
              <w:rPr>
                <w:b w:val="0"/>
                <w:i w:val="0"/>
                <w:sz w:val="15"/>
              </w:rPr>
              <w:t>−135bp</w:t>
            </w:r>
          </w:p>
        </w:tc>
        <w:tc>
          <w:tcPr>
            <w:tcW w:type="dxa" w:w="1109"/>
          </w:tcPr>
          <w:p>
            <w:pPr>
              <w:spacing w:after="0" w:line="240" w:lineRule="auto"/>
            </w:pPr>
            <w:r/>
            <w:r>
              <w:rPr>
                <w:b w:val="0"/>
                <w:i w:val="0"/>
                <w:sz w:val="15"/>
              </w:rPr>
              <w:t>$93</w:t>
            </w:r>
          </w:p>
        </w:tc>
      </w:tr>
      <w:tr>
        <w:tc>
          <w:tcPr>
            <w:tcW w:type="dxa" w:w="1109"/>
            <w:shd w:val="clear" w:color="auto" w:fill="F3F5F8"/>
          </w:tcPr>
          <w:p>
            <w:pPr>
              <w:spacing w:after="0" w:line="240" w:lineRule="auto"/>
            </w:pPr>
            <w:r/>
            <w:r>
              <w:rPr>
                <w:b w:val="0"/>
                <w:i w:val="0"/>
                <w:sz w:val="15"/>
              </w:rPr>
              <w:t>D. Broad persistence</w:t>
            </w:r>
          </w:p>
        </w:tc>
        <w:tc>
          <w:tcPr>
            <w:tcW w:type="dxa" w:w="1109"/>
            <w:shd w:val="clear" w:color="auto" w:fill="F3F5F8"/>
          </w:tcPr>
          <w:p>
            <w:pPr>
              <w:spacing w:after="0" w:line="240" w:lineRule="auto"/>
            </w:pPr>
            <w:r/>
            <w:r>
              <w:rPr>
                <w:b w:val="0"/>
                <w:i w:val="0"/>
                <w:sz w:val="15"/>
              </w:rPr>
              <w:t>25%</w:t>
            </w:r>
          </w:p>
        </w:tc>
        <w:tc>
          <w:tcPr>
            <w:tcW w:type="dxa" w:w="1109"/>
            <w:shd w:val="clear" w:color="auto" w:fill="F3F5F8"/>
          </w:tcPr>
          <w:p>
            <w:pPr>
              <w:spacing w:after="0" w:line="240" w:lineRule="auto"/>
            </w:pPr>
            <w:r/>
            <w:r>
              <w:rPr>
                <w:b w:val="0"/>
                <w:i w:val="0"/>
                <w:sz w:val="15"/>
              </w:rPr>
              <w:t>Stays high, plus a winter gas spike</w:t>
            </w:r>
          </w:p>
        </w:tc>
        <w:tc>
          <w:tcPr>
            <w:tcW w:type="dxa" w:w="1109"/>
            <w:shd w:val="clear" w:color="auto" w:fill="F3F5F8"/>
          </w:tcPr>
          <w:p>
            <w:pPr>
              <w:spacing w:after="0" w:line="240" w:lineRule="auto"/>
            </w:pPr>
            <w:r/>
            <w:r>
              <w:rPr>
                <w:b w:val="0"/>
                <w:i w:val="0"/>
                <w:sz w:val="15"/>
              </w:rPr>
              <w:t>G10-wide: services, wages and expectations rise</w:t>
            </w:r>
          </w:p>
        </w:tc>
        <w:tc>
          <w:tcPr>
            <w:tcW w:type="dxa" w:w="1109"/>
            <w:shd w:val="clear" w:color="auto" w:fill="F3F5F8"/>
          </w:tcPr>
          <w:p>
            <w:pPr>
              <w:spacing w:after="0" w:line="240" w:lineRule="auto"/>
            </w:pPr>
            <w:r/>
            <w:r>
              <w:rPr>
                <w:b w:val="0"/>
                <w:i w:val="0"/>
                <w:sz w:val="15"/>
              </w:rPr>
              <w:t>4.45%</w:t>
            </w:r>
          </w:p>
        </w:tc>
        <w:tc>
          <w:tcPr>
            <w:tcW w:type="dxa" w:w="1109"/>
            <w:shd w:val="clear" w:color="auto" w:fill="F3F5F8"/>
          </w:tcPr>
          <w:p>
            <w:pPr>
              <w:spacing w:after="0" w:line="240" w:lineRule="auto"/>
            </w:pPr>
            <w:r/>
            <w:r>
              <w:rPr>
                <w:b w:val="0"/>
                <w:i w:val="0"/>
                <w:sz w:val="15"/>
              </w:rPr>
              <w:t>2.70%</w:t>
            </w:r>
          </w:p>
        </w:tc>
        <w:tc>
          <w:tcPr>
            <w:tcW w:type="dxa" w:w="1109"/>
            <w:shd w:val="clear" w:color="auto" w:fill="F3F5F8"/>
          </w:tcPr>
          <w:p>
            <w:pPr>
              <w:spacing w:after="0" w:line="240" w:lineRule="auto"/>
            </w:pPr>
            <w:r/>
            <w:r>
              <w:rPr>
                <w:b w:val="0"/>
                <w:i w:val="0"/>
                <w:sz w:val="15"/>
              </w:rPr>
              <w:t>2.67%</w:t>
            </w:r>
          </w:p>
        </w:tc>
        <w:tc>
          <w:tcPr>
            <w:tcW w:type="dxa" w:w="1109"/>
            <w:shd w:val="clear" w:color="auto" w:fill="F3F5F8"/>
          </w:tcPr>
          <w:p>
            <w:pPr>
              <w:spacing w:after="0" w:line="240" w:lineRule="auto"/>
            </w:pPr>
            <w:r/>
            <w:r>
              <w:rPr>
                <w:b w:val="0"/>
                <w:i w:val="0"/>
                <w:sz w:val="15"/>
              </w:rPr>
              <w:t>−179bp</w:t>
            </w:r>
          </w:p>
        </w:tc>
        <w:tc>
          <w:tcPr>
            <w:tcW w:type="dxa" w:w="1109"/>
            <w:shd w:val="clear" w:color="auto" w:fill="F3F5F8"/>
          </w:tcPr>
          <w:p>
            <w:pPr>
              <w:spacing w:after="0" w:line="240" w:lineRule="auto"/>
            </w:pPr>
            <w:r/>
            <w:r>
              <w:rPr>
                <w:b w:val="0"/>
                <w:i w:val="0"/>
                <w:sz w:val="15"/>
              </w:rPr>
              <w:t>$104</w:t>
            </w:r>
          </w:p>
        </w:tc>
      </w:tr>
    </w:tbl>
    <w:p>
      <w:pPr>
        <w:spacing w:after="40"/>
      </w:pPr>
    </w:p>
    <w:p>
      <w:pPr>
        <w:pStyle w:val="ListBullet"/>
        <w:spacing w:after="40"/>
      </w:pPr>
      <w:r>
        <w:rPr>
          <w:b w:val="0"/>
          <w:i/>
        </w:rPr>
        <w:t>Level anchors:</w:t>
      </w:r>
      <w:r>
        <w:rPr>
          <w:b w:val="0"/>
          <w:i w:val="0"/>
        </w:rPr>
        <w:t xml:space="preserve"> A = 1y lows; B = roughly flat plus carry; C = EUR closes half its gap to the March high; D = March 2026 highs.</w:t>
      </w:r>
    </w:p>
    <w:p>
      <w:pPr>
        <w:pStyle w:val="ListBullet"/>
        <w:spacing w:after="40"/>
      </w:pPr>
      <w:r>
        <w:rPr>
          <w:b w:val="0"/>
          <w:i/>
        </w:rPr>
        <w:t>Pairings with Theme 1:</w:t>
      </w:r>
      <w:r>
        <w:rPr>
          <w:b w:val="0"/>
          <w:i w:val="0"/>
        </w:rPr>
        <w:t xml:space="preserve"> A ↔ one-and-done, B and C ↔ gradual, D ↔ full cycle.</w:t>
      </w:r>
    </w:p>
    <w:p>
      <w:pPr>
        <w:pStyle w:val="ListBullet"/>
        <w:spacing w:after="40"/>
      </w:pPr>
      <w:r>
        <w:rPr>
          <w:b w:val="0"/>
          <w:i/>
        </w:rPr>
        <w:t>Key events:</w:t>
      </w:r>
      <w:r>
        <w:rPr>
          <w:b w:val="0"/>
          <w:i w:val="0"/>
        </w:rPr>
        <w:t xml:space="preserve"> Canada CPI (19 Oct), UK labour (20 Oct), UK CPI (21 Oct), BoC (28 Oct), ECB and BoJ (29 Oct), BoE DMP (30 Oct), euro area flash HICP, and the Ofgem cap (25 Nov).</w:t>
      </w:r>
    </w:p>
    <w:p>
      <w:pPr>
        <w:pStyle w:val="Heading2"/>
      </w:pPr>
      <w:r>
        <w:t>Trades</w:t>
      </w:r>
    </w:p>
    <w:p>
      <w:r>
        <w:rPr>
          <w:b/>
          <w:i w:val="0"/>
        </w:rPr>
        <w:t>Expected P&amp;L is +£1.99m on £5.31m of max loss: +£7.37m in broad persistence, −£4.07m if the shock fades. Themes 1 + 2 together are +£5.07m expected and positive in every natural pairing: +£0.71m (A with one-and-done), +£6.09m (B with gradual), +£8.29m (C with gradual) and +£5.49m (D with the full cycle).</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998"/>
        <w:gridCol w:w="998"/>
        <w:gridCol w:w="998"/>
        <w:gridCol w:w="998"/>
        <w:gridCol w:w="998"/>
        <w:gridCol w:w="998"/>
        <w:gridCol w:w="998"/>
        <w:gridCol w:w="998"/>
        <w:gridCol w:w="998"/>
        <w:gridCol w:w="998"/>
      </w:tblGrid>
      <w:tr>
        <w:tc>
          <w:tcPr>
            <w:tcW w:type="dxa" w:w="998"/>
            <w:shd w:val="clear" w:color="auto" w:fill="1F3A5F"/>
          </w:tcPr>
          <w:p>
            <w:pPr>
              <w:spacing w:after="0" w:line="240" w:lineRule="auto"/>
            </w:pPr>
            <w:r/>
            <w:r>
              <w:rPr>
                <w:b/>
                <w:i w:val="0"/>
                <w:color w:val="FFFFFF"/>
                <w:sz w:val="15"/>
              </w:rPr>
              <w:t>#</w:t>
            </w:r>
          </w:p>
        </w:tc>
        <w:tc>
          <w:tcPr>
            <w:tcW w:type="dxa" w:w="998"/>
            <w:shd w:val="clear" w:color="auto" w:fill="1F3A5F"/>
          </w:tcPr>
          <w:p>
            <w:pPr>
              <w:spacing w:after="0" w:line="240" w:lineRule="auto"/>
            </w:pPr>
            <w:r/>
            <w:r>
              <w:rPr>
                <w:b/>
                <w:i w:val="0"/>
                <w:color w:val="FFFFFF"/>
                <w:sz w:val="15"/>
              </w:rPr>
              <w:t>Trade</w:t>
            </w:r>
          </w:p>
        </w:tc>
        <w:tc>
          <w:tcPr>
            <w:tcW w:type="dxa" w:w="998"/>
            <w:shd w:val="clear" w:color="auto" w:fill="1F3A5F"/>
          </w:tcPr>
          <w:p>
            <w:pPr>
              <w:spacing w:after="0" w:line="240" w:lineRule="auto"/>
            </w:pPr>
            <w:r/>
            <w:r>
              <w:rPr>
                <w:b/>
                <w:i w:val="0"/>
                <w:color w:val="FFFFFF"/>
                <w:sz w:val="15"/>
              </w:rPr>
              <w:t>Entry</w:t>
            </w:r>
          </w:p>
        </w:tc>
        <w:tc>
          <w:tcPr>
            <w:tcW w:type="dxa" w:w="998"/>
            <w:shd w:val="clear" w:color="auto" w:fill="1F3A5F"/>
          </w:tcPr>
          <w:p>
            <w:pPr>
              <w:spacing w:after="0" w:line="240" w:lineRule="auto"/>
            </w:pPr>
            <w:r/>
            <w:r>
              <w:rPr>
                <w:b/>
                <w:i w:val="0"/>
                <w:color w:val="FFFFFF"/>
                <w:sz w:val="15"/>
              </w:rPr>
              <w:t>Target</w:t>
            </w:r>
          </w:p>
        </w:tc>
        <w:tc>
          <w:tcPr>
            <w:tcW w:type="dxa" w:w="998"/>
            <w:shd w:val="clear" w:color="auto" w:fill="1F3A5F"/>
          </w:tcPr>
          <w:p>
            <w:pPr>
              <w:spacing w:after="0" w:line="240" w:lineRule="auto"/>
            </w:pPr>
            <w:r/>
            <w:r>
              <w:rPr>
                <w:b/>
                <w:i w:val="0"/>
                <w:color w:val="FFFFFF"/>
                <w:sz w:val="15"/>
              </w:rPr>
              <w:t>Stop</w:t>
            </w:r>
          </w:p>
        </w:tc>
        <w:tc>
          <w:tcPr>
            <w:tcW w:type="dxa" w:w="998"/>
            <w:shd w:val="clear" w:color="auto" w:fill="1F3A5F"/>
          </w:tcPr>
          <w:p>
            <w:pPr>
              <w:spacing w:after="0" w:line="240" w:lineRule="auto"/>
            </w:pPr>
            <w:r/>
            <w:r>
              <w:rPr>
                <w:b/>
                <w:i w:val="0"/>
                <w:color w:val="FFFFFF"/>
                <w:sz w:val="15"/>
              </w:rPr>
              <w:t>R : R</w:t>
            </w:r>
          </w:p>
        </w:tc>
        <w:tc>
          <w:tcPr>
            <w:tcW w:type="dxa" w:w="998"/>
            <w:shd w:val="clear" w:color="auto" w:fill="1F3A5F"/>
          </w:tcPr>
          <w:p>
            <w:pPr>
              <w:spacing w:after="0" w:line="240" w:lineRule="auto"/>
            </w:pPr>
            <w:r/>
            <w:r>
              <w:rPr>
                <w:b/>
                <w:i w:val="0"/>
                <w:color w:val="FFFFFF"/>
                <w:sz w:val="15"/>
              </w:rPr>
              <w:t>Conv.</w:t>
            </w:r>
          </w:p>
        </w:tc>
        <w:tc>
          <w:tcPr>
            <w:tcW w:type="dxa" w:w="998"/>
            <w:shd w:val="clear" w:color="auto" w:fill="1F3A5F"/>
          </w:tcPr>
          <w:p>
            <w:pPr>
              <w:spacing w:after="0" w:line="240" w:lineRule="auto"/>
            </w:pPr>
            <w:r/>
            <w:r>
              <w:rPr>
                <w:b/>
                <w:i w:val="0"/>
                <w:color w:val="FFFFFF"/>
                <w:sz w:val="15"/>
              </w:rPr>
              <w:t>Size</w:t>
            </w:r>
          </w:p>
        </w:tc>
        <w:tc>
          <w:tcPr>
            <w:tcW w:type="dxa" w:w="998"/>
            <w:shd w:val="clear" w:color="auto" w:fill="1F3A5F"/>
          </w:tcPr>
          <w:p>
            <w:pPr>
              <w:spacing w:after="0" w:line="240" w:lineRule="auto"/>
            </w:pPr>
            <w:r/>
            <w:r>
              <w:rPr>
                <w:b/>
                <w:i w:val="0"/>
                <w:color w:val="FFFFFF"/>
                <w:sz w:val="15"/>
              </w:rPr>
              <w:t>Max loss</w:t>
            </w:r>
          </w:p>
        </w:tc>
        <w:tc>
          <w:tcPr>
            <w:tcW w:type="dxa" w:w="998"/>
            <w:shd w:val="clear" w:color="auto" w:fill="1F3A5F"/>
          </w:tcPr>
          <w:p>
            <w:pPr>
              <w:spacing w:after="0" w:line="240" w:lineRule="auto"/>
            </w:pPr>
            <w:r/>
            <w:r>
              <w:rPr>
                <w:b/>
                <w:i w:val="0"/>
                <w:color w:val="FFFFFF"/>
                <w:sz w:val="15"/>
              </w:rPr>
              <w:t>Exp. P&amp;L</w:t>
            </w:r>
          </w:p>
        </w:tc>
      </w:tr>
      <w:tr>
        <w:tc>
          <w:tcPr>
            <w:tcW w:type="dxa" w:w="998"/>
          </w:tcPr>
          <w:p>
            <w:pPr>
              <w:spacing w:after="0" w:line="240" w:lineRule="auto"/>
            </w:pPr>
            <w:r/>
            <w:r>
              <w:rPr>
                <w:b w:val="0"/>
                <w:i w:val="0"/>
                <w:sz w:val="15"/>
              </w:rPr>
              <w:t>T6</w:t>
            </w:r>
          </w:p>
        </w:tc>
        <w:tc>
          <w:tcPr>
            <w:tcW w:type="dxa" w:w="998"/>
          </w:tcPr>
          <w:p>
            <w:pPr>
              <w:spacing w:after="0" w:line="240" w:lineRule="auto"/>
            </w:pPr>
            <w:r/>
            <w:r>
              <w:rPr>
                <w:b w:val="0"/>
                <w:i w:val="0"/>
                <w:sz w:val="15"/>
              </w:rPr>
              <w:t>Long UK 3y zero-coupon RPI swap</w:t>
            </w:r>
          </w:p>
        </w:tc>
        <w:tc>
          <w:tcPr>
            <w:tcW w:type="dxa" w:w="998"/>
          </w:tcPr>
          <w:p>
            <w:pPr>
              <w:spacing w:after="0" w:line="240" w:lineRule="auto"/>
            </w:pPr>
            <w:r/>
            <w:r>
              <w:rPr>
                <w:b w:val="0"/>
                <w:i w:val="0"/>
                <w:sz w:val="15"/>
              </w:rPr>
              <w:t>4.02%</w:t>
            </w:r>
          </w:p>
        </w:tc>
        <w:tc>
          <w:tcPr>
            <w:tcW w:type="dxa" w:w="998"/>
          </w:tcPr>
          <w:p>
            <w:pPr>
              <w:spacing w:after="0" w:line="240" w:lineRule="auto"/>
            </w:pPr>
            <w:r/>
            <w:r>
              <w:rPr>
                <w:b w:val="0"/>
                <w:i w:val="0"/>
                <w:sz w:val="15"/>
              </w:rPr>
              <w:t>4.45%</w:t>
            </w:r>
          </w:p>
        </w:tc>
        <w:tc>
          <w:tcPr>
            <w:tcW w:type="dxa" w:w="998"/>
          </w:tcPr>
          <w:p>
            <w:pPr>
              <w:spacing w:after="0" w:line="240" w:lineRule="auto"/>
            </w:pPr>
            <w:r/>
            <w:r>
              <w:rPr>
                <w:b w:val="0"/>
                <w:i w:val="0"/>
                <w:sz w:val="15"/>
              </w:rPr>
              <w:t>3.72%</w:t>
            </w:r>
          </w:p>
        </w:tc>
        <w:tc>
          <w:tcPr>
            <w:tcW w:type="dxa" w:w="998"/>
          </w:tcPr>
          <w:p>
            <w:pPr>
              <w:spacing w:after="0" w:line="240" w:lineRule="auto"/>
            </w:pPr>
            <w:r/>
            <w:r>
              <w:rPr>
                <w:b w:val="0"/>
                <w:i w:val="0"/>
                <w:sz w:val="15"/>
              </w:rPr>
              <w:t>1.4x</w:t>
            </w:r>
          </w:p>
        </w:tc>
        <w:tc>
          <w:tcPr>
            <w:tcW w:type="dxa" w:w="998"/>
          </w:tcPr>
          <w:p>
            <w:pPr>
              <w:spacing w:after="0" w:line="240" w:lineRule="auto"/>
            </w:pPr>
            <w:r/>
            <w:r>
              <w:rPr>
                <w:b w:val="0"/>
                <w:i w:val="0"/>
                <w:sz w:val="15"/>
              </w:rPr>
              <w:t>3</w:t>
            </w:r>
          </w:p>
        </w:tc>
        <w:tc>
          <w:tcPr>
            <w:tcW w:type="dxa" w:w="998"/>
          </w:tcPr>
          <w:p>
            <w:pPr>
              <w:spacing w:after="0" w:line="240" w:lineRule="auto"/>
            </w:pPr>
            <w:r/>
            <w:r>
              <w:rPr>
                <w:b w:val="0"/>
                <w:i w:val="0"/>
                <w:sz w:val="15"/>
              </w:rPr>
              <w:t>£44k/bp</w:t>
            </w:r>
          </w:p>
        </w:tc>
        <w:tc>
          <w:tcPr>
            <w:tcW w:type="dxa" w:w="998"/>
          </w:tcPr>
          <w:p>
            <w:pPr>
              <w:spacing w:after="0" w:line="240" w:lineRule="auto"/>
            </w:pPr>
            <w:r/>
            <w:r>
              <w:rPr>
                <w:b w:val="0"/>
                <w:i w:val="0"/>
                <w:sz w:val="15"/>
              </w:rPr>
              <w:t>£1.33m</w:t>
            </w:r>
          </w:p>
        </w:tc>
        <w:tc>
          <w:tcPr>
            <w:tcW w:type="dxa" w:w="998"/>
          </w:tcPr>
          <w:p>
            <w:pPr>
              <w:spacing w:after="0" w:line="240" w:lineRule="auto"/>
            </w:pPr>
            <w:r/>
            <w:r>
              <w:rPr>
                <w:b w:val="0"/>
                <w:i w:val="0"/>
                <w:sz w:val="15"/>
              </w:rPr>
              <w:t>+£106k</w:t>
            </w:r>
          </w:p>
        </w:tc>
      </w:tr>
      <w:tr>
        <w:tc>
          <w:tcPr>
            <w:tcW w:type="dxa" w:w="998"/>
            <w:shd w:val="clear" w:color="auto" w:fill="F3F5F8"/>
          </w:tcPr>
          <w:p>
            <w:pPr>
              <w:spacing w:after="0" w:line="240" w:lineRule="auto"/>
            </w:pPr>
            <w:r/>
            <w:r>
              <w:rPr>
                <w:b w:val="0"/>
                <w:i w:val="0"/>
                <w:sz w:val="15"/>
              </w:rPr>
              <w:t>T7</w:t>
            </w:r>
          </w:p>
        </w:tc>
        <w:tc>
          <w:tcPr>
            <w:tcW w:type="dxa" w:w="998"/>
            <w:shd w:val="clear" w:color="auto" w:fill="F3F5F8"/>
          </w:tcPr>
          <w:p>
            <w:pPr>
              <w:spacing w:after="0" w:line="240" w:lineRule="auto"/>
            </w:pPr>
            <w:r/>
            <w:r>
              <w:rPr>
                <w:b w:val="0"/>
                <w:i w:val="0"/>
                <w:sz w:val="15"/>
              </w:rPr>
              <w:t>Long US 5y breakeven (TIPS vs Treasuries)</w:t>
            </w:r>
          </w:p>
        </w:tc>
        <w:tc>
          <w:tcPr>
            <w:tcW w:type="dxa" w:w="998"/>
            <w:shd w:val="clear" w:color="auto" w:fill="F3F5F8"/>
          </w:tcPr>
          <w:p>
            <w:pPr>
              <w:spacing w:after="0" w:line="240" w:lineRule="auto"/>
            </w:pPr>
            <w:r/>
            <w:r>
              <w:rPr>
                <w:b w:val="0"/>
                <w:i w:val="0"/>
                <w:sz w:val="15"/>
              </w:rPr>
              <w:t>2.37%</w:t>
            </w:r>
          </w:p>
        </w:tc>
        <w:tc>
          <w:tcPr>
            <w:tcW w:type="dxa" w:w="998"/>
            <w:shd w:val="clear" w:color="auto" w:fill="F3F5F8"/>
          </w:tcPr>
          <w:p>
            <w:pPr>
              <w:spacing w:after="0" w:line="240" w:lineRule="auto"/>
            </w:pPr>
            <w:r/>
            <w:r>
              <w:rPr>
                <w:b w:val="0"/>
                <w:i w:val="0"/>
                <w:sz w:val="15"/>
              </w:rPr>
              <w:t>2.67%</w:t>
            </w:r>
          </w:p>
        </w:tc>
        <w:tc>
          <w:tcPr>
            <w:tcW w:type="dxa" w:w="998"/>
            <w:shd w:val="clear" w:color="auto" w:fill="F3F5F8"/>
          </w:tcPr>
          <w:p>
            <w:pPr>
              <w:spacing w:after="0" w:line="240" w:lineRule="auto"/>
            </w:pPr>
            <w:r/>
            <w:r>
              <w:rPr>
                <w:b w:val="0"/>
                <w:i w:val="0"/>
                <w:sz w:val="15"/>
              </w:rPr>
              <w:t>2.20%</w:t>
            </w:r>
          </w:p>
        </w:tc>
        <w:tc>
          <w:tcPr>
            <w:tcW w:type="dxa" w:w="998"/>
            <w:shd w:val="clear" w:color="auto" w:fill="F3F5F8"/>
          </w:tcPr>
          <w:p>
            <w:pPr>
              <w:spacing w:after="0" w:line="240" w:lineRule="auto"/>
            </w:pPr>
            <w:r/>
            <w:r>
              <w:rPr>
                <w:b w:val="0"/>
                <w:i w:val="0"/>
                <w:sz w:val="15"/>
              </w:rPr>
              <w:t>1.8x</w:t>
            </w:r>
          </w:p>
        </w:tc>
        <w:tc>
          <w:tcPr>
            <w:tcW w:type="dxa" w:w="998"/>
            <w:shd w:val="clear" w:color="auto" w:fill="F3F5F8"/>
          </w:tcPr>
          <w:p>
            <w:pPr>
              <w:spacing w:after="0" w:line="240" w:lineRule="auto"/>
            </w:pPr>
            <w:r/>
            <w:r>
              <w:rPr>
                <w:b w:val="0"/>
                <w:i w:val="0"/>
                <w:sz w:val="15"/>
              </w:rPr>
              <w:t>3</w:t>
            </w:r>
          </w:p>
        </w:tc>
        <w:tc>
          <w:tcPr>
            <w:tcW w:type="dxa" w:w="998"/>
            <w:shd w:val="clear" w:color="auto" w:fill="F3F5F8"/>
          </w:tcPr>
          <w:p>
            <w:pPr>
              <w:spacing w:after="0" w:line="240" w:lineRule="auto"/>
            </w:pPr>
            <w:r/>
            <w:r>
              <w:rPr>
                <w:b w:val="0"/>
                <w:i w:val="0"/>
                <w:sz w:val="15"/>
              </w:rPr>
              <w:t>£78k/bp</w:t>
            </w:r>
          </w:p>
        </w:tc>
        <w:tc>
          <w:tcPr>
            <w:tcW w:type="dxa" w:w="998"/>
            <w:shd w:val="clear" w:color="auto" w:fill="F3F5F8"/>
          </w:tcPr>
          <w:p>
            <w:pPr>
              <w:spacing w:after="0" w:line="240" w:lineRule="auto"/>
            </w:pPr>
            <w:r/>
            <w:r>
              <w:rPr>
                <w:b w:val="0"/>
                <w:i w:val="0"/>
                <w:sz w:val="15"/>
              </w:rPr>
              <w:t>£1.33m</w:t>
            </w:r>
          </w:p>
        </w:tc>
        <w:tc>
          <w:tcPr>
            <w:tcW w:type="dxa" w:w="998"/>
            <w:shd w:val="clear" w:color="auto" w:fill="F3F5F8"/>
          </w:tcPr>
          <w:p>
            <w:pPr>
              <w:spacing w:after="0" w:line="240" w:lineRule="auto"/>
            </w:pPr>
            <w:r/>
            <w:r>
              <w:rPr>
                <w:b w:val="0"/>
                <w:i w:val="0"/>
                <w:sz w:val="15"/>
              </w:rPr>
              <w:t>+£471k</w:t>
            </w:r>
          </w:p>
        </w:tc>
      </w:tr>
      <w:tr>
        <w:tc>
          <w:tcPr>
            <w:tcW w:type="dxa" w:w="998"/>
          </w:tcPr>
          <w:p>
            <w:pPr>
              <w:spacing w:after="0" w:line="240" w:lineRule="auto"/>
            </w:pPr>
            <w:r/>
            <w:r>
              <w:rPr>
                <w:b w:val="0"/>
                <w:i w:val="0"/>
                <w:sz w:val="15"/>
              </w:rPr>
              <w:t>T8</w:t>
            </w:r>
          </w:p>
        </w:tc>
        <w:tc>
          <w:tcPr>
            <w:tcW w:type="dxa" w:w="998"/>
          </w:tcPr>
          <w:p>
            <w:pPr>
              <w:spacing w:after="0" w:line="240" w:lineRule="auto"/>
            </w:pPr>
            <w:r/>
            <w:r>
              <w:rPr>
                <w:b w:val="0"/>
                <w:i w:val="0"/>
                <w:sz w:val="15"/>
              </w:rPr>
              <w:t>Long EUR 1y1y HICPx inflation swap</w:t>
            </w:r>
          </w:p>
        </w:tc>
        <w:tc>
          <w:tcPr>
            <w:tcW w:type="dxa" w:w="998"/>
          </w:tcPr>
          <w:p>
            <w:pPr>
              <w:spacing w:after="0" w:line="240" w:lineRule="auto"/>
            </w:pPr>
            <w:r/>
            <w:r>
              <w:rPr>
                <w:b w:val="0"/>
                <w:i w:val="0"/>
                <w:sz w:val="15"/>
              </w:rPr>
              <w:t>~2.30% (ECB, 9 Sep)</w:t>
            </w:r>
          </w:p>
        </w:tc>
        <w:tc>
          <w:tcPr>
            <w:tcW w:type="dxa" w:w="998"/>
          </w:tcPr>
          <w:p>
            <w:pPr>
              <w:spacing w:after="0" w:line="240" w:lineRule="auto"/>
            </w:pPr>
            <w:r/>
            <w:r>
              <w:rPr>
                <w:b w:val="0"/>
                <w:i w:val="0"/>
                <w:sz w:val="15"/>
              </w:rPr>
              <w:t>2.70%</w:t>
            </w:r>
          </w:p>
        </w:tc>
        <w:tc>
          <w:tcPr>
            <w:tcW w:type="dxa" w:w="998"/>
          </w:tcPr>
          <w:p>
            <w:pPr>
              <w:spacing w:after="0" w:line="240" w:lineRule="auto"/>
            </w:pPr>
            <w:r/>
            <w:r>
              <w:rPr>
                <w:b w:val="0"/>
                <w:i w:val="0"/>
                <w:sz w:val="15"/>
              </w:rPr>
              <w:t>2.10%</w:t>
            </w:r>
          </w:p>
        </w:tc>
        <w:tc>
          <w:tcPr>
            <w:tcW w:type="dxa" w:w="998"/>
          </w:tcPr>
          <w:p>
            <w:pPr>
              <w:spacing w:after="0" w:line="240" w:lineRule="auto"/>
            </w:pPr>
            <w:r/>
            <w:r>
              <w:rPr>
                <w:b w:val="0"/>
                <w:i w:val="0"/>
                <w:sz w:val="15"/>
              </w:rPr>
              <w:t>2.0x</w:t>
            </w:r>
          </w:p>
        </w:tc>
        <w:tc>
          <w:tcPr>
            <w:tcW w:type="dxa" w:w="998"/>
          </w:tcPr>
          <w:p>
            <w:pPr>
              <w:spacing w:after="0" w:line="240" w:lineRule="auto"/>
            </w:pPr>
            <w:r/>
            <w:r>
              <w:rPr>
                <w:b w:val="0"/>
                <w:i w:val="0"/>
                <w:sz w:val="15"/>
              </w:rPr>
              <w:t>2</w:t>
            </w:r>
          </w:p>
        </w:tc>
        <w:tc>
          <w:tcPr>
            <w:tcW w:type="dxa" w:w="998"/>
          </w:tcPr>
          <w:p>
            <w:pPr>
              <w:spacing w:after="0" w:line="240" w:lineRule="auto"/>
            </w:pPr>
            <w:r/>
            <w:r>
              <w:rPr>
                <w:b w:val="0"/>
                <w:i w:val="0"/>
                <w:sz w:val="15"/>
              </w:rPr>
              <w:t>£33k/bp</w:t>
            </w:r>
          </w:p>
        </w:tc>
        <w:tc>
          <w:tcPr>
            <w:tcW w:type="dxa" w:w="998"/>
          </w:tcPr>
          <w:p>
            <w:pPr>
              <w:spacing w:after="0" w:line="240" w:lineRule="auto"/>
            </w:pPr>
            <w:r/>
            <w:r>
              <w:rPr>
                <w:b w:val="0"/>
                <w:i w:val="0"/>
                <w:sz w:val="15"/>
              </w:rPr>
              <w:t>£663k</w:t>
            </w:r>
          </w:p>
        </w:tc>
        <w:tc>
          <w:tcPr>
            <w:tcW w:type="dxa" w:w="998"/>
          </w:tcPr>
          <w:p>
            <w:pPr>
              <w:spacing w:after="0" w:line="240" w:lineRule="auto"/>
            </w:pPr>
            <w:r/>
            <w:r>
              <w:rPr>
                <w:b w:val="0"/>
                <w:i w:val="0"/>
                <w:sz w:val="15"/>
              </w:rPr>
              <w:t>+£414k</w:t>
            </w:r>
          </w:p>
        </w:tc>
      </w:tr>
      <w:tr>
        <w:tc>
          <w:tcPr>
            <w:tcW w:type="dxa" w:w="998"/>
            <w:shd w:val="clear" w:color="auto" w:fill="F3F5F8"/>
          </w:tcPr>
          <w:p>
            <w:pPr>
              <w:spacing w:after="0" w:line="240" w:lineRule="auto"/>
            </w:pPr>
            <w:r/>
            <w:r>
              <w:rPr>
                <w:b w:val="0"/>
                <w:i w:val="0"/>
                <w:sz w:val="15"/>
              </w:rPr>
              <w:t>T9</w:t>
            </w:r>
          </w:p>
        </w:tc>
        <w:tc>
          <w:tcPr>
            <w:tcW w:type="dxa" w:w="998"/>
            <w:shd w:val="clear" w:color="auto" w:fill="F3F5F8"/>
          </w:tcPr>
          <w:p>
            <w:pPr>
              <w:spacing w:after="0" w:line="240" w:lineRule="auto"/>
            </w:pPr>
            <w:r/>
            <w:r>
              <w:rPr>
                <w:b w:val="0"/>
                <w:i w:val="0"/>
                <w:sz w:val="15"/>
              </w:rPr>
              <w:t>Pay EUR 1y1y vs receive SONIA 1y1y (EUR − GBP)</w:t>
            </w:r>
          </w:p>
        </w:tc>
        <w:tc>
          <w:tcPr>
            <w:tcW w:type="dxa" w:w="998"/>
            <w:shd w:val="clear" w:color="auto" w:fill="F3F5F8"/>
          </w:tcPr>
          <w:p>
            <w:pPr>
              <w:spacing w:after="0" w:line="240" w:lineRule="auto"/>
            </w:pPr>
            <w:r/>
            <w:r>
              <w:rPr>
                <w:b w:val="0"/>
                <w:i w:val="0"/>
                <w:sz w:val="15"/>
              </w:rPr>
              <w:t>−169bp</w:t>
            </w:r>
          </w:p>
        </w:tc>
        <w:tc>
          <w:tcPr>
            <w:tcW w:type="dxa" w:w="998"/>
            <w:shd w:val="clear" w:color="auto" w:fill="F3F5F8"/>
          </w:tcPr>
          <w:p>
            <w:pPr>
              <w:spacing w:after="0" w:line="240" w:lineRule="auto"/>
            </w:pPr>
            <w:r/>
            <w:r>
              <w:rPr>
                <w:b w:val="0"/>
                <w:i w:val="0"/>
                <w:sz w:val="15"/>
              </w:rPr>
              <w:t>−135bp</w:t>
            </w:r>
          </w:p>
        </w:tc>
        <w:tc>
          <w:tcPr>
            <w:tcW w:type="dxa" w:w="998"/>
            <w:shd w:val="clear" w:color="auto" w:fill="F3F5F8"/>
          </w:tcPr>
          <w:p>
            <w:pPr>
              <w:spacing w:after="0" w:line="240" w:lineRule="auto"/>
            </w:pPr>
            <w:r/>
            <w:r>
              <w:rPr>
                <w:b w:val="0"/>
                <w:i w:val="0"/>
                <w:sz w:val="15"/>
              </w:rPr>
              <w:t>−192bp</w:t>
            </w:r>
          </w:p>
        </w:tc>
        <w:tc>
          <w:tcPr>
            <w:tcW w:type="dxa" w:w="998"/>
            <w:shd w:val="clear" w:color="auto" w:fill="F3F5F8"/>
          </w:tcPr>
          <w:p>
            <w:pPr>
              <w:spacing w:after="0" w:line="240" w:lineRule="auto"/>
            </w:pPr>
            <w:r/>
            <w:r>
              <w:rPr>
                <w:b w:val="0"/>
                <w:i w:val="0"/>
                <w:sz w:val="15"/>
              </w:rPr>
              <w:t>1.5x</w:t>
            </w:r>
          </w:p>
        </w:tc>
        <w:tc>
          <w:tcPr>
            <w:tcW w:type="dxa" w:w="998"/>
            <w:shd w:val="clear" w:color="auto" w:fill="F3F5F8"/>
          </w:tcPr>
          <w:p>
            <w:pPr>
              <w:spacing w:after="0" w:line="240" w:lineRule="auto"/>
            </w:pPr>
            <w:r/>
            <w:r>
              <w:rPr>
                <w:b w:val="0"/>
                <w:i w:val="0"/>
                <w:sz w:val="15"/>
              </w:rPr>
              <w:t>2</w:t>
            </w:r>
          </w:p>
        </w:tc>
        <w:tc>
          <w:tcPr>
            <w:tcW w:type="dxa" w:w="998"/>
            <w:shd w:val="clear" w:color="auto" w:fill="F3F5F8"/>
          </w:tcPr>
          <w:p>
            <w:pPr>
              <w:spacing w:after="0" w:line="240" w:lineRule="auto"/>
            </w:pPr>
            <w:r/>
            <w:r>
              <w:rPr>
                <w:b w:val="0"/>
                <w:i w:val="0"/>
                <w:sz w:val="15"/>
              </w:rPr>
              <w:t>£29k/bp each leg</w:t>
            </w:r>
          </w:p>
        </w:tc>
        <w:tc>
          <w:tcPr>
            <w:tcW w:type="dxa" w:w="998"/>
            <w:shd w:val="clear" w:color="auto" w:fill="F3F5F8"/>
          </w:tcPr>
          <w:p>
            <w:pPr>
              <w:spacing w:after="0" w:line="240" w:lineRule="auto"/>
            </w:pPr>
            <w:r/>
            <w:r>
              <w:rPr>
                <w:b w:val="0"/>
                <w:i w:val="0"/>
                <w:sz w:val="15"/>
              </w:rPr>
              <w:t>£663k</w:t>
            </w:r>
          </w:p>
        </w:tc>
        <w:tc>
          <w:tcPr>
            <w:tcW w:type="dxa" w:w="998"/>
            <w:shd w:val="clear" w:color="auto" w:fill="F3F5F8"/>
          </w:tcPr>
          <w:p>
            <w:pPr>
              <w:spacing w:after="0" w:line="240" w:lineRule="auto"/>
            </w:pPr>
            <w:r/>
            <w:r>
              <w:rPr>
                <w:b w:val="0"/>
                <w:i w:val="0"/>
                <w:sz w:val="15"/>
              </w:rPr>
              <w:t>+£270k</w:t>
            </w:r>
          </w:p>
        </w:tc>
      </w:tr>
      <w:tr>
        <w:tc>
          <w:tcPr>
            <w:tcW w:type="dxa" w:w="998"/>
          </w:tcPr>
          <w:p>
            <w:pPr>
              <w:spacing w:after="0" w:line="240" w:lineRule="auto"/>
            </w:pPr>
            <w:r/>
            <w:r>
              <w:rPr>
                <w:b w:val="0"/>
                <w:i w:val="0"/>
                <w:sz w:val="15"/>
              </w:rPr>
              <w:t>T10</w:t>
            </w:r>
          </w:p>
        </w:tc>
        <w:tc>
          <w:tcPr>
            <w:tcW w:type="dxa" w:w="998"/>
          </w:tcPr>
          <w:p>
            <w:pPr>
              <w:spacing w:after="0" w:line="240" w:lineRule="auto"/>
            </w:pPr>
            <w:r/>
            <w:r>
              <w:rPr>
                <w:b w:val="0"/>
                <w:i w:val="0"/>
                <w:sz w:val="15"/>
              </w:rPr>
              <w:t>Long Brent Dec-27 future</w:t>
            </w:r>
          </w:p>
        </w:tc>
        <w:tc>
          <w:tcPr>
            <w:tcW w:type="dxa" w:w="998"/>
          </w:tcPr>
          <w:p>
            <w:pPr>
              <w:spacing w:after="0" w:line="240" w:lineRule="auto"/>
            </w:pPr>
            <w:r/>
            <w:r>
              <w:rPr>
                <w:b w:val="0"/>
                <w:i w:val="0"/>
                <w:sz w:val="15"/>
              </w:rPr>
              <w:t>$86.7 (16 Oct settle)</w:t>
            </w:r>
          </w:p>
        </w:tc>
        <w:tc>
          <w:tcPr>
            <w:tcW w:type="dxa" w:w="998"/>
          </w:tcPr>
          <w:p>
            <w:pPr>
              <w:spacing w:after="0" w:line="240" w:lineRule="auto"/>
            </w:pPr>
            <w:r/>
            <w:r>
              <w:rPr>
                <w:b w:val="0"/>
                <w:i w:val="0"/>
                <w:sz w:val="15"/>
              </w:rPr>
              <w:t>$102</w:t>
            </w:r>
          </w:p>
        </w:tc>
        <w:tc>
          <w:tcPr>
            <w:tcW w:type="dxa" w:w="998"/>
          </w:tcPr>
          <w:p>
            <w:pPr>
              <w:spacing w:after="0" w:line="240" w:lineRule="auto"/>
            </w:pPr>
            <w:r/>
            <w:r>
              <w:rPr>
                <w:b w:val="0"/>
                <w:i w:val="0"/>
                <w:sz w:val="15"/>
              </w:rPr>
              <w:t>$77</w:t>
            </w:r>
          </w:p>
        </w:tc>
        <w:tc>
          <w:tcPr>
            <w:tcW w:type="dxa" w:w="998"/>
          </w:tcPr>
          <w:p>
            <w:pPr>
              <w:spacing w:after="0" w:line="240" w:lineRule="auto"/>
            </w:pPr>
            <w:r/>
            <w:r>
              <w:rPr>
                <w:b w:val="0"/>
                <w:i w:val="0"/>
                <w:sz w:val="15"/>
              </w:rPr>
              <w:t>1.6x</w:t>
            </w:r>
          </w:p>
        </w:tc>
        <w:tc>
          <w:tcPr>
            <w:tcW w:type="dxa" w:w="998"/>
          </w:tcPr>
          <w:p>
            <w:pPr>
              <w:spacing w:after="0" w:line="240" w:lineRule="auto"/>
            </w:pPr>
            <w:r/>
            <w:r>
              <w:rPr>
                <w:b w:val="0"/>
                <w:i w:val="0"/>
                <w:sz w:val="15"/>
              </w:rPr>
              <w:t>3</w:t>
            </w:r>
          </w:p>
        </w:tc>
        <w:tc>
          <w:tcPr>
            <w:tcW w:type="dxa" w:w="998"/>
          </w:tcPr>
          <w:p>
            <w:pPr>
              <w:spacing w:after="0" w:line="240" w:lineRule="auto"/>
            </w:pPr>
            <w:r/>
            <w:r>
              <w:rPr>
                <w:b w:val="0"/>
                <w:i w:val="0"/>
                <w:sz w:val="15"/>
              </w:rPr>
              <w:t>£137k per $1/bbl (~177 lots)</w:t>
            </w:r>
          </w:p>
        </w:tc>
        <w:tc>
          <w:tcPr>
            <w:tcW w:type="dxa" w:w="998"/>
          </w:tcPr>
          <w:p>
            <w:pPr>
              <w:spacing w:after="0" w:line="240" w:lineRule="auto"/>
            </w:pPr>
            <w:r/>
            <w:r>
              <w:rPr>
                <w:b w:val="0"/>
                <w:i w:val="0"/>
                <w:sz w:val="15"/>
              </w:rPr>
              <w:t>£1.33m</w:t>
            </w:r>
          </w:p>
        </w:tc>
        <w:tc>
          <w:tcPr>
            <w:tcW w:type="dxa" w:w="998"/>
          </w:tcPr>
          <w:p>
            <w:pPr>
              <w:spacing w:after="0" w:line="240" w:lineRule="auto"/>
            </w:pPr>
            <w:r/>
            <w:r>
              <w:rPr>
                <w:b w:val="0"/>
                <w:i w:val="0"/>
                <w:sz w:val="15"/>
              </w:rPr>
              <w:t>+£733k</w:t>
            </w:r>
          </w:p>
        </w:tc>
      </w:tr>
      <w:tr>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Total</w:t>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£5.31m</w:t>
            </w:r>
          </w:p>
        </w:tc>
        <w:tc>
          <w:tcPr>
            <w:tcW w:type="dxa" w:w="998"/>
            <w:shd w:val="clear" w:color="auto" w:fill="DCE4EE"/>
          </w:tcPr>
          <w:p>
            <w:pPr>
              <w:spacing w:after="0" w:line="240" w:lineRule="auto"/>
            </w:pPr>
            <w:r/>
            <w:r>
              <w:rPr>
                <w:b/>
                <w:i w:val="0"/>
                <w:sz w:val="15"/>
              </w:rPr>
              <w:t>+£1.99m</w:t>
            </w:r>
          </w:p>
        </w:tc>
      </w:tr>
    </w:tbl>
    <w:p>
      <w:pPr>
        <w:spacing w:after="40"/>
      </w:pP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996"/>
        <w:gridCol w:w="1996"/>
        <w:gridCol w:w="1996"/>
        <w:gridCol w:w="1996"/>
        <w:gridCol w:w="1996"/>
      </w:tblGrid>
      <w:tr>
        <w:tc>
          <w:tcPr>
            <w:tcW w:type="dxa" w:w="1996"/>
            <w:shd w:val="clear" w:color="auto" w:fill="1F3A5F"/>
          </w:tcPr>
          <w:p>
            <w:pPr>
              <w:spacing w:after="0" w:line="240" w:lineRule="auto"/>
            </w:pPr>
            <w:r/>
            <w:r>
              <w:rPr>
                <w:b/>
                <w:i w:val="0"/>
                <w:color w:val="FFFFFF"/>
                <w:sz w:val="17"/>
              </w:rPr>
              <w:t>P&amp;L by scenario (£k)</w:t>
            </w:r>
          </w:p>
        </w:tc>
        <w:tc>
          <w:tcPr>
            <w:tcW w:type="dxa" w:w="1996"/>
            <w:shd w:val="clear" w:color="auto" w:fill="1F3A5F"/>
          </w:tcPr>
          <w:p>
            <w:pPr>
              <w:spacing w:after="0" w:line="240" w:lineRule="auto"/>
            </w:pPr>
            <w:r/>
            <w:r>
              <w:rPr>
                <w:b/>
                <w:i w:val="0"/>
                <w:color w:val="FFFFFF"/>
                <w:sz w:val="17"/>
              </w:rPr>
              <w:t>A (20%)</w:t>
            </w:r>
          </w:p>
        </w:tc>
        <w:tc>
          <w:tcPr>
            <w:tcW w:type="dxa" w:w="1996"/>
            <w:shd w:val="clear" w:color="auto" w:fill="1F3A5F"/>
          </w:tcPr>
          <w:p>
            <w:pPr>
              <w:spacing w:after="0" w:line="240" w:lineRule="auto"/>
            </w:pPr>
            <w:r/>
            <w:r>
              <w:rPr>
                <w:b/>
                <w:i w:val="0"/>
                <w:color w:val="FFFFFF"/>
                <w:sz w:val="17"/>
              </w:rPr>
              <w:t>B (40%)</w:t>
            </w:r>
          </w:p>
        </w:tc>
        <w:tc>
          <w:tcPr>
            <w:tcW w:type="dxa" w:w="1996"/>
            <w:shd w:val="clear" w:color="auto" w:fill="1F3A5F"/>
          </w:tcPr>
          <w:p>
            <w:pPr>
              <w:spacing w:after="0" w:line="240" w:lineRule="auto"/>
            </w:pPr>
            <w:r/>
            <w:r>
              <w:rPr>
                <w:b/>
                <w:i w:val="0"/>
                <w:color w:val="FFFFFF"/>
                <w:sz w:val="17"/>
              </w:rPr>
              <w:t>C (15%)</w:t>
            </w:r>
          </w:p>
        </w:tc>
        <w:tc>
          <w:tcPr>
            <w:tcW w:type="dxa" w:w="1996"/>
            <w:shd w:val="clear" w:color="auto" w:fill="1F3A5F"/>
          </w:tcPr>
          <w:p>
            <w:pPr>
              <w:spacing w:after="0" w:line="240" w:lineRule="auto"/>
            </w:pPr>
            <w:r/>
            <w:r>
              <w:rPr>
                <w:b/>
                <w:i w:val="0"/>
                <w:color w:val="FFFFFF"/>
                <w:sz w:val="17"/>
              </w:rPr>
              <w:t>D (25%)</w:t>
            </w:r>
          </w:p>
        </w:tc>
      </w:tr>
      <w:tr>
        <w:tc>
          <w:tcPr>
            <w:tcW w:type="dxa" w:w="1996"/>
          </w:tcPr>
          <w:p>
            <w:pPr>
              <w:spacing w:after="0" w:line="240" w:lineRule="auto"/>
            </w:pPr>
            <w:r/>
            <w:r>
              <w:rPr>
                <w:b w:val="0"/>
                <w:i w:val="0"/>
                <w:sz w:val="17"/>
              </w:rPr>
              <w:t>T6</w:t>
            </w:r>
          </w:p>
        </w:tc>
        <w:tc>
          <w:tcPr>
            <w:tcW w:type="dxa" w:w="1996"/>
          </w:tcPr>
          <w:p>
            <w:pPr>
              <w:spacing w:after="0" w:line="240" w:lineRule="auto"/>
            </w:pPr>
            <w:r/>
            <w:r>
              <w:rPr>
                <w:b w:val="0"/>
                <w:i w:val="0"/>
                <w:sz w:val="17"/>
              </w:rPr>
              <w:t>−1,327</w:t>
            </w:r>
          </w:p>
        </w:tc>
        <w:tc>
          <w:tcPr>
            <w:tcW w:type="dxa" w:w="1996"/>
          </w:tcPr>
          <w:p>
            <w:pPr>
              <w:spacing w:after="0" w:line="240" w:lineRule="auto"/>
            </w:pPr>
            <w:r/>
            <w:r>
              <w:rPr>
                <w:b w:val="0"/>
                <w:i w:val="0"/>
                <w:sz w:val="17"/>
              </w:rPr>
              <w:t>−311</w:t>
            </w:r>
          </w:p>
        </w:tc>
        <w:tc>
          <w:tcPr>
            <w:tcW w:type="dxa" w:w="1996"/>
          </w:tcPr>
          <w:p>
            <w:pPr>
              <w:spacing w:after="0" w:line="240" w:lineRule="auto"/>
            </w:pPr>
            <w:r/>
            <w:r>
              <w:rPr>
                <w:b w:val="0"/>
                <w:i w:val="0"/>
                <w:sz w:val="17"/>
              </w:rPr>
              <w:t>+134</w:t>
            </w:r>
          </w:p>
        </w:tc>
        <w:tc>
          <w:tcPr>
            <w:tcW w:type="dxa" w:w="1996"/>
          </w:tcPr>
          <w:p>
            <w:pPr>
              <w:spacing w:after="0" w:line="240" w:lineRule="auto"/>
            </w:pPr>
            <w:r/>
            <w:r>
              <w:rPr>
                <w:b w:val="0"/>
                <w:i w:val="0"/>
                <w:sz w:val="17"/>
              </w:rPr>
              <w:t>+1,903</w:t>
            </w:r>
          </w:p>
        </w:tc>
      </w:tr>
      <w:tr>
        <w:tc>
          <w:tcPr>
            <w:tcW w:type="dxa" w:w="1996"/>
            <w:shd w:val="clear" w:color="auto" w:fill="F3F5F8"/>
          </w:tcPr>
          <w:p>
            <w:pPr>
              <w:spacing w:after="0" w:line="240" w:lineRule="auto"/>
            </w:pPr>
            <w:r/>
            <w:r>
              <w:rPr>
                <w:b w:val="0"/>
                <w:i w:val="0"/>
                <w:sz w:val="17"/>
              </w:rPr>
              <w:t>T7</w:t>
            </w:r>
          </w:p>
        </w:tc>
        <w:tc>
          <w:tcPr>
            <w:tcW w:type="dxa" w:w="1996"/>
            <w:shd w:val="clear" w:color="auto" w:fill="F3F5F8"/>
          </w:tcPr>
          <w:p>
            <w:pPr>
              <w:spacing w:after="0" w:line="240" w:lineRule="auto"/>
            </w:pPr>
            <w:r/>
            <w:r>
              <w:rPr>
                <w:b w:val="0"/>
                <w:i w:val="0"/>
                <w:sz w:val="17"/>
              </w:rPr>
              <w:t>−1,323</w:t>
            </w:r>
          </w:p>
        </w:tc>
        <w:tc>
          <w:tcPr>
            <w:tcW w:type="dxa" w:w="1996"/>
            <w:shd w:val="clear" w:color="auto" w:fill="F3F5F8"/>
          </w:tcPr>
          <w:p>
            <w:pPr>
              <w:spacing w:after="0" w:line="240" w:lineRule="auto"/>
            </w:pPr>
            <w:r/>
            <w:r>
              <w:rPr>
                <w:b w:val="0"/>
                <w:i w:val="0"/>
                <w:sz w:val="17"/>
              </w:rPr>
              <w:t>+233</w:t>
            </w:r>
          </w:p>
        </w:tc>
        <w:tc>
          <w:tcPr>
            <w:tcW w:type="dxa" w:w="1996"/>
            <w:shd w:val="clear" w:color="auto" w:fill="F3F5F8"/>
          </w:tcPr>
          <w:p>
            <w:pPr>
              <w:spacing w:after="0" w:line="240" w:lineRule="auto"/>
            </w:pPr>
            <w:r/>
            <w:r>
              <w:rPr>
                <w:b w:val="0"/>
                <w:i w:val="0"/>
                <w:sz w:val="17"/>
              </w:rPr>
              <w:t>+389</w:t>
            </w:r>
          </w:p>
        </w:tc>
        <w:tc>
          <w:tcPr>
            <w:tcW w:type="dxa" w:w="1996"/>
            <w:shd w:val="clear" w:color="auto" w:fill="F3F5F8"/>
          </w:tcPr>
          <w:p>
            <w:pPr>
              <w:spacing w:after="0" w:line="240" w:lineRule="auto"/>
            </w:pPr>
            <w:r/>
            <w:r>
              <w:rPr>
                <w:b w:val="0"/>
                <w:i w:val="0"/>
                <w:sz w:val="17"/>
              </w:rPr>
              <w:t>+2,335</w:t>
            </w:r>
          </w:p>
        </w:tc>
      </w:tr>
      <w:tr>
        <w:tc>
          <w:tcPr>
            <w:tcW w:type="dxa" w:w="1996"/>
          </w:tcPr>
          <w:p>
            <w:pPr>
              <w:spacing w:after="0" w:line="240" w:lineRule="auto"/>
            </w:pPr>
            <w:r/>
            <w:r>
              <w:rPr>
                <w:b w:val="0"/>
                <w:i w:val="0"/>
                <w:sz w:val="17"/>
              </w:rPr>
              <w:t>T8</w:t>
            </w:r>
          </w:p>
        </w:tc>
        <w:tc>
          <w:tcPr>
            <w:tcW w:type="dxa" w:w="1996"/>
          </w:tcPr>
          <w:p>
            <w:pPr>
              <w:spacing w:after="0" w:line="240" w:lineRule="auto"/>
            </w:pPr>
            <w:r/>
            <w:r>
              <w:rPr>
                <w:b w:val="0"/>
                <w:i w:val="0"/>
                <w:sz w:val="17"/>
              </w:rPr>
              <w:t>−665</w:t>
            </w:r>
          </w:p>
        </w:tc>
        <w:tc>
          <w:tcPr>
            <w:tcW w:type="dxa" w:w="1996"/>
          </w:tcPr>
          <w:p>
            <w:pPr>
              <w:spacing w:after="0" w:line="240" w:lineRule="auto"/>
            </w:pPr>
            <w:r/>
            <w:r>
              <w:rPr>
                <w:b w:val="0"/>
                <w:i w:val="0"/>
                <w:sz w:val="17"/>
              </w:rPr>
              <w:t>+166</w:t>
            </w:r>
          </w:p>
        </w:tc>
        <w:tc>
          <w:tcPr>
            <w:tcW w:type="dxa" w:w="1996"/>
          </w:tcPr>
          <w:p>
            <w:pPr>
              <w:spacing w:after="0" w:line="240" w:lineRule="auto"/>
            </w:pPr>
            <w:r/>
            <w:r>
              <w:rPr>
                <w:b w:val="0"/>
                <w:i w:val="0"/>
                <w:sz w:val="17"/>
              </w:rPr>
              <w:t>+994</w:t>
            </w:r>
          </w:p>
        </w:tc>
        <w:tc>
          <w:tcPr>
            <w:tcW w:type="dxa" w:w="1996"/>
          </w:tcPr>
          <w:p>
            <w:pPr>
              <w:spacing w:after="0" w:line="240" w:lineRule="auto"/>
            </w:pPr>
            <w:r/>
            <w:r>
              <w:rPr>
                <w:b w:val="0"/>
                <w:i w:val="0"/>
                <w:sz w:val="17"/>
              </w:rPr>
              <w:t>+1,327</w:t>
            </w:r>
          </w:p>
        </w:tc>
      </w:tr>
      <w:tr>
        <w:tc>
          <w:tcPr>
            <w:tcW w:type="dxa" w:w="1996"/>
            <w:shd w:val="clear" w:color="auto" w:fill="F3F5F8"/>
          </w:tcPr>
          <w:p>
            <w:pPr>
              <w:spacing w:after="0" w:line="240" w:lineRule="auto"/>
            </w:pPr>
            <w:r/>
            <w:r>
              <w:rPr>
                <w:b w:val="0"/>
                <w:i w:val="0"/>
                <w:sz w:val="17"/>
              </w:rPr>
              <w:t>T9</w:t>
            </w:r>
          </w:p>
        </w:tc>
        <w:tc>
          <w:tcPr>
            <w:tcW w:type="dxa" w:w="1996"/>
            <w:shd w:val="clear" w:color="auto" w:fill="F3F5F8"/>
          </w:tcPr>
          <w:p>
            <w:pPr>
              <w:spacing w:after="0" w:line="240" w:lineRule="auto"/>
            </w:pPr>
            <w:r/>
            <w:r>
              <w:rPr>
                <w:b w:val="0"/>
                <w:i w:val="0"/>
                <w:sz w:val="17"/>
              </w:rPr>
              <w:t>+577</w:t>
            </w:r>
          </w:p>
        </w:tc>
        <w:tc>
          <w:tcPr>
            <w:tcW w:type="dxa" w:w="1996"/>
            <w:shd w:val="clear" w:color="auto" w:fill="F3F5F8"/>
          </w:tcPr>
          <w:p>
            <w:pPr>
              <w:spacing w:after="0" w:line="240" w:lineRule="auto"/>
            </w:pPr>
            <w:r/>
            <w:r>
              <w:rPr>
                <w:b w:val="0"/>
                <w:i w:val="0"/>
                <w:sz w:val="17"/>
              </w:rPr>
              <w:t>+202</w:t>
            </w:r>
          </w:p>
        </w:tc>
        <w:tc>
          <w:tcPr>
            <w:tcW w:type="dxa" w:w="1996"/>
            <w:shd w:val="clear" w:color="auto" w:fill="F3F5F8"/>
          </w:tcPr>
          <w:p>
            <w:pPr>
              <w:spacing w:after="0" w:line="240" w:lineRule="auto"/>
            </w:pPr>
            <w:r/>
            <w:r>
              <w:rPr>
                <w:b w:val="0"/>
                <w:i w:val="0"/>
                <w:sz w:val="17"/>
              </w:rPr>
              <w:t>+980</w:t>
            </w:r>
          </w:p>
        </w:tc>
        <w:tc>
          <w:tcPr>
            <w:tcW w:type="dxa" w:w="1996"/>
            <w:shd w:val="clear" w:color="auto" w:fill="F3F5F8"/>
          </w:tcPr>
          <w:p>
            <w:pPr>
              <w:spacing w:after="0" w:line="240" w:lineRule="auto"/>
            </w:pPr>
            <w:r/>
            <w:r>
              <w:rPr>
                <w:b w:val="0"/>
                <w:i w:val="0"/>
                <w:sz w:val="17"/>
              </w:rPr>
              <w:t>−290</w:t>
            </w:r>
          </w:p>
        </w:tc>
      </w:tr>
      <w:tr>
        <w:tc>
          <w:tcPr>
            <w:tcW w:type="dxa" w:w="1996"/>
          </w:tcPr>
          <w:p>
            <w:pPr>
              <w:spacing w:after="0" w:line="240" w:lineRule="auto"/>
            </w:pPr>
            <w:r/>
            <w:r>
              <w:rPr>
                <w:b w:val="0"/>
                <w:i w:val="0"/>
                <w:sz w:val="17"/>
              </w:rPr>
              <w:t>T10</w:t>
            </w:r>
          </w:p>
        </w:tc>
        <w:tc>
          <w:tcPr>
            <w:tcW w:type="dxa" w:w="1996"/>
          </w:tcPr>
          <w:p>
            <w:pPr>
              <w:spacing w:after="0" w:line="240" w:lineRule="auto"/>
            </w:pPr>
            <w:r/>
            <w:r>
              <w:rPr>
                <w:b w:val="0"/>
                <w:i w:val="0"/>
                <w:sz w:val="17"/>
              </w:rPr>
              <w:t>−1,327</w:t>
            </w:r>
          </w:p>
        </w:tc>
        <w:tc>
          <w:tcPr>
            <w:tcW w:type="dxa" w:w="1996"/>
          </w:tcPr>
          <w:p>
            <w:pPr>
              <w:spacing w:after="0" w:line="240" w:lineRule="auto"/>
            </w:pPr>
            <w:r/>
            <w:r>
              <w:rPr>
                <w:b w:val="0"/>
                <w:i w:val="0"/>
                <w:sz w:val="17"/>
              </w:rPr>
              <w:t>+863</w:t>
            </w:r>
          </w:p>
        </w:tc>
        <w:tc>
          <w:tcPr>
            <w:tcW w:type="dxa" w:w="1996"/>
          </w:tcPr>
          <w:p>
            <w:pPr>
              <w:spacing w:after="0" w:line="240" w:lineRule="auto"/>
            </w:pPr>
            <w:r/>
            <w:r>
              <w:rPr>
                <w:b w:val="0"/>
                <w:i w:val="0"/>
                <w:sz w:val="17"/>
              </w:rPr>
              <w:t>+863</w:t>
            </w:r>
          </w:p>
        </w:tc>
        <w:tc>
          <w:tcPr>
            <w:tcW w:type="dxa" w:w="1996"/>
          </w:tcPr>
          <w:p>
            <w:pPr>
              <w:spacing w:after="0" w:line="240" w:lineRule="auto"/>
            </w:pPr>
            <w:r/>
            <w:r>
              <w:rPr>
                <w:b w:val="0"/>
                <w:i w:val="0"/>
                <w:sz w:val="17"/>
              </w:rPr>
              <w:t>+2,094</w:t>
            </w:r>
          </w:p>
        </w:tc>
      </w:tr>
      <w:tr>
        <w:tc>
          <w:tcPr>
            <w:tcW w:type="dxa" w:w="1996"/>
            <w:shd w:val="clear" w:color="auto" w:fill="DCE4EE"/>
          </w:tcPr>
          <w:p>
            <w:pPr>
              <w:spacing w:after="0" w:line="240" w:lineRule="auto"/>
            </w:pPr>
            <w:r/>
            <w:r>
              <w:rPr>
                <w:b/>
                <w:i w:val="0"/>
                <w:sz w:val="17"/>
              </w:rPr>
              <w:t>Theme 2</w:t>
            </w:r>
          </w:p>
        </w:tc>
        <w:tc>
          <w:tcPr>
            <w:tcW w:type="dxa" w:w="1996"/>
            <w:shd w:val="clear" w:color="auto" w:fill="DCE4EE"/>
          </w:tcPr>
          <w:p>
            <w:pPr>
              <w:spacing w:after="0" w:line="240" w:lineRule="auto"/>
            </w:pPr>
            <w:r/>
            <w:r>
              <w:rPr>
                <w:b/>
                <w:i w:val="0"/>
                <w:sz w:val="17"/>
              </w:rPr>
              <w:t>−4,065</w:t>
            </w:r>
          </w:p>
        </w:tc>
        <w:tc>
          <w:tcPr>
            <w:tcW w:type="dxa" w:w="1996"/>
            <w:shd w:val="clear" w:color="auto" w:fill="DCE4EE"/>
          </w:tcPr>
          <w:p>
            <w:pPr>
              <w:spacing w:after="0" w:line="240" w:lineRule="auto"/>
            </w:pPr>
            <w:r/>
            <w:r>
              <w:rPr>
                <w:b/>
                <w:i w:val="0"/>
                <w:sz w:val="17"/>
              </w:rPr>
              <w:t>+1,153</w:t>
            </w:r>
          </w:p>
        </w:tc>
        <w:tc>
          <w:tcPr>
            <w:tcW w:type="dxa" w:w="1996"/>
            <w:shd w:val="clear" w:color="auto" w:fill="DCE4EE"/>
          </w:tcPr>
          <w:p>
            <w:pPr>
              <w:spacing w:after="0" w:line="240" w:lineRule="auto"/>
            </w:pPr>
            <w:r/>
            <w:r>
              <w:rPr>
                <w:b/>
                <w:i w:val="0"/>
                <w:sz w:val="17"/>
              </w:rPr>
              <w:t>+3,360</w:t>
            </w:r>
          </w:p>
        </w:tc>
        <w:tc>
          <w:tcPr>
            <w:tcW w:type="dxa" w:w="1996"/>
            <w:shd w:val="clear" w:color="auto" w:fill="DCE4EE"/>
          </w:tcPr>
          <w:p>
            <w:pPr>
              <w:spacing w:after="0" w:line="240" w:lineRule="auto"/>
            </w:pPr>
            <w:r/>
            <w:r>
              <w:rPr>
                <w:b/>
                <w:i w:val="0"/>
                <w:sz w:val="17"/>
              </w:rPr>
              <w:t>+7,369</w:t>
            </w:r>
          </w:p>
        </w:tc>
      </w:tr>
    </w:tbl>
    <w:p>
      <w:pPr>
        <w:spacing w:after="40"/>
      </w:pPr>
    </w:p>
    <w:p>
      <w:pPr>
        <w:pStyle w:val="ListBullet"/>
        <w:spacing w:after="40"/>
      </w:pPr>
      <w:r>
        <w:rPr>
          <w:b/>
          <w:i w:val="0"/>
        </w:rPr>
        <w:t>T6:</w:t>
      </w:r>
      <w:r>
        <w:rPr>
          <w:b w:val="0"/>
          <w:i w:val="0"/>
        </w:rPr>
        <w:t xml:space="preserve"> UK persistence shows up first in the front end (Ofgem cap, RPI mortgage interest). The target is the March high. It avoids the long end because of RPI reform risk.</w:t>
      </w:r>
    </w:p>
    <w:p>
      <w:pPr>
        <w:pStyle w:val="ListBullet"/>
        <w:spacing w:after="40"/>
      </w:pPr>
      <w:r>
        <w:rPr>
          <w:b/>
          <w:i w:val="0"/>
        </w:rPr>
        <w:t>T7:</w:t>
      </w:r>
      <w:r>
        <w:rPr>
          <w:b w:val="0"/>
          <w:i w:val="0"/>
        </w:rPr>
        <w:t xml:space="preserve"> A 2.37% breakeven against 3.8% PCE carries positively. The stop is just above the 1y low (2.16%).</w:t>
      </w:r>
    </w:p>
    <w:p>
      <w:pPr>
        <w:pStyle w:val="ListBullet"/>
        <w:spacing w:after="40"/>
      </w:pPr>
      <w:r>
        <w:rPr>
          <w:b/>
          <w:i w:val="0"/>
        </w:rPr>
        <w:t>T8:</w:t>
      </w:r>
      <w:r>
        <w:rPr>
          <w:b w:val="0"/>
          <w:i w:val="0"/>
        </w:rPr>
        <w:t xml:space="preserve"> The widest gap in the G10 (3.8% headline vs ~2.3% priced). It rests on that gap, not on domestic data. Enter at or below 2.40%; move to conviction 3 if October services print ≥ 3.3%.</w:t>
      </w:r>
    </w:p>
    <w:p>
      <w:pPr>
        <w:pStyle w:val="ListBullet"/>
        <w:spacing w:after="40"/>
      </w:pPr>
      <w:r>
        <w:rPr>
          <w:b/>
          <w:i w:val="0"/>
        </w:rPr>
        <w:t>T9:</w:t>
      </w:r>
      <w:r>
        <w:rPr>
          <w:b w:val="0"/>
          <w:i w:val="0"/>
        </w:rPr>
        <w:t xml:space="preserve"> The ECB is priced for the least persistence (~70bp of hikes vs ~113bp BoE, ~90bp Fed). It wins in A–C and loses in D, where GBP's higher beta (8.0 vs 5.8bp/day) sells off harder. The stop sits beyond the 1y range (−182 to −119bp).</w:t>
      </w:r>
    </w:p>
    <w:p>
      <w:pPr>
        <w:pStyle w:val="ListBullet"/>
        <w:spacing w:after="40"/>
      </w:pPr>
      <w:r>
        <w:rPr>
          <w:b/>
          <w:i w:val="0"/>
        </w:rPr>
        <w:t>T10:</w:t>
      </w:r>
      <w:r>
        <w:rPr>
          <w:b w:val="0"/>
          <w:i w:val="0"/>
        </w:rPr>
        <w:t xml:space="preserve"> The curve prices a fast fade: Dec-27 is ~$40 below dated Brent. If energy stays high, roll-up toward spot (~$93) is the payoff and is included as carry. It stops out in A.</w:t>
      </w:r>
    </w:p>
    <w:p>
      <w:pPr>
        <w:pStyle w:val="ListBullet"/>
        <w:spacing w:after="40"/>
      </w:pPr>
      <w:r>
        <w:rPr>
          <w:b w:val="0"/>
          <w:i/>
        </w:rPr>
        <w:t>Not traded:</w:t>
      </w:r>
      <w:r>
        <w:rPr>
          <w:b w:val="0"/>
          <w:i w:val="0"/>
        </w:rPr>
        <w:t xml:space="preserve"> NOK (EURNOK already at its 1y low, 10.71); CAD (weak despite oil, USDCAD 1.427); Japan and Canada linkers (illiquid or non-existent).</w:t>
      </w:r>
    </w:p>
    <w:p>
      <w:pPr>
        <w:pStyle w:val="ListBullet"/>
        <w:spacing w:after="40"/>
      </w:pPr>
      <w:r>
        <w:rPr>
          <w:b w:val="0"/>
          <w:i/>
        </w:rPr>
        <w:t>Sizing:</w:t>
      </w:r>
      <w:r>
        <w:rPr>
          <w:b w:val="0"/>
          <w:i w:val="0"/>
        </w:rPr>
        <w:t xml:space="preserve"> T6, T7, T8 and T10 share one factor, energy (£4.64m combined max loss). T9 is a rates spread with lower energy correlation.</w:t>
      </w:r>
    </w:p>
    <w:p>
      <w:pPr>
        <w:pStyle w:val="ListBullet"/>
        <w:spacing w:after="40"/>
      </w:pPr>
      <w:r>
        <w:rPr>
          <w:b w:val="0"/>
          <w:i/>
        </w:rPr>
        <w:t>Levels:</w:t>
      </w:r>
      <w:r>
        <w:rPr>
          <w:b w:val="0"/>
          <w:i w:val="0"/>
        </w:rPr>
        <w:t xml:space="preserve"> BoE curves (UK, 15 Oct); FRED (US, 16 Oct); ECB (EUR inflation, 9 Sep; AAA curve for the EUR 1y1y, a government curve, so the €STR swap spread may differ slightly); press settlement (Brent, 16 Oct).</w:t>
      </w:r>
    </w:p>
    <w:p>
      <w:r>
        <w:br w:type="page"/>
      </w:r>
    </w:p>
    <w:p>
      <w:pPr>
        <w:pStyle w:val="Heading1"/>
      </w:pPr>
      <w:r>
        <w:t>Theme 3: Euro area fiscal crisis, with the political risk premium rising</w:t>
      </w:r>
    </w:p>
    <w:p>
      <w:pPr>
        <w:pStyle w:val="Heading2"/>
      </w:pPr>
      <w:r>
        <w:t>Current state of the theme</w:t>
      </w:r>
    </w:p>
    <w:p>
      <w:pPr>
        <w:pStyle w:val="ListBullet"/>
        <w:spacing w:after="40"/>
      </w:pPr>
      <w:r>
        <w:rPr>
          <w:b/>
          <w:i w:val="0"/>
        </w:rPr>
        <w:t>France is the epicentre:</w:t>
      </w:r>
    </w:p>
    <w:p>
      <w:pPr>
        <w:pStyle w:val="ListBullet2"/>
        <w:spacing w:after="40"/>
      </w:pPr>
      <w:r>
        <w:rPr>
          <w:b w:val="0"/>
          <w:i w:val="0"/>
        </w:rPr>
        <w:t>OAT–Bund 10y is 137bp (16 Oct), up from 59bp a year ago. It peaked at ~147bp in early October, the widest since 2012, and France now trades wider than Italy.</w:t>
      </w:r>
    </w:p>
    <w:p>
      <w:pPr>
        <w:pStyle w:val="ListBullet2"/>
        <w:spacing w:after="40"/>
      </w:pPr>
      <w:r>
        <w:rPr>
          <w:b w:val="0"/>
          <w:i w:val="0"/>
        </w:rPr>
        <w:t>A €43–54bn 2027 consolidation faces a parliament with no stable majority: the revenue vote is on 20 Oct and the final vote ~17 Nov.</w:t>
      </w:r>
    </w:p>
    <w:p>
      <w:pPr>
        <w:pStyle w:val="ListBullet2"/>
        <w:spacing w:after="40"/>
      </w:pPr>
      <w:r>
        <w:rPr>
          <w:b w:val="0"/>
          <w:i w:val="0"/>
        </w:rPr>
        <w:t>The deficit is ~5% of GDP in 2027, and the presidential election is due in spring 2027.</w:t>
      </w:r>
    </w:p>
    <w:p>
      <w:pPr>
        <w:pStyle w:val="ListBullet"/>
        <w:spacing w:after="40"/>
      </w:pPr>
      <w:r>
        <w:rPr>
          <w:b/>
          <w:i w:val="0"/>
        </w:rPr>
        <w:t>Ratings:</w:t>
      </w:r>
      <w:r>
        <w:rPr>
          <w:b w:val="0"/>
          <w:i w:val="0"/>
        </w:rPr>
        <w:t xml:space="preserve"> Moody's Aa3 negative (review 23 Oct); S&amp;P A+ stable (review 27 Nov). Fitch warned on 9 Oct; Scope cut to A+ on 18 Sep; DBRS is on negative outlook.</w:t>
      </w:r>
    </w:p>
    <w:p>
      <w:pPr>
        <w:pStyle w:val="ListBullet"/>
        <w:spacing w:after="40"/>
      </w:pPr>
      <w:r>
        <w:rPr>
          <w:b/>
          <w:i w:val="0"/>
        </w:rPr>
        <w:t>Contagion is limited so far:</w:t>
      </w:r>
      <w:r>
        <w:rPr>
          <w:b w:val="0"/>
          <w:i w:val="0"/>
        </w:rPr>
        <w:t xml:space="preserve"> Italy is 107bp (peak 131bp on 2 Oct) and Belgium 65bp (from 55bp). Spain is flat at ~45bp. Bunds are the safe haven (10y 3.49%, 19 Oct).</w:t>
      </w:r>
    </w:p>
    <w:p>
      <w:pPr>
        <w:pStyle w:val="ListBullet"/>
        <w:spacing w:after="40"/>
      </w:pPr>
      <w:r>
        <w:rPr>
          <w:b/>
          <w:i w:val="0"/>
        </w:rPr>
        <w:t>Backdrop:</w:t>
      </w:r>
    </w:p>
    <w:p>
      <w:pPr>
        <w:pStyle w:val="ListBullet2"/>
        <w:spacing w:after="40"/>
      </w:pPr>
      <w:r>
        <w:rPr>
          <w:b w:val="0"/>
          <w:i w:val="0"/>
        </w:rPr>
        <w:t>Energy and defence spending (+0.65pp of GDP in 2026, +0.9pp in 2027) are eroding fiscal space.</w:t>
      </w:r>
    </w:p>
    <w:p>
      <w:pPr>
        <w:pStyle w:val="ListBullet2"/>
        <w:spacing w:after="40"/>
      </w:pPr>
      <w:r>
        <w:rPr>
          <w:b w:val="0"/>
          <w:i w:val="0"/>
        </w:rPr>
        <w:t>The ECB is hiking and running down its bond holdings, so private buyers absorb more supply.</w:t>
      </w:r>
    </w:p>
    <w:p>
      <w:pPr>
        <w:pStyle w:val="Heading2"/>
      </w:pPr>
      <w:r>
        <w:t>Scenarios</w:t>
      </w:r>
    </w:p>
    <w:p>
      <w:r>
        <w:rPr>
          <w:b/>
          <w:i w:val="0"/>
        </w:rPr>
        <w:t>Much of the premium rise has already happened: OAT–Bund has more than doubled in a year. The base case is a grind wider into the spring 2027 election, not a crisis. So the trades lean on relative value (France against Spain) and convexity (Bund calls), with only a small outright widener. The calls pay in a crisis and also when the energy shock fades, Theme 2's worst scenario.</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663"/>
        <w:gridCol w:w="1663"/>
        <w:gridCol w:w="1663"/>
        <w:gridCol w:w="1663"/>
        <w:gridCol w:w="1663"/>
        <w:gridCol w:w="1663"/>
      </w:tblGrid>
      <w:tr>
        <w:tc>
          <w:tcPr>
            <w:tcW w:type="dxa" w:w="1663"/>
            <w:shd w:val="clear" w:color="auto" w:fill="1F3A5F"/>
          </w:tcPr>
          <w:p>
            <w:pPr>
              <w:spacing w:after="0" w:line="240" w:lineRule="auto"/>
            </w:pPr>
            <w:r/>
            <w:r>
              <w:rPr>
                <w:b/>
                <w:i w:val="0"/>
                <w:color w:val="FFFFFF"/>
                <w:sz w:val="17"/>
              </w:rPr>
              <w:t>Scenario</w:t>
            </w:r>
          </w:p>
        </w:tc>
        <w:tc>
          <w:tcPr>
            <w:tcW w:type="dxa" w:w="1663"/>
            <w:shd w:val="clear" w:color="auto" w:fill="1F3A5F"/>
          </w:tcPr>
          <w:p>
            <w:pPr>
              <w:spacing w:after="0" w:line="240" w:lineRule="auto"/>
            </w:pPr>
            <w:r/>
            <w:r>
              <w:rPr>
                <w:b/>
                <w:i w:val="0"/>
                <w:color w:val="FFFFFF"/>
                <w:sz w:val="17"/>
              </w:rPr>
              <w:t>Prob.</w:t>
            </w:r>
          </w:p>
        </w:tc>
        <w:tc>
          <w:tcPr>
            <w:tcW w:type="dxa" w:w="1663"/>
            <w:shd w:val="clear" w:color="auto" w:fill="1F3A5F"/>
          </w:tcPr>
          <w:p>
            <w:pPr>
              <w:spacing w:after="0" w:line="240" w:lineRule="auto"/>
            </w:pPr>
            <w:r/>
            <w:r>
              <w:rPr>
                <w:b/>
                <w:i w:val="0"/>
                <w:color w:val="FFFFFF"/>
                <w:sz w:val="17"/>
              </w:rPr>
              <w:t>What happens</w:t>
            </w:r>
          </w:p>
        </w:tc>
        <w:tc>
          <w:tcPr>
            <w:tcW w:type="dxa" w:w="1663"/>
            <w:shd w:val="clear" w:color="auto" w:fill="1F3A5F"/>
          </w:tcPr>
          <w:p>
            <w:pPr>
              <w:spacing w:after="0" w:line="240" w:lineRule="auto"/>
            </w:pPr>
            <w:r/>
            <w:r>
              <w:rPr>
                <w:b/>
                <w:i w:val="0"/>
                <w:color w:val="FFFFFF"/>
                <w:sz w:val="17"/>
              </w:rPr>
              <w:t>OAT–Bund</w:t>
            </w:r>
          </w:p>
        </w:tc>
        <w:tc>
          <w:tcPr>
            <w:tcW w:type="dxa" w:w="1663"/>
            <w:shd w:val="clear" w:color="auto" w:fill="1F3A5F"/>
          </w:tcPr>
          <w:p>
            <w:pPr>
              <w:spacing w:after="0" w:line="240" w:lineRule="auto"/>
            </w:pPr>
            <w:r/>
            <w:r>
              <w:rPr>
                <w:b/>
                <w:i w:val="0"/>
                <w:color w:val="FFFFFF"/>
                <w:sz w:val="17"/>
              </w:rPr>
              <w:t>France–Spain 10y</w:t>
            </w:r>
          </w:p>
        </w:tc>
        <w:tc>
          <w:tcPr>
            <w:tcW w:type="dxa" w:w="1663"/>
            <w:shd w:val="clear" w:color="auto" w:fill="1F3A5F"/>
          </w:tcPr>
          <w:p>
            <w:pPr>
              <w:spacing w:after="0" w:line="240" w:lineRule="auto"/>
            </w:pPr>
            <w:r/>
            <w:r>
              <w:rPr>
                <w:b/>
                <w:i w:val="0"/>
                <w:color w:val="FFFFFF"/>
                <w:sz w:val="17"/>
              </w:rPr>
              <w:t>Bund 10y</w:t>
            </w:r>
          </w:p>
        </w:tc>
      </w:tr>
      <w:tr>
        <w:tc>
          <w:tcPr>
            <w:tcW w:type="dxa" w:w="1663"/>
          </w:tcPr>
          <w:p>
            <w:pPr>
              <w:spacing w:after="0" w:line="240" w:lineRule="auto"/>
            </w:pPr>
            <w:r/>
            <w:r>
              <w:rPr>
                <w:b w:val="0"/>
                <w:i w:val="0"/>
                <w:sz w:val="17"/>
              </w:rPr>
              <w:t>A. Muddle through</w:t>
            </w:r>
          </w:p>
        </w:tc>
        <w:tc>
          <w:tcPr>
            <w:tcW w:type="dxa" w:w="1663"/>
          </w:tcPr>
          <w:p>
            <w:pPr>
              <w:spacing w:after="0" w:line="240" w:lineRule="auto"/>
            </w:pPr>
            <w:r/>
            <w:r>
              <w:rPr>
                <w:b w:val="0"/>
                <w:i w:val="0"/>
                <w:sz w:val="17"/>
              </w:rPr>
              <w:t>25%</w:t>
            </w:r>
          </w:p>
        </w:tc>
        <w:tc>
          <w:tcPr>
            <w:tcW w:type="dxa" w:w="1663"/>
          </w:tcPr>
          <w:p>
            <w:pPr>
              <w:spacing w:after="0" w:line="240" w:lineRule="auto"/>
            </w:pPr>
            <w:r/>
            <w:r>
              <w:rPr>
                <w:b w:val="0"/>
                <w:i w:val="0"/>
                <w:sz w:val="17"/>
              </w:rPr>
              <w:t>Budget passes in some form; ratings hold</w:t>
            </w:r>
          </w:p>
        </w:tc>
        <w:tc>
          <w:tcPr>
            <w:tcW w:type="dxa" w:w="1663"/>
          </w:tcPr>
          <w:p>
            <w:pPr>
              <w:spacing w:after="0" w:line="240" w:lineRule="auto"/>
            </w:pPr>
            <w:r/>
            <w:r>
              <w:rPr>
                <w:b w:val="0"/>
                <w:i w:val="0"/>
                <w:sz w:val="17"/>
              </w:rPr>
              <w:t>105bp</w:t>
            </w:r>
          </w:p>
        </w:tc>
        <w:tc>
          <w:tcPr>
            <w:tcW w:type="dxa" w:w="1663"/>
          </w:tcPr>
          <w:p>
            <w:pPr>
              <w:spacing w:after="0" w:line="240" w:lineRule="auto"/>
            </w:pPr>
            <w:r/>
            <w:r>
              <w:rPr>
                <w:b w:val="0"/>
                <w:i w:val="0"/>
                <w:sz w:val="17"/>
              </w:rPr>
              <w:t>75bp</w:t>
            </w:r>
          </w:p>
        </w:tc>
        <w:tc>
          <w:tcPr>
            <w:tcW w:type="dxa" w:w="1663"/>
          </w:tcPr>
          <w:p>
            <w:pPr>
              <w:spacing w:after="0" w:line="240" w:lineRule="auto"/>
            </w:pPr>
            <w:r/>
            <w:r>
              <w:rPr>
                <w:b w:val="0"/>
                <w:i w:val="0"/>
                <w:sz w:val="17"/>
              </w:rPr>
              <w:t>3.55%</w:t>
            </w:r>
          </w:p>
        </w:tc>
      </w:tr>
      <w:tr>
        <w:tc>
          <w:tcPr>
            <w:tcW w:type="dxa" w:w="1663"/>
            <w:shd w:val="clear" w:color="auto" w:fill="F3F5F8"/>
          </w:tcPr>
          <w:p>
            <w:pPr>
              <w:spacing w:after="0" w:line="240" w:lineRule="auto"/>
            </w:pPr>
            <w:r/>
            <w:r>
              <w:rPr>
                <w:b w:val="0"/>
                <w:i w:val="0"/>
                <w:sz w:val="17"/>
              </w:rPr>
              <w:t>B. Grind wider</w:t>
            </w:r>
          </w:p>
        </w:tc>
        <w:tc>
          <w:tcPr>
            <w:tcW w:type="dxa" w:w="1663"/>
            <w:shd w:val="clear" w:color="auto" w:fill="F3F5F8"/>
          </w:tcPr>
          <w:p>
            <w:pPr>
              <w:spacing w:after="0" w:line="240" w:lineRule="auto"/>
            </w:pPr>
            <w:r/>
            <w:r>
              <w:rPr>
                <w:b w:val="0"/>
                <w:i w:val="0"/>
                <w:sz w:val="17"/>
              </w:rPr>
              <w:t>40%</w:t>
            </w:r>
          </w:p>
        </w:tc>
        <w:tc>
          <w:tcPr>
            <w:tcW w:type="dxa" w:w="1663"/>
            <w:shd w:val="clear" w:color="auto" w:fill="F3F5F8"/>
          </w:tcPr>
          <w:p>
            <w:pPr>
              <w:spacing w:after="0" w:line="240" w:lineRule="auto"/>
            </w:pPr>
            <w:r/>
            <w:r>
              <w:rPr>
                <w:b w:val="0"/>
                <w:i w:val="0"/>
                <w:sz w:val="17"/>
              </w:rPr>
              <w:t>Budget forced through or delayed; a downgrade; election premium builds</w:t>
            </w:r>
          </w:p>
        </w:tc>
        <w:tc>
          <w:tcPr>
            <w:tcW w:type="dxa" w:w="1663"/>
            <w:shd w:val="clear" w:color="auto" w:fill="F3F5F8"/>
          </w:tcPr>
          <w:p>
            <w:pPr>
              <w:spacing w:after="0" w:line="240" w:lineRule="auto"/>
            </w:pPr>
            <w:r/>
            <w:r>
              <w:rPr>
                <w:b w:val="0"/>
                <w:i w:val="0"/>
                <w:sz w:val="17"/>
              </w:rPr>
              <w:t>150bp</w:t>
            </w:r>
          </w:p>
        </w:tc>
        <w:tc>
          <w:tcPr>
            <w:tcW w:type="dxa" w:w="1663"/>
            <w:shd w:val="clear" w:color="auto" w:fill="F3F5F8"/>
          </w:tcPr>
          <w:p>
            <w:pPr>
              <w:spacing w:after="0" w:line="240" w:lineRule="auto"/>
            </w:pPr>
            <w:r/>
            <w:r>
              <w:rPr>
                <w:b w:val="0"/>
                <w:i w:val="0"/>
                <w:sz w:val="17"/>
              </w:rPr>
              <w:t>100bp</w:t>
            </w:r>
          </w:p>
        </w:tc>
        <w:tc>
          <w:tcPr>
            <w:tcW w:type="dxa" w:w="1663"/>
            <w:shd w:val="clear" w:color="auto" w:fill="F3F5F8"/>
          </w:tcPr>
          <w:p>
            <w:pPr>
              <w:spacing w:after="0" w:line="240" w:lineRule="auto"/>
            </w:pPr>
            <w:r/>
            <w:r>
              <w:rPr>
                <w:b w:val="0"/>
                <w:i w:val="0"/>
                <w:sz w:val="17"/>
              </w:rPr>
              <w:t>3.40%</w:t>
            </w:r>
          </w:p>
        </w:tc>
      </w:tr>
      <w:tr>
        <w:tc>
          <w:tcPr>
            <w:tcW w:type="dxa" w:w="1663"/>
          </w:tcPr>
          <w:p>
            <w:pPr>
              <w:spacing w:after="0" w:line="240" w:lineRule="auto"/>
            </w:pPr>
            <w:r/>
            <w:r>
              <w:rPr>
                <w:b w:val="0"/>
                <w:i w:val="0"/>
                <w:sz w:val="17"/>
              </w:rPr>
              <w:t>C. Crisis</w:t>
            </w:r>
          </w:p>
        </w:tc>
        <w:tc>
          <w:tcPr>
            <w:tcW w:type="dxa" w:w="1663"/>
          </w:tcPr>
          <w:p>
            <w:pPr>
              <w:spacing w:after="0" w:line="240" w:lineRule="auto"/>
            </w:pPr>
            <w:r/>
            <w:r>
              <w:rPr>
                <w:b w:val="0"/>
                <w:i w:val="0"/>
                <w:sz w:val="17"/>
              </w:rPr>
              <w:t>15%</w:t>
            </w:r>
          </w:p>
        </w:tc>
        <w:tc>
          <w:tcPr>
            <w:tcW w:type="dxa" w:w="1663"/>
          </w:tcPr>
          <w:p>
            <w:pPr>
              <w:spacing w:after="0" w:line="240" w:lineRule="auto"/>
            </w:pPr>
            <w:r/>
            <w:r>
              <w:rPr>
                <w:b w:val="0"/>
                <w:i w:val="0"/>
                <w:sz w:val="17"/>
              </w:rPr>
              <w:t>Government falls or budget fails; contagion to Italy and Belgium; TPI untested under an excessive-deficit procedure</w:t>
            </w:r>
          </w:p>
        </w:tc>
        <w:tc>
          <w:tcPr>
            <w:tcW w:type="dxa" w:w="1663"/>
          </w:tcPr>
          <w:p>
            <w:pPr>
              <w:spacing w:after="0" w:line="240" w:lineRule="auto"/>
            </w:pPr>
            <w:r/>
            <w:r>
              <w:rPr>
                <w:b w:val="0"/>
                <w:i w:val="0"/>
                <w:sz w:val="17"/>
              </w:rPr>
              <w:t>190bp</w:t>
            </w:r>
          </w:p>
        </w:tc>
        <w:tc>
          <w:tcPr>
            <w:tcW w:type="dxa" w:w="1663"/>
          </w:tcPr>
          <w:p>
            <w:pPr>
              <w:spacing w:after="0" w:line="240" w:lineRule="auto"/>
            </w:pPr>
            <w:r/>
            <w:r>
              <w:rPr>
                <w:b w:val="0"/>
                <w:i w:val="0"/>
                <w:sz w:val="17"/>
              </w:rPr>
              <w:t>120bp</w:t>
            </w:r>
          </w:p>
        </w:tc>
        <w:tc>
          <w:tcPr>
            <w:tcW w:type="dxa" w:w="1663"/>
          </w:tcPr>
          <w:p>
            <w:pPr>
              <w:spacing w:after="0" w:line="240" w:lineRule="auto"/>
            </w:pPr>
            <w:r/>
            <w:r>
              <w:rPr>
                <w:b w:val="0"/>
                <w:i w:val="0"/>
                <w:sz w:val="17"/>
              </w:rPr>
              <w:t>3.10%</w:t>
            </w:r>
          </w:p>
        </w:tc>
      </w:tr>
      <w:tr>
        <w:tc>
          <w:tcPr>
            <w:tcW w:type="dxa" w:w="1663"/>
            <w:shd w:val="clear" w:color="auto" w:fill="F3F5F8"/>
          </w:tcPr>
          <w:p>
            <w:pPr>
              <w:spacing w:after="0" w:line="240" w:lineRule="auto"/>
            </w:pPr>
            <w:r/>
            <w:r>
              <w:rPr>
                <w:b w:val="0"/>
                <w:i w:val="0"/>
                <w:sz w:val="17"/>
              </w:rPr>
              <w:t>D. Shock fades</w:t>
            </w:r>
          </w:p>
        </w:tc>
        <w:tc>
          <w:tcPr>
            <w:tcW w:type="dxa" w:w="1663"/>
            <w:shd w:val="clear" w:color="auto" w:fill="F3F5F8"/>
          </w:tcPr>
          <w:p>
            <w:pPr>
              <w:spacing w:after="0" w:line="240" w:lineRule="auto"/>
            </w:pPr>
            <w:r/>
            <w:r>
              <w:rPr>
                <w:b w:val="0"/>
                <w:i w:val="0"/>
                <w:sz w:val="17"/>
              </w:rPr>
              <w:t>20%</w:t>
            </w:r>
          </w:p>
        </w:tc>
        <w:tc>
          <w:tcPr>
            <w:tcW w:type="dxa" w:w="1663"/>
            <w:shd w:val="clear" w:color="auto" w:fill="F3F5F8"/>
          </w:tcPr>
          <w:p>
            <w:pPr>
              <w:spacing w:after="0" w:line="240" w:lineRule="auto"/>
            </w:pPr>
            <w:r/>
            <w:r>
              <w:rPr>
                <w:b w:val="0"/>
                <w:i w:val="0"/>
                <w:sz w:val="17"/>
              </w:rPr>
              <w:t>Energy reverses; ECB hikes priced out; spreads compress</w:t>
            </w:r>
          </w:p>
        </w:tc>
        <w:tc>
          <w:tcPr>
            <w:tcW w:type="dxa" w:w="1663"/>
            <w:shd w:val="clear" w:color="auto" w:fill="F3F5F8"/>
          </w:tcPr>
          <w:p>
            <w:pPr>
              <w:spacing w:after="0" w:line="240" w:lineRule="auto"/>
            </w:pPr>
            <w:r/>
            <w:r>
              <w:rPr>
                <w:b w:val="0"/>
                <w:i w:val="0"/>
                <w:sz w:val="17"/>
              </w:rPr>
              <w:t>95bp</w:t>
            </w:r>
          </w:p>
        </w:tc>
        <w:tc>
          <w:tcPr>
            <w:tcW w:type="dxa" w:w="1663"/>
            <w:shd w:val="clear" w:color="auto" w:fill="F3F5F8"/>
          </w:tcPr>
          <w:p>
            <w:pPr>
              <w:spacing w:after="0" w:line="240" w:lineRule="auto"/>
            </w:pPr>
            <w:r/>
            <w:r>
              <w:rPr>
                <w:b w:val="0"/>
                <w:i w:val="0"/>
                <w:sz w:val="17"/>
              </w:rPr>
              <w:t>72bp</w:t>
            </w:r>
          </w:p>
        </w:tc>
        <w:tc>
          <w:tcPr>
            <w:tcW w:type="dxa" w:w="1663"/>
            <w:shd w:val="clear" w:color="auto" w:fill="F3F5F8"/>
          </w:tcPr>
          <w:p>
            <w:pPr>
              <w:spacing w:after="0" w:line="240" w:lineRule="auto"/>
            </w:pPr>
            <w:r/>
            <w:r>
              <w:rPr>
                <w:b w:val="0"/>
                <w:i w:val="0"/>
                <w:sz w:val="17"/>
              </w:rPr>
              <w:t>3.15%</w:t>
            </w:r>
          </w:p>
        </w:tc>
      </w:tr>
    </w:tbl>
    <w:p>
      <w:pPr>
        <w:spacing w:after="40"/>
      </w:pPr>
    </w:p>
    <w:p>
      <w:pPr>
        <w:pStyle w:val="ListBullet"/>
        <w:spacing w:after="40"/>
      </w:pPr>
      <w:r>
        <w:rPr>
          <w:b w:val="0"/>
          <w:i/>
        </w:rPr>
        <w:t>Signposts:</w:t>
      </w:r>
      <w:r>
        <w:rPr>
          <w:b w:val="0"/>
          <w:i w:val="0"/>
        </w:rPr>
        <w:t xml:space="preserve"> French revenue vote (20 Oct), Moody's (23 Oct), ECB (29 Oct), final budget vote (~17 Nov), S&amp;P (27 Nov), Italian spreads, and 2027 candidate polling.</w:t>
      </w:r>
    </w:p>
    <w:p>
      <w:pPr>
        <w:pStyle w:val="Heading2"/>
      </w:pPr>
      <w:r>
        <w:t>Trades</w:t>
      </w:r>
    </w:p>
    <w:p>
      <w:r>
        <w:rPr>
          <w:b/>
          <w:i w:val="0"/>
        </w:rPr>
        <w:t>Expected P&amp;L is +£0.70m on £2.65m of max loss, with a convex profile: +£5.75m in a crisis, +£1.86m if the shock fades, +£0.20m on the grind wider and −£2.43m if France muddles through. The Bund call spread (T13) carries the theme.</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998"/>
        <w:gridCol w:w="998"/>
        <w:gridCol w:w="998"/>
        <w:gridCol w:w="998"/>
        <w:gridCol w:w="998"/>
        <w:gridCol w:w="998"/>
        <w:gridCol w:w="998"/>
        <w:gridCol w:w="998"/>
        <w:gridCol w:w="998"/>
        <w:gridCol w:w="998"/>
      </w:tblGrid>
      <w:tr>
        <w:tc>
          <w:tcPr>
            <w:tcW w:type="dxa" w:w="998"/>
            <w:shd w:val="clear" w:color="auto" w:fill="1F3A5F"/>
          </w:tcPr>
          <w:p>
            <w:pPr>
              <w:spacing w:after="0" w:line="240" w:lineRule="auto"/>
            </w:pPr>
            <w:r/>
            <w:r>
              <w:rPr>
                <w:b/>
                <w:i w:val="0"/>
                <w:color w:val="FFFFFF"/>
                <w:sz w:val="15"/>
              </w:rPr>
              <w:t>#</w:t>
            </w:r>
          </w:p>
        </w:tc>
        <w:tc>
          <w:tcPr>
            <w:tcW w:type="dxa" w:w="998"/>
            <w:shd w:val="clear" w:color="auto" w:fill="1F3A5F"/>
          </w:tcPr>
          <w:p>
            <w:pPr>
              <w:spacing w:after="0" w:line="240" w:lineRule="auto"/>
            </w:pPr>
            <w:r/>
            <w:r>
              <w:rPr>
                <w:b/>
                <w:i w:val="0"/>
                <w:color w:val="FFFFFF"/>
                <w:sz w:val="15"/>
              </w:rPr>
              <w:t>Trade</w:t>
            </w:r>
          </w:p>
        </w:tc>
        <w:tc>
          <w:tcPr>
            <w:tcW w:type="dxa" w:w="998"/>
            <w:shd w:val="clear" w:color="auto" w:fill="1F3A5F"/>
          </w:tcPr>
          <w:p>
            <w:pPr>
              <w:spacing w:after="0" w:line="240" w:lineRule="auto"/>
            </w:pPr>
            <w:r/>
            <w:r>
              <w:rPr>
                <w:b/>
                <w:i w:val="0"/>
                <w:color w:val="FFFFFF"/>
                <w:sz w:val="15"/>
              </w:rPr>
              <w:t>Entry</w:t>
            </w:r>
          </w:p>
        </w:tc>
        <w:tc>
          <w:tcPr>
            <w:tcW w:type="dxa" w:w="998"/>
            <w:shd w:val="clear" w:color="auto" w:fill="1F3A5F"/>
          </w:tcPr>
          <w:p>
            <w:pPr>
              <w:spacing w:after="0" w:line="240" w:lineRule="auto"/>
            </w:pPr>
            <w:r/>
            <w:r>
              <w:rPr>
                <w:b/>
                <w:i w:val="0"/>
                <w:color w:val="FFFFFF"/>
                <w:sz w:val="15"/>
              </w:rPr>
              <w:t>Target</w:t>
            </w:r>
          </w:p>
        </w:tc>
        <w:tc>
          <w:tcPr>
            <w:tcW w:type="dxa" w:w="998"/>
            <w:shd w:val="clear" w:color="auto" w:fill="1F3A5F"/>
          </w:tcPr>
          <w:p>
            <w:pPr>
              <w:spacing w:after="0" w:line="240" w:lineRule="auto"/>
            </w:pPr>
            <w:r/>
            <w:r>
              <w:rPr>
                <w:b/>
                <w:i w:val="0"/>
                <w:color w:val="FFFFFF"/>
                <w:sz w:val="15"/>
              </w:rPr>
              <w:t>Stop</w:t>
            </w:r>
          </w:p>
        </w:tc>
        <w:tc>
          <w:tcPr>
            <w:tcW w:type="dxa" w:w="998"/>
            <w:shd w:val="clear" w:color="auto" w:fill="1F3A5F"/>
          </w:tcPr>
          <w:p>
            <w:pPr>
              <w:spacing w:after="0" w:line="240" w:lineRule="auto"/>
            </w:pPr>
            <w:r/>
            <w:r>
              <w:rPr>
                <w:b/>
                <w:i w:val="0"/>
                <w:color w:val="FFFFFF"/>
                <w:sz w:val="15"/>
              </w:rPr>
              <w:t>R : R</w:t>
            </w:r>
          </w:p>
        </w:tc>
        <w:tc>
          <w:tcPr>
            <w:tcW w:type="dxa" w:w="998"/>
            <w:shd w:val="clear" w:color="auto" w:fill="1F3A5F"/>
          </w:tcPr>
          <w:p>
            <w:pPr>
              <w:spacing w:after="0" w:line="240" w:lineRule="auto"/>
            </w:pPr>
            <w:r/>
            <w:r>
              <w:rPr>
                <w:b/>
                <w:i w:val="0"/>
                <w:color w:val="FFFFFF"/>
                <w:sz w:val="15"/>
              </w:rPr>
              <w:t>Conv.</w:t>
            </w:r>
          </w:p>
        </w:tc>
        <w:tc>
          <w:tcPr>
            <w:tcW w:type="dxa" w:w="998"/>
            <w:shd w:val="clear" w:color="auto" w:fill="1F3A5F"/>
          </w:tcPr>
          <w:p>
            <w:pPr>
              <w:spacing w:after="0" w:line="240" w:lineRule="auto"/>
            </w:pPr>
            <w:r/>
            <w:r>
              <w:rPr>
                <w:b/>
                <w:i w:val="0"/>
                <w:color w:val="FFFFFF"/>
                <w:sz w:val="15"/>
              </w:rPr>
              <w:t>Size</w:t>
            </w:r>
          </w:p>
        </w:tc>
        <w:tc>
          <w:tcPr>
            <w:tcW w:type="dxa" w:w="998"/>
            <w:shd w:val="clear" w:color="auto" w:fill="1F3A5F"/>
          </w:tcPr>
          <w:p>
            <w:pPr>
              <w:spacing w:after="0" w:line="240" w:lineRule="auto"/>
            </w:pPr>
            <w:r/>
            <w:r>
              <w:rPr>
                <w:b/>
                <w:i w:val="0"/>
                <w:color w:val="FFFFFF"/>
                <w:sz w:val="15"/>
              </w:rPr>
              <w:t>Max loss</w:t>
            </w:r>
          </w:p>
        </w:tc>
        <w:tc>
          <w:tcPr>
            <w:tcW w:type="dxa" w:w="998"/>
            <w:shd w:val="clear" w:color="auto" w:fill="1F3A5F"/>
          </w:tcPr>
          <w:p>
            <w:pPr>
              <w:spacing w:after="0" w:line="240" w:lineRule="auto"/>
            </w:pPr>
            <w:r/>
            <w:r>
              <w:rPr>
                <w:b/>
                <w:i w:val="0"/>
                <w:color w:val="FFFFFF"/>
                <w:sz w:val="15"/>
              </w:rPr>
              <w:t>Exp. P&amp;L</w:t>
            </w:r>
          </w:p>
        </w:tc>
      </w:tr>
      <w:tr>
        <w:tc>
          <w:tcPr>
            <w:tcW w:type="dxa" w:w="998"/>
          </w:tcPr>
          <w:p>
            <w:pPr>
              <w:spacing w:after="0" w:line="240" w:lineRule="auto"/>
            </w:pPr>
            <w:r/>
            <w:r>
              <w:rPr>
                <w:b w:val="0"/>
                <w:i w:val="0"/>
                <w:sz w:val="15"/>
              </w:rPr>
              <w:t>T11</w:t>
            </w:r>
          </w:p>
        </w:tc>
        <w:tc>
          <w:tcPr>
            <w:tcW w:type="dxa" w:w="998"/>
          </w:tcPr>
          <w:p>
            <w:pPr>
              <w:spacing w:after="0" w:line="240" w:lineRule="auto"/>
            </w:pPr>
            <w:r/>
            <w:r>
              <w:rPr>
                <w:b w:val="0"/>
                <w:i w:val="0"/>
                <w:sz w:val="15"/>
              </w:rPr>
              <w:t>OAT–Bund 10y widener</w:t>
            </w:r>
          </w:p>
        </w:tc>
        <w:tc>
          <w:tcPr>
            <w:tcW w:type="dxa" w:w="998"/>
          </w:tcPr>
          <w:p>
            <w:pPr>
              <w:spacing w:after="0" w:line="240" w:lineRule="auto"/>
            </w:pPr>
            <w:r/>
            <w:r>
              <w:rPr>
                <w:b w:val="0"/>
                <w:i w:val="0"/>
                <w:sz w:val="15"/>
              </w:rPr>
              <w:t>137bp</w:t>
            </w:r>
          </w:p>
        </w:tc>
        <w:tc>
          <w:tcPr>
            <w:tcW w:type="dxa" w:w="998"/>
          </w:tcPr>
          <w:p>
            <w:pPr>
              <w:spacing w:after="0" w:line="240" w:lineRule="auto"/>
            </w:pPr>
            <w:r/>
            <w:r>
              <w:rPr>
                <w:b w:val="0"/>
                <w:i w:val="0"/>
                <w:sz w:val="15"/>
              </w:rPr>
              <w:t>175bp</w:t>
            </w:r>
          </w:p>
        </w:tc>
        <w:tc>
          <w:tcPr>
            <w:tcW w:type="dxa" w:w="998"/>
          </w:tcPr>
          <w:p>
            <w:pPr>
              <w:spacing w:after="0" w:line="240" w:lineRule="auto"/>
            </w:pPr>
            <w:r/>
            <w:r>
              <w:rPr>
                <w:b w:val="0"/>
                <w:i w:val="0"/>
                <w:sz w:val="15"/>
              </w:rPr>
              <w:t>118bp</w:t>
            </w:r>
          </w:p>
        </w:tc>
        <w:tc>
          <w:tcPr>
            <w:tcW w:type="dxa" w:w="998"/>
          </w:tcPr>
          <w:p>
            <w:pPr>
              <w:spacing w:after="0" w:line="240" w:lineRule="auto"/>
            </w:pPr>
            <w:r/>
            <w:r>
              <w:rPr>
                <w:b w:val="0"/>
                <w:i w:val="0"/>
                <w:sz w:val="15"/>
              </w:rPr>
              <w:t>2.0x</w:t>
            </w:r>
          </w:p>
        </w:tc>
        <w:tc>
          <w:tcPr>
            <w:tcW w:type="dxa" w:w="998"/>
          </w:tcPr>
          <w:p>
            <w:pPr>
              <w:spacing w:after="0" w:line="240" w:lineRule="auto"/>
            </w:pPr>
            <w:r/>
            <w:r>
              <w:rPr>
                <w:b w:val="0"/>
                <w:i w:val="0"/>
                <w:sz w:val="15"/>
              </w:rPr>
              <w:t>2</w:t>
            </w:r>
          </w:p>
        </w:tc>
        <w:tc>
          <w:tcPr>
            <w:tcW w:type="dxa" w:w="998"/>
          </w:tcPr>
          <w:p>
            <w:pPr>
              <w:spacing w:after="0" w:line="240" w:lineRule="auto"/>
            </w:pPr>
            <w:r/>
            <w:r>
              <w:rPr>
                <w:b w:val="0"/>
                <w:i w:val="0"/>
                <w:sz w:val="15"/>
              </w:rPr>
              <w:t>£35k/bp</w:t>
            </w:r>
          </w:p>
        </w:tc>
        <w:tc>
          <w:tcPr>
            <w:tcW w:type="dxa" w:w="998"/>
          </w:tcPr>
          <w:p>
            <w:pPr>
              <w:spacing w:after="0" w:line="240" w:lineRule="auto"/>
            </w:pPr>
            <w:r/>
            <w:r>
              <w:rPr>
                <w:b w:val="0"/>
                <w:i w:val="0"/>
                <w:sz w:val="15"/>
              </w:rPr>
              <w:t>£663k</w:t>
            </w:r>
          </w:p>
        </w:tc>
        <w:tc>
          <w:tcPr>
            <w:tcW w:type="dxa" w:w="998"/>
          </w:tcPr>
          <w:p>
            <w:pPr>
              <w:spacing w:after="0" w:line="240" w:lineRule="auto"/>
            </w:pPr>
            <w:r/>
            <w:r>
              <w:rPr>
                <w:b w:val="0"/>
                <w:i w:val="0"/>
                <w:sz w:val="15"/>
              </w:rPr>
              <w:t>+£81k</w:t>
            </w:r>
          </w:p>
        </w:tc>
      </w:tr>
      <w:tr>
        <w:tc>
          <w:tcPr>
            <w:tcW w:type="dxa" w:w="998"/>
            <w:shd w:val="clear" w:color="auto" w:fill="F3F5F8"/>
          </w:tcPr>
          <w:p>
            <w:pPr>
              <w:spacing w:after="0" w:line="240" w:lineRule="auto"/>
            </w:pPr>
            <w:r/>
            <w:r>
              <w:rPr>
                <w:b w:val="0"/>
                <w:i w:val="0"/>
                <w:sz w:val="15"/>
              </w:rPr>
              <w:t>T12</w:t>
            </w:r>
          </w:p>
        </w:tc>
        <w:tc>
          <w:tcPr>
            <w:tcW w:type="dxa" w:w="998"/>
            <w:shd w:val="clear" w:color="auto" w:fill="F3F5F8"/>
          </w:tcPr>
          <w:p>
            <w:pPr>
              <w:spacing w:after="0" w:line="240" w:lineRule="auto"/>
            </w:pPr>
            <w:r/>
            <w:r>
              <w:rPr>
                <w:b w:val="0"/>
                <w:i w:val="0"/>
                <w:sz w:val="15"/>
              </w:rPr>
              <w:t>Short 10y OAT vs long 10y Bonos (DV01-neutral)</w:t>
            </w:r>
          </w:p>
        </w:tc>
        <w:tc>
          <w:tcPr>
            <w:tcW w:type="dxa" w:w="998"/>
            <w:shd w:val="clear" w:color="auto" w:fill="F3F5F8"/>
          </w:tcPr>
          <w:p>
            <w:pPr>
              <w:spacing w:after="0" w:line="240" w:lineRule="auto"/>
            </w:pPr>
            <w:r/>
            <w:r>
              <w:rPr>
                <w:b w:val="0"/>
                <w:i w:val="0"/>
                <w:sz w:val="15"/>
              </w:rPr>
              <w:t>~85bp</w:t>
            </w:r>
          </w:p>
        </w:tc>
        <w:tc>
          <w:tcPr>
            <w:tcW w:type="dxa" w:w="998"/>
            <w:shd w:val="clear" w:color="auto" w:fill="F3F5F8"/>
          </w:tcPr>
          <w:p>
            <w:pPr>
              <w:spacing w:after="0" w:line="240" w:lineRule="auto"/>
            </w:pPr>
            <w:r/>
            <w:r>
              <w:rPr>
                <w:b w:val="0"/>
                <w:i w:val="0"/>
                <w:sz w:val="15"/>
              </w:rPr>
              <w:t>115bp</w:t>
            </w:r>
          </w:p>
        </w:tc>
        <w:tc>
          <w:tcPr>
            <w:tcW w:type="dxa" w:w="998"/>
            <w:shd w:val="clear" w:color="auto" w:fill="F3F5F8"/>
          </w:tcPr>
          <w:p>
            <w:pPr>
              <w:spacing w:after="0" w:line="240" w:lineRule="auto"/>
            </w:pPr>
            <w:r/>
            <w:r>
              <w:rPr>
                <w:b w:val="0"/>
                <w:i w:val="0"/>
                <w:sz w:val="15"/>
              </w:rPr>
              <w:t>70bp</w:t>
            </w:r>
          </w:p>
        </w:tc>
        <w:tc>
          <w:tcPr>
            <w:tcW w:type="dxa" w:w="998"/>
            <w:shd w:val="clear" w:color="auto" w:fill="F3F5F8"/>
          </w:tcPr>
          <w:p>
            <w:pPr>
              <w:spacing w:after="0" w:line="240" w:lineRule="auto"/>
            </w:pPr>
            <w:r/>
            <w:r>
              <w:rPr>
                <w:b w:val="0"/>
                <w:i w:val="0"/>
                <w:sz w:val="15"/>
              </w:rPr>
              <w:t>2.0x</w:t>
            </w:r>
          </w:p>
        </w:tc>
        <w:tc>
          <w:tcPr>
            <w:tcW w:type="dxa" w:w="998"/>
            <w:shd w:val="clear" w:color="auto" w:fill="F3F5F8"/>
          </w:tcPr>
          <w:p>
            <w:pPr>
              <w:spacing w:after="0" w:line="240" w:lineRule="auto"/>
            </w:pPr>
            <w:r/>
            <w:r>
              <w:rPr>
                <w:b w:val="0"/>
                <w:i w:val="0"/>
                <w:sz w:val="15"/>
              </w:rPr>
              <w:t>2</w:t>
            </w:r>
          </w:p>
        </w:tc>
        <w:tc>
          <w:tcPr>
            <w:tcW w:type="dxa" w:w="998"/>
            <w:shd w:val="clear" w:color="auto" w:fill="F3F5F8"/>
          </w:tcPr>
          <w:p>
            <w:pPr>
              <w:spacing w:after="0" w:line="240" w:lineRule="auto"/>
            </w:pPr>
            <w:r/>
            <w:r>
              <w:rPr>
                <w:b w:val="0"/>
                <w:i w:val="0"/>
                <w:sz w:val="15"/>
              </w:rPr>
              <w:t>£44k/bp</w:t>
            </w:r>
          </w:p>
        </w:tc>
        <w:tc>
          <w:tcPr>
            <w:tcW w:type="dxa" w:w="998"/>
            <w:shd w:val="clear" w:color="auto" w:fill="F3F5F8"/>
          </w:tcPr>
          <w:p>
            <w:pPr>
              <w:spacing w:after="0" w:line="240" w:lineRule="auto"/>
            </w:pPr>
            <w:r/>
            <w:r>
              <w:rPr>
                <w:b w:val="0"/>
                <w:i w:val="0"/>
                <w:sz w:val="15"/>
              </w:rPr>
              <w:t>£663k</w:t>
            </w:r>
          </w:p>
        </w:tc>
        <w:tc>
          <w:tcPr>
            <w:tcW w:type="dxa" w:w="998"/>
            <w:shd w:val="clear" w:color="auto" w:fill="F3F5F8"/>
          </w:tcPr>
          <w:p>
            <w:pPr>
              <w:spacing w:after="0" w:line="240" w:lineRule="auto"/>
            </w:pPr>
            <w:r/>
            <w:r>
              <w:rPr>
                <w:b w:val="0"/>
                <w:i w:val="0"/>
                <w:sz w:val="15"/>
              </w:rPr>
              <w:t>+£240k</w:t>
            </w:r>
          </w:p>
        </w:tc>
      </w:tr>
      <w:tr>
        <w:tc>
          <w:tcPr>
            <w:tcW w:type="dxa" w:w="998"/>
          </w:tcPr>
          <w:p>
            <w:pPr>
              <w:spacing w:after="0" w:line="240" w:lineRule="auto"/>
            </w:pPr>
            <w:r/>
            <w:r>
              <w:rPr>
                <w:b w:val="0"/>
                <w:i w:val="0"/>
                <w:sz w:val="15"/>
              </w:rPr>
              <w:t>T13</w:t>
            </w:r>
          </w:p>
        </w:tc>
        <w:tc>
          <w:tcPr>
            <w:tcW w:type="dxa" w:w="998"/>
          </w:tcPr>
          <w:p>
            <w:pPr>
              <w:spacing w:after="0" w:line="240" w:lineRule="auto"/>
            </w:pPr>
            <w:r/>
            <w:r>
              <w:rPr>
                <w:b w:val="0"/>
                <w:i w:val="0"/>
                <w:sz w:val="15"/>
              </w:rPr>
              <w:t>6m Bund future call spread (≈ 3.42% / 3.20% yield)</w:t>
            </w:r>
          </w:p>
        </w:tc>
        <w:tc>
          <w:tcPr>
            <w:tcW w:type="dxa" w:w="998"/>
          </w:tcPr>
          <w:p>
            <w:pPr>
              <w:spacing w:after="0" w:line="240" w:lineRule="auto"/>
            </w:pPr>
            <w:r/>
            <w:r>
              <w:rPr>
                <w:b w:val="0"/>
                <w:i w:val="0"/>
                <w:sz w:val="15"/>
              </w:rPr>
              <w:t>Premium ≤ 30% of max payout</w:t>
            </w:r>
          </w:p>
        </w:tc>
        <w:tc>
          <w:tcPr>
            <w:tcW w:type="dxa" w:w="998"/>
          </w:tcPr>
          <w:p>
            <w:pPr>
              <w:spacing w:after="0" w:line="240" w:lineRule="auto"/>
            </w:pPr>
            <w:r/>
            <w:r>
              <w:rPr>
                <w:b w:val="0"/>
                <w:i w:val="0"/>
                <w:sz w:val="15"/>
              </w:rPr>
              <w:t>Max payout £4.42m</w:t>
            </w:r>
          </w:p>
        </w:tc>
        <w:tc>
          <w:tcPr>
            <w:tcW w:type="dxa" w:w="998"/>
          </w:tcPr>
          <w:p>
            <w:pPr>
              <w:spacing w:after="0" w:line="240" w:lineRule="auto"/>
            </w:pPr>
            <w:r/>
            <w:r>
              <w:rPr>
                <w:b w:val="0"/>
                <w:i w:val="0"/>
                <w:sz w:val="15"/>
              </w:rPr>
              <w:t>Premium</w:t>
            </w:r>
          </w:p>
        </w:tc>
        <w:tc>
          <w:tcPr>
            <w:tcW w:type="dxa" w:w="998"/>
          </w:tcPr>
          <w:p>
            <w:pPr>
              <w:spacing w:after="0" w:line="240" w:lineRule="auto"/>
            </w:pPr>
            <w:r/>
            <w:r>
              <w:rPr>
                <w:b w:val="0"/>
                <w:i w:val="0"/>
                <w:sz w:val="15"/>
              </w:rPr>
              <w:t>≥ 2.3x</w:t>
            </w:r>
          </w:p>
        </w:tc>
        <w:tc>
          <w:tcPr>
            <w:tcW w:type="dxa" w:w="998"/>
          </w:tcPr>
          <w:p>
            <w:pPr>
              <w:spacing w:after="0" w:line="240" w:lineRule="auto"/>
            </w:pPr>
            <w:r/>
            <w:r>
              <w:rPr>
                <w:b w:val="0"/>
                <w:i w:val="0"/>
                <w:sz w:val="15"/>
              </w:rPr>
              <w:t>3</w:t>
            </w:r>
          </w:p>
        </w:tc>
        <w:tc>
          <w:tcPr>
            <w:tcW w:type="dxa" w:w="998"/>
          </w:tcPr>
          <w:p>
            <w:pPr>
              <w:spacing w:after="0" w:line="240" w:lineRule="auto"/>
            </w:pPr>
            <w:r/>
            <w:r>
              <w:rPr>
                <w:b w:val="0"/>
                <w:i w:val="0"/>
                <w:sz w:val="15"/>
              </w:rPr>
              <w:t>£1.33m premium</w:t>
            </w:r>
          </w:p>
        </w:tc>
        <w:tc>
          <w:tcPr>
            <w:tcW w:type="dxa" w:w="998"/>
          </w:tcPr>
          <w:p>
            <w:pPr>
              <w:spacing w:after="0" w:line="240" w:lineRule="auto"/>
            </w:pPr>
            <w:r/>
            <w:r>
              <w:rPr>
                <w:b w:val="0"/>
                <w:i w:val="0"/>
                <w:sz w:val="15"/>
              </w:rPr>
              <w:t>£1.33m</w:t>
            </w:r>
          </w:p>
        </w:tc>
        <w:tc>
          <w:tcPr>
            <w:tcW w:type="dxa" w:w="998"/>
          </w:tcPr>
          <w:p>
            <w:pPr>
              <w:spacing w:after="0" w:line="240" w:lineRule="auto"/>
            </w:pPr>
            <w:r/>
            <w:r>
              <w:rPr>
                <w:b w:val="0"/>
                <w:i w:val="0"/>
                <w:sz w:val="15"/>
              </w:rPr>
              <w:t>+£382k</w:t>
            </w:r>
          </w:p>
        </w:tc>
      </w:tr>
      <w:tr>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Total</w:t>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£2.65m</w:t>
            </w:r>
          </w:p>
        </w:tc>
        <w:tc>
          <w:tcPr>
            <w:tcW w:type="dxa" w:w="998"/>
            <w:shd w:val="clear" w:color="auto" w:fill="DCE4EE"/>
          </w:tcPr>
          <w:p>
            <w:pPr>
              <w:spacing w:after="0" w:line="240" w:lineRule="auto"/>
            </w:pPr>
            <w:r/>
            <w:r>
              <w:rPr>
                <w:b/>
                <w:i w:val="0"/>
                <w:sz w:val="15"/>
              </w:rPr>
              <w:t>+£703k</w:t>
            </w:r>
          </w:p>
        </w:tc>
      </w:tr>
    </w:tbl>
    <w:p>
      <w:pPr>
        <w:spacing w:after="40"/>
      </w:pP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996"/>
        <w:gridCol w:w="1996"/>
        <w:gridCol w:w="1996"/>
        <w:gridCol w:w="1996"/>
        <w:gridCol w:w="1996"/>
      </w:tblGrid>
      <w:tr>
        <w:tc>
          <w:tcPr>
            <w:tcW w:type="dxa" w:w="1996"/>
            <w:shd w:val="clear" w:color="auto" w:fill="1F3A5F"/>
          </w:tcPr>
          <w:p>
            <w:pPr>
              <w:spacing w:after="0" w:line="240" w:lineRule="auto"/>
            </w:pPr>
            <w:r/>
            <w:r>
              <w:rPr>
                <w:b/>
                <w:i w:val="0"/>
                <w:color w:val="FFFFFF"/>
                <w:sz w:val="17"/>
              </w:rPr>
              <w:t>P&amp;L by scenario (£k)</w:t>
            </w:r>
          </w:p>
        </w:tc>
        <w:tc>
          <w:tcPr>
            <w:tcW w:type="dxa" w:w="1996"/>
            <w:shd w:val="clear" w:color="auto" w:fill="1F3A5F"/>
          </w:tcPr>
          <w:p>
            <w:pPr>
              <w:spacing w:after="0" w:line="240" w:lineRule="auto"/>
            </w:pPr>
            <w:r/>
            <w:r>
              <w:rPr>
                <w:b/>
                <w:i w:val="0"/>
                <w:color w:val="FFFFFF"/>
                <w:sz w:val="17"/>
              </w:rPr>
              <w:t>A (25%)</w:t>
            </w:r>
          </w:p>
        </w:tc>
        <w:tc>
          <w:tcPr>
            <w:tcW w:type="dxa" w:w="1996"/>
            <w:shd w:val="clear" w:color="auto" w:fill="1F3A5F"/>
          </w:tcPr>
          <w:p>
            <w:pPr>
              <w:spacing w:after="0" w:line="240" w:lineRule="auto"/>
            </w:pPr>
            <w:r/>
            <w:r>
              <w:rPr>
                <w:b/>
                <w:i w:val="0"/>
                <w:color w:val="FFFFFF"/>
                <w:sz w:val="17"/>
              </w:rPr>
              <w:t>B (40%)</w:t>
            </w:r>
          </w:p>
        </w:tc>
        <w:tc>
          <w:tcPr>
            <w:tcW w:type="dxa" w:w="1996"/>
            <w:shd w:val="clear" w:color="auto" w:fill="1F3A5F"/>
          </w:tcPr>
          <w:p>
            <w:pPr>
              <w:spacing w:after="0" w:line="240" w:lineRule="auto"/>
            </w:pPr>
            <w:r/>
            <w:r>
              <w:rPr>
                <w:b/>
                <w:i w:val="0"/>
                <w:color w:val="FFFFFF"/>
                <w:sz w:val="17"/>
              </w:rPr>
              <w:t>C (15%)</w:t>
            </w:r>
          </w:p>
        </w:tc>
        <w:tc>
          <w:tcPr>
            <w:tcW w:type="dxa" w:w="1996"/>
            <w:shd w:val="clear" w:color="auto" w:fill="1F3A5F"/>
          </w:tcPr>
          <w:p>
            <w:pPr>
              <w:spacing w:after="0" w:line="240" w:lineRule="auto"/>
            </w:pPr>
            <w:r/>
            <w:r>
              <w:rPr>
                <w:b/>
                <w:i w:val="0"/>
                <w:color w:val="FFFFFF"/>
                <w:sz w:val="17"/>
              </w:rPr>
              <w:t>D (20%)</w:t>
            </w:r>
          </w:p>
        </w:tc>
      </w:tr>
      <w:tr>
        <w:tc>
          <w:tcPr>
            <w:tcW w:type="dxa" w:w="1996"/>
          </w:tcPr>
          <w:p>
            <w:pPr>
              <w:spacing w:after="0" w:line="240" w:lineRule="auto"/>
            </w:pPr>
            <w:r/>
            <w:r>
              <w:rPr>
                <w:b w:val="0"/>
                <w:i w:val="0"/>
                <w:sz w:val="17"/>
              </w:rPr>
              <w:t>T11</w:t>
            </w:r>
          </w:p>
        </w:tc>
        <w:tc>
          <w:tcPr>
            <w:tcW w:type="dxa" w:w="1996"/>
          </w:tcPr>
          <w:p>
            <w:pPr>
              <w:spacing w:after="0" w:line="240" w:lineRule="auto"/>
            </w:pPr>
            <w:r/>
            <w:r>
              <w:rPr>
                <w:b w:val="0"/>
                <w:i w:val="0"/>
                <w:sz w:val="17"/>
              </w:rPr>
              <w:t>−665</w:t>
            </w:r>
          </w:p>
        </w:tc>
        <w:tc>
          <w:tcPr>
            <w:tcW w:type="dxa" w:w="1996"/>
          </w:tcPr>
          <w:p>
            <w:pPr>
              <w:spacing w:after="0" w:line="240" w:lineRule="auto"/>
            </w:pPr>
            <w:r/>
            <w:r>
              <w:rPr>
                <w:b w:val="0"/>
                <w:i w:val="0"/>
                <w:sz w:val="17"/>
              </w:rPr>
              <w:t>+453</w:t>
            </w:r>
          </w:p>
        </w:tc>
        <w:tc>
          <w:tcPr>
            <w:tcW w:type="dxa" w:w="1996"/>
          </w:tcPr>
          <w:p>
            <w:pPr>
              <w:spacing w:after="0" w:line="240" w:lineRule="auto"/>
            </w:pPr>
            <w:r/>
            <w:r>
              <w:rPr>
                <w:b w:val="0"/>
                <w:i w:val="0"/>
                <w:sz w:val="17"/>
              </w:rPr>
              <w:t>+1,327</w:t>
            </w:r>
          </w:p>
        </w:tc>
        <w:tc>
          <w:tcPr>
            <w:tcW w:type="dxa" w:w="1996"/>
          </w:tcPr>
          <w:p>
            <w:pPr>
              <w:spacing w:after="0" w:line="240" w:lineRule="auto"/>
            </w:pPr>
            <w:r/>
            <w:r>
              <w:rPr>
                <w:b w:val="0"/>
                <w:i w:val="0"/>
                <w:sz w:val="17"/>
              </w:rPr>
              <w:t>−665</w:t>
            </w:r>
          </w:p>
        </w:tc>
      </w:tr>
      <w:tr>
        <w:tc>
          <w:tcPr>
            <w:tcW w:type="dxa" w:w="1996"/>
            <w:shd w:val="clear" w:color="auto" w:fill="F3F5F8"/>
          </w:tcPr>
          <w:p>
            <w:pPr>
              <w:spacing w:after="0" w:line="240" w:lineRule="auto"/>
            </w:pPr>
            <w:r/>
            <w:r>
              <w:rPr>
                <w:b w:val="0"/>
                <w:i w:val="0"/>
                <w:sz w:val="17"/>
              </w:rPr>
              <w:t>T12</w:t>
            </w:r>
          </w:p>
        </w:tc>
        <w:tc>
          <w:tcPr>
            <w:tcW w:type="dxa" w:w="1996"/>
            <w:shd w:val="clear" w:color="auto" w:fill="F3F5F8"/>
          </w:tcPr>
          <w:p>
            <w:pPr>
              <w:spacing w:after="0" w:line="240" w:lineRule="auto"/>
            </w:pPr>
            <w:r/>
            <w:r>
              <w:rPr>
                <w:b w:val="0"/>
                <w:i w:val="0"/>
                <w:sz w:val="17"/>
              </w:rPr>
              <w:t>−442</w:t>
            </w:r>
          </w:p>
        </w:tc>
        <w:tc>
          <w:tcPr>
            <w:tcW w:type="dxa" w:w="1996"/>
            <w:shd w:val="clear" w:color="auto" w:fill="F3F5F8"/>
          </w:tcPr>
          <w:p>
            <w:pPr>
              <w:spacing w:after="0" w:line="240" w:lineRule="auto"/>
            </w:pPr>
            <w:r/>
            <w:r>
              <w:rPr>
                <w:b w:val="0"/>
                <w:i w:val="0"/>
                <w:sz w:val="17"/>
              </w:rPr>
              <w:t>+665</w:t>
            </w:r>
          </w:p>
        </w:tc>
        <w:tc>
          <w:tcPr>
            <w:tcW w:type="dxa" w:w="1996"/>
            <w:shd w:val="clear" w:color="auto" w:fill="F3F5F8"/>
          </w:tcPr>
          <w:p>
            <w:pPr>
              <w:spacing w:after="0" w:line="240" w:lineRule="auto"/>
            </w:pPr>
            <w:r/>
            <w:r>
              <w:rPr>
                <w:b w:val="0"/>
                <w:i w:val="0"/>
                <w:sz w:val="17"/>
              </w:rPr>
              <w:t>+1,327</w:t>
            </w:r>
          </w:p>
        </w:tc>
        <w:tc>
          <w:tcPr>
            <w:tcW w:type="dxa" w:w="1996"/>
            <w:shd w:val="clear" w:color="auto" w:fill="F3F5F8"/>
          </w:tcPr>
          <w:p>
            <w:pPr>
              <w:spacing w:after="0" w:line="240" w:lineRule="auto"/>
            </w:pPr>
            <w:r/>
            <w:r>
              <w:rPr>
                <w:b w:val="0"/>
                <w:i w:val="0"/>
                <w:sz w:val="17"/>
              </w:rPr>
              <w:t>−573</w:t>
            </w:r>
          </w:p>
        </w:tc>
      </w:tr>
      <w:tr>
        <w:tc>
          <w:tcPr>
            <w:tcW w:type="dxa" w:w="1996"/>
          </w:tcPr>
          <w:p>
            <w:pPr>
              <w:spacing w:after="0" w:line="240" w:lineRule="auto"/>
            </w:pPr>
            <w:r/>
            <w:r>
              <w:rPr>
                <w:b w:val="0"/>
                <w:i w:val="0"/>
                <w:sz w:val="17"/>
              </w:rPr>
              <w:t>T13</w:t>
            </w:r>
          </w:p>
        </w:tc>
        <w:tc>
          <w:tcPr>
            <w:tcW w:type="dxa" w:w="1996"/>
          </w:tcPr>
          <w:p>
            <w:pPr>
              <w:spacing w:after="0" w:line="240" w:lineRule="auto"/>
            </w:pPr>
            <w:r/>
            <w:r>
              <w:rPr>
                <w:b w:val="0"/>
                <w:i w:val="0"/>
                <w:sz w:val="17"/>
              </w:rPr>
              <w:t>−1,327</w:t>
            </w:r>
          </w:p>
        </w:tc>
        <w:tc>
          <w:tcPr>
            <w:tcW w:type="dxa" w:w="1996"/>
          </w:tcPr>
          <w:p>
            <w:pPr>
              <w:spacing w:after="0" w:line="240" w:lineRule="auto"/>
            </w:pPr>
            <w:r/>
            <w:r>
              <w:rPr>
                <w:b w:val="0"/>
                <w:i w:val="0"/>
                <w:sz w:val="17"/>
              </w:rPr>
              <w:t>−923</w:t>
            </w:r>
          </w:p>
        </w:tc>
        <w:tc>
          <w:tcPr>
            <w:tcW w:type="dxa" w:w="1996"/>
          </w:tcPr>
          <w:p>
            <w:pPr>
              <w:spacing w:after="0" w:line="240" w:lineRule="auto"/>
            </w:pPr>
            <w:r/>
            <w:r>
              <w:rPr>
                <w:b w:val="0"/>
                <w:i w:val="0"/>
                <w:sz w:val="17"/>
              </w:rPr>
              <w:t>+3,096</w:t>
            </w:r>
          </w:p>
        </w:tc>
        <w:tc>
          <w:tcPr>
            <w:tcW w:type="dxa" w:w="1996"/>
          </w:tcPr>
          <w:p>
            <w:pPr>
              <w:spacing w:after="0" w:line="240" w:lineRule="auto"/>
            </w:pPr>
            <w:r/>
            <w:r>
              <w:rPr>
                <w:b w:val="0"/>
                <w:i w:val="0"/>
                <w:sz w:val="17"/>
              </w:rPr>
              <w:t>+3,096</w:t>
            </w:r>
          </w:p>
        </w:tc>
      </w:tr>
      <w:tr>
        <w:tc>
          <w:tcPr>
            <w:tcW w:type="dxa" w:w="1996"/>
            <w:shd w:val="clear" w:color="auto" w:fill="DCE4EE"/>
          </w:tcPr>
          <w:p>
            <w:pPr>
              <w:spacing w:after="0" w:line="240" w:lineRule="auto"/>
            </w:pPr>
            <w:r/>
            <w:r>
              <w:rPr>
                <w:b/>
                <w:i w:val="0"/>
                <w:sz w:val="17"/>
              </w:rPr>
              <w:t>Theme 3</w:t>
            </w:r>
          </w:p>
        </w:tc>
        <w:tc>
          <w:tcPr>
            <w:tcW w:type="dxa" w:w="1996"/>
            <w:shd w:val="clear" w:color="auto" w:fill="DCE4EE"/>
          </w:tcPr>
          <w:p>
            <w:pPr>
              <w:spacing w:after="0" w:line="240" w:lineRule="auto"/>
            </w:pPr>
            <w:r/>
            <w:r>
              <w:rPr>
                <w:b/>
                <w:i w:val="0"/>
                <w:sz w:val="17"/>
              </w:rPr>
              <w:t>−2,434</w:t>
            </w:r>
          </w:p>
        </w:tc>
        <w:tc>
          <w:tcPr>
            <w:tcW w:type="dxa" w:w="1996"/>
            <w:shd w:val="clear" w:color="auto" w:fill="DCE4EE"/>
          </w:tcPr>
          <w:p>
            <w:pPr>
              <w:spacing w:after="0" w:line="240" w:lineRule="auto"/>
            </w:pPr>
            <w:r/>
            <w:r>
              <w:rPr>
                <w:b/>
                <w:i w:val="0"/>
                <w:sz w:val="17"/>
              </w:rPr>
              <w:t>+195</w:t>
            </w:r>
          </w:p>
        </w:tc>
        <w:tc>
          <w:tcPr>
            <w:tcW w:type="dxa" w:w="1996"/>
            <w:shd w:val="clear" w:color="auto" w:fill="DCE4EE"/>
          </w:tcPr>
          <w:p>
            <w:pPr>
              <w:spacing w:after="0" w:line="240" w:lineRule="auto"/>
            </w:pPr>
            <w:r/>
            <w:r>
              <w:rPr>
                <w:b/>
                <w:i w:val="0"/>
                <w:sz w:val="17"/>
              </w:rPr>
              <w:t>+5,750</w:t>
            </w:r>
          </w:p>
        </w:tc>
        <w:tc>
          <w:tcPr>
            <w:tcW w:type="dxa" w:w="1996"/>
            <w:shd w:val="clear" w:color="auto" w:fill="DCE4EE"/>
          </w:tcPr>
          <w:p>
            <w:pPr>
              <w:spacing w:after="0" w:line="240" w:lineRule="auto"/>
            </w:pPr>
            <w:r/>
            <w:r>
              <w:rPr>
                <w:b/>
                <w:i w:val="0"/>
                <w:sz w:val="17"/>
              </w:rPr>
              <w:t>+1,858</w:t>
            </w:r>
          </w:p>
        </w:tc>
      </w:tr>
    </w:tbl>
    <w:p>
      <w:pPr>
        <w:spacing w:after="40"/>
      </w:pPr>
    </w:p>
    <w:p>
      <w:pPr>
        <w:pStyle w:val="ListBullet"/>
        <w:spacing w:after="40"/>
      </w:pPr>
      <w:r>
        <w:rPr>
          <w:b/>
          <w:i w:val="0"/>
        </w:rPr>
        <w:t>T11:</w:t>
      </w:r>
      <w:r>
        <w:rPr>
          <w:b w:val="0"/>
          <w:i w:val="0"/>
        </w:rPr>
        <w:t xml:space="preserve"> The direct expression, kept small because the spread is near its highs. Add on any retracement towards 120bp before the ratings reviews.</w:t>
      </w:r>
    </w:p>
    <w:p>
      <w:pPr>
        <w:pStyle w:val="ListBullet"/>
        <w:spacing w:after="40"/>
      </w:pPr>
      <w:r>
        <w:rPr>
          <w:b/>
          <w:i w:val="0"/>
        </w:rPr>
        <w:t>T12:</w:t>
      </w:r>
      <w:r>
        <w:rPr>
          <w:b w:val="0"/>
          <w:i w:val="0"/>
        </w:rPr>
        <w:t xml:space="preserve"> Isolates the French premium from contagion and the Bund bid; Spain has held at ~45bp while France doubled. The entry is estimated from ECB September averages plus October moves.</w:t>
      </w:r>
    </w:p>
    <w:p>
      <w:pPr>
        <w:pStyle w:val="ListBullet"/>
        <w:spacing w:after="40"/>
      </w:pPr>
      <w:r>
        <w:rPr>
          <w:b/>
          <w:i w:val="0"/>
        </w:rPr>
        <w:t>T13:</w:t>
      </w:r>
      <w:r>
        <w:rPr>
          <w:b w:val="0"/>
          <w:i w:val="0"/>
        </w:rPr>
        <w:t xml:space="preserve"> Pays below 3.42% on the Bund, in full at 3.20%, in a crisis or when the shock fades. Buy only if the premium is ≤ 30% of the max payout.</w:t>
      </w:r>
    </w:p>
    <w:p>
      <w:pPr>
        <w:pStyle w:val="ListBullet"/>
        <w:spacing w:after="40"/>
      </w:pPr>
      <w:r>
        <w:rPr>
          <w:b w:val="0"/>
          <w:i/>
        </w:rPr>
        <w:t>Not traded:</w:t>
      </w:r>
      <w:r>
        <w:rPr>
          <w:b w:val="0"/>
          <w:i w:val="0"/>
        </w:rPr>
        <w:t xml:space="preserve"> Italy (we'd rather be short France); EUR downside as a cross-asset overlay.</w:t>
      </w:r>
    </w:p>
    <w:p>
      <w:pPr>
        <w:pStyle w:val="ListBullet"/>
        <w:spacing w:after="40"/>
      </w:pPr>
      <w:r>
        <w:rPr>
          <w:b w:val="0"/>
          <w:i/>
        </w:rPr>
        <w:t>Levels:</w:t>
      </w:r>
      <w:r>
        <w:rPr>
          <w:b w:val="0"/>
          <w:i w:val="0"/>
        </w:rPr>
        <w:t xml:space="preserve"> Press reports (16 Oct) and ECB monthly long-term rates (to September).</w:t>
      </w:r>
    </w:p>
    <w:p>
      <w:r>
        <w:br w:type="page"/>
      </w:r>
    </w:p>
    <w:p>
      <w:pPr>
        <w:pStyle w:val="Heading1"/>
      </w:pPr>
      <w:r>
        <w:t>Theme 4: Euro area fiscal and growth revival (German fiscal expansion, rotation out of the US, Ukraine resolution)</w:t>
      </w:r>
    </w:p>
    <w:p>
      <w:pPr>
        <w:pStyle w:val="Heading2"/>
      </w:pPr>
      <w:r>
        <w:t>Current state of the theme</w:t>
      </w:r>
    </w:p>
    <w:p>
      <w:pPr>
        <w:pStyle w:val="ListBullet"/>
        <w:spacing w:after="40"/>
      </w:pPr>
      <w:r>
        <w:rPr>
          <w:b/>
          <w:i w:val="0"/>
        </w:rPr>
        <w:t>Where it stands:</w:t>
      </w:r>
    </w:p>
    <w:p>
      <w:pPr>
        <w:pStyle w:val="ListBullet2"/>
        <w:spacing w:after="40"/>
      </w:pPr>
      <w:r>
        <w:rPr>
          <w:b w:val="0"/>
          <w:i w:val="0"/>
        </w:rPr>
        <w:t>This was 2025's story; the energy shock put it on hold in 2026, and the market has given up on it.</w:t>
      </w:r>
    </w:p>
    <w:p>
      <w:pPr>
        <w:pStyle w:val="ListBullet2"/>
        <w:spacing w:after="40"/>
      </w:pPr>
      <w:r>
        <w:rPr>
          <w:b w:val="0"/>
          <w:i w:val="0"/>
        </w:rPr>
        <w:t>EURUSD is at its 1y low (1.119, from 1.198 in January). The Bund curve is flat (2s10s 39bp) because the ECB is hiking into an energy shock.</w:t>
      </w:r>
    </w:p>
    <w:p>
      <w:pPr>
        <w:pStyle w:val="ListBullet"/>
        <w:spacing w:after="40"/>
      </w:pPr>
      <w:r>
        <w:rPr>
          <w:b/>
          <w:i w:val="0"/>
        </w:rPr>
        <w:t>German fiscal:</w:t>
      </w:r>
    </w:p>
    <w:p>
      <w:pPr>
        <w:pStyle w:val="ListBullet2"/>
        <w:spacing w:after="40"/>
      </w:pPr>
      <w:r>
        <w:rPr>
          <w:b w:val="0"/>
          <w:i w:val="0"/>
        </w:rPr>
        <w:t>The impulse is real: record borrowing of €512bn in 2026 (€318bn of bonds), and the Bundesbank sees ~1.3pp of GDP of defence and infrastructure impulse through 2028.</w:t>
      </w:r>
    </w:p>
    <w:p>
      <w:pPr>
        <w:pStyle w:val="ListBullet2"/>
        <w:spacing w:after="40"/>
      </w:pPr>
      <w:r>
        <w:rPr>
          <w:b w:val="0"/>
          <w:i w:val="0"/>
        </w:rPr>
        <w:t>In October, Nagel saw ~1% growth this year, double June's 0.5%.</w:t>
      </w:r>
    </w:p>
    <w:p>
      <w:pPr>
        <w:pStyle w:val="ListBullet2"/>
        <w:spacing w:after="40"/>
      </w:pPr>
      <w:r>
        <w:rPr>
          <w:b w:val="0"/>
          <w:i w:val="0"/>
        </w:rPr>
        <w:t>The 2027 issuance plan comes in December.</w:t>
      </w:r>
    </w:p>
    <w:p>
      <w:pPr>
        <w:pStyle w:val="ListBullet"/>
        <w:spacing w:after="40"/>
      </w:pPr>
      <w:r>
        <w:rPr>
          <w:b/>
          <w:i w:val="0"/>
        </w:rPr>
        <w:t>Rotation out of the US:</w:t>
      </w:r>
    </w:p>
    <w:p>
      <w:pPr>
        <w:pStyle w:val="ListBullet2"/>
        <w:spacing w:after="40"/>
      </w:pPr>
      <w:r>
        <w:rPr>
          <w:b w:val="0"/>
          <w:i w:val="0"/>
        </w:rPr>
        <w:t>It has stalled. Euro equity ETFs saw outflows from late February until July.</w:t>
      </w:r>
    </w:p>
    <w:p>
      <w:pPr>
        <w:pStyle w:val="ListBullet2"/>
        <w:spacing w:after="40"/>
      </w:pPr>
      <w:r>
        <w:rPr>
          <w:b w:val="0"/>
          <w:i w:val="0"/>
        </w:rPr>
        <w:t>The Stoxx 600's discount to the S&amp;P is the smallest in four years.</w:t>
      </w:r>
    </w:p>
    <w:p>
      <w:pPr>
        <w:pStyle w:val="ListBullet2"/>
        <w:spacing w:after="40"/>
      </w:pPr>
      <w:r>
        <w:rPr>
          <w:b w:val="0"/>
          <w:i w:val="0"/>
        </w:rPr>
        <w:t>A 161bp UST–Bund 10y spread (5.10% vs 3.49%) pulls money back to the US.</w:t>
      </w:r>
    </w:p>
    <w:p>
      <w:pPr>
        <w:pStyle w:val="ListBullet"/>
        <w:spacing w:after="40"/>
      </w:pPr>
      <w:r>
        <w:rPr>
          <w:b/>
          <w:i w:val="0"/>
        </w:rPr>
        <w:t>Ukraine:</w:t>
      </w:r>
      <w:r>
        <w:rPr>
          <w:b w:val="0"/>
          <w:i w:val="0"/>
        </w:rPr>
        <w:t xml:space="preserve"> Talks, but no deal. The US has proposed trilateral talks by end-October. The 11 Oct "energy ceasefire" Trump announced is unconfirmed by either side, and strikes have escalated.</w:t>
      </w:r>
    </w:p>
    <w:p>
      <w:pPr>
        <w:pStyle w:val="ListBullet"/>
        <w:spacing w:after="40"/>
      </w:pPr>
      <w:r>
        <w:rPr>
          <w:b/>
          <w:i w:val="0"/>
        </w:rPr>
        <w:t>Bund curve (19 Oct):</w:t>
      </w:r>
      <w:r>
        <w:rPr>
          <w:b w:val="0"/>
          <w:i w:val="0"/>
        </w:rPr>
        <w:t xml:space="preserve"> 2y 3.10%, 10y 3.49% (a 17-year high), 30y 3.88%. 5s30s is 68bp (1y range 56–124bp), having flattened 27bp in Q3 despite record long-end supply.</w:t>
      </w:r>
    </w:p>
    <w:p>
      <w:pPr>
        <w:pStyle w:val="Heading2"/>
      </w:pPr>
      <w:r>
        <w:t>Scenarios</w:t>
      </w:r>
    </w:p>
    <w:p>
      <w:r>
        <w:rPr>
          <w:b/>
          <w:i w:val="0"/>
        </w:rPr>
        <w:t>A revival is a 25% scenario, but pricing treats it as close to zero. The curve flattened and EUR fell for cyclical reasons (energy and the ECB), not because the fiscal story died, so the payoff is asymmetric. A Ukraine deal is a 10% tail that lifts EUR and steepens the curve.</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425"/>
        <w:gridCol w:w="1425"/>
        <w:gridCol w:w="1425"/>
        <w:gridCol w:w="1425"/>
        <w:gridCol w:w="1425"/>
        <w:gridCol w:w="1425"/>
        <w:gridCol w:w="1425"/>
      </w:tblGrid>
      <w:tr>
        <w:tc>
          <w:tcPr>
            <w:tcW w:type="dxa" w:w="1425"/>
            <w:shd w:val="clear" w:color="auto" w:fill="1F3A5F"/>
          </w:tcPr>
          <w:p>
            <w:pPr>
              <w:spacing w:after="0" w:line="240" w:lineRule="auto"/>
            </w:pPr>
            <w:r/>
            <w:r>
              <w:rPr>
                <w:b/>
                <w:i w:val="0"/>
                <w:color w:val="FFFFFF"/>
                <w:sz w:val="17"/>
              </w:rPr>
              <w:t>Scenario</w:t>
            </w:r>
          </w:p>
        </w:tc>
        <w:tc>
          <w:tcPr>
            <w:tcW w:type="dxa" w:w="1425"/>
            <w:shd w:val="clear" w:color="auto" w:fill="1F3A5F"/>
          </w:tcPr>
          <w:p>
            <w:pPr>
              <w:spacing w:after="0" w:line="240" w:lineRule="auto"/>
            </w:pPr>
            <w:r/>
            <w:r>
              <w:rPr>
                <w:b/>
                <w:i w:val="0"/>
                <w:color w:val="FFFFFF"/>
                <w:sz w:val="17"/>
              </w:rPr>
              <w:t>Prob.</w:t>
            </w:r>
          </w:p>
        </w:tc>
        <w:tc>
          <w:tcPr>
            <w:tcW w:type="dxa" w:w="1425"/>
            <w:shd w:val="clear" w:color="auto" w:fill="1F3A5F"/>
          </w:tcPr>
          <w:p>
            <w:pPr>
              <w:spacing w:after="0" w:line="240" w:lineRule="auto"/>
            </w:pPr>
            <w:r/>
            <w:r>
              <w:rPr>
                <w:b/>
                <w:i w:val="0"/>
                <w:color w:val="FFFFFF"/>
                <w:sz w:val="17"/>
              </w:rPr>
              <w:t>Growth and flows</w:t>
            </w:r>
          </w:p>
        </w:tc>
        <w:tc>
          <w:tcPr>
            <w:tcW w:type="dxa" w:w="1425"/>
            <w:shd w:val="clear" w:color="auto" w:fill="1F3A5F"/>
          </w:tcPr>
          <w:p>
            <w:pPr>
              <w:spacing w:after="0" w:line="240" w:lineRule="auto"/>
            </w:pPr>
            <w:r/>
            <w:r>
              <w:rPr>
                <w:b/>
                <w:i w:val="0"/>
                <w:color w:val="FFFFFF"/>
                <w:sz w:val="17"/>
              </w:rPr>
              <w:t>ECB</w:t>
            </w:r>
          </w:p>
        </w:tc>
        <w:tc>
          <w:tcPr>
            <w:tcW w:type="dxa" w:w="1425"/>
            <w:shd w:val="clear" w:color="auto" w:fill="1F3A5F"/>
          </w:tcPr>
          <w:p>
            <w:pPr>
              <w:spacing w:after="0" w:line="240" w:lineRule="auto"/>
            </w:pPr>
            <w:r/>
            <w:r>
              <w:rPr>
                <w:b/>
                <w:i w:val="0"/>
                <w:color w:val="FFFFFF"/>
                <w:sz w:val="17"/>
              </w:rPr>
              <w:t>EURUSD</w:t>
            </w:r>
          </w:p>
        </w:tc>
        <w:tc>
          <w:tcPr>
            <w:tcW w:type="dxa" w:w="1425"/>
            <w:shd w:val="clear" w:color="auto" w:fill="1F3A5F"/>
          </w:tcPr>
          <w:p>
            <w:pPr>
              <w:spacing w:after="0" w:line="240" w:lineRule="auto"/>
            </w:pPr>
            <w:r/>
            <w:r>
              <w:rPr>
                <w:b/>
                <w:i w:val="0"/>
                <w:color w:val="FFFFFF"/>
                <w:sz w:val="17"/>
              </w:rPr>
              <w:t>Bund 5s30s</w:t>
            </w:r>
          </w:p>
        </w:tc>
        <w:tc>
          <w:tcPr>
            <w:tcW w:type="dxa" w:w="1425"/>
            <w:shd w:val="clear" w:color="auto" w:fill="1F3A5F"/>
          </w:tcPr>
          <w:p>
            <w:pPr>
              <w:spacing w:after="0" w:line="240" w:lineRule="auto"/>
            </w:pPr>
            <w:r/>
            <w:r>
              <w:rPr>
                <w:b/>
                <w:i w:val="0"/>
                <w:color w:val="FFFFFF"/>
                <w:sz w:val="17"/>
              </w:rPr>
              <w:t>Triggers</w:t>
            </w:r>
          </w:p>
        </w:tc>
      </w:tr>
      <w:tr>
        <w:tc>
          <w:tcPr>
            <w:tcW w:type="dxa" w:w="1425"/>
          </w:tcPr>
          <w:p>
            <w:pPr>
              <w:spacing w:after="0" w:line="240" w:lineRule="auto"/>
            </w:pPr>
            <w:r/>
            <w:r>
              <w:rPr>
                <w:b w:val="0"/>
                <w:i w:val="0"/>
                <w:sz w:val="17"/>
              </w:rPr>
              <w:t>A. Revival takes hold</w:t>
            </w:r>
          </w:p>
        </w:tc>
        <w:tc>
          <w:tcPr>
            <w:tcW w:type="dxa" w:w="1425"/>
          </w:tcPr>
          <w:p>
            <w:pPr>
              <w:spacing w:after="0" w:line="240" w:lineRule="auto"/>
            </w:pPr>
            <w:r/>
            <w:r>
              <w:rPr>
                <w:b w:val="0"/>
                <w:i w:val="0"/>
                <w:sz w:val="17"/>
              </w:rPr>
              <w:t>25%</w:t>
            </w:r>
          </w:p>
        </w:tc>
        <w:tc>
          <w:tcPr>
            <w:tcW w:type="dxa" w:w="1425"/>
          </w:tcPr>
          <w:p>
            <w:pPr>
              <w:spacing w:after="0" w:line="240" w:lineRule="auto"/>
            </w:pPr>
            <w:r/>
            <w:r>
              <w:rPr>
                <w:b w:val="0"/>
                <w:i w:val="0"/>
                <w:sz w:val="17"/>
              </w:rPr>
              <w:t>German GDP &gt; 1%; inflows return</w:t>
            </w:r>
          </w:p>
        </w:tc>
        <w:tc>
          <w:tcPr>
            <w:tcW w:type="dxa" w:w="1425"/>
          </w:tcPr>
          <w:p>
            <w:pPr>
              <w:spacing w:after="0" w:line="240" w:lineRule="auto"/>
            </w:pPr>
            <w:r/>
            <w:r>
              <w:rPr>
                <w:b w:val="0"/>
                <w:i w:val="0"/>
                <w:sz w:val="17"/>
              </w:rPr>
              <w:t>Hikes; the long end leads on term premium and supply</w:t>
            </w:r>
          </w:p>
        </w:tc>
        <w:tc>
          <w:tcPr>
            <w:tcW w:type="dxa" w:w="1425"/>
          </w:tcPr>
          <w:p>
            <w:pPr>
              <w:spacing w:after="0" w:line="240" w:lineRule="auto"/>
            </w:pPr>
            <w:r/>
            <w:r>
              <w:rPr>
                <w:b w:val="0"/>
                <w:i w:val="0"/>
                <w:sz w:val="17"/>
              </w:rPr>
              <w:t>1.20</w:t>
            </w:r>
          </w:p>
        </w:tc>
        <w:tc>
          <w:tcPr>
            <w:tcW w:type="dxa" w:w="1425"/>
          </w:tcPr>
          <w:p>
            <w:pPr>
              <w:spacing w:after="0" w:line="240" w:lineRule="auto"/>
            </w:pPr>
            <w:r/>
            <w:r>
              <w:rPr>
                <w:b w:val="0"/>
                <w:i w:val="0"/>
                <w:sz w:val="17"/>
              </w:rPr>
              <w:t>85bp</w:t>
            </w:r>
          </w:p>
        </w:tc>
        <w:tc>
          <w:tcPr>
            <w:tcW w:type="dxa" w:w="1425"/>
          </w:tcPr>
          <w:p>
            <w:pPr>
              <w:spacing w:after="0" w:line="240" w:lineRule="auto"/>
            </w:pPr>
            <w:r/>
            <w:r>
              <w:rPr>
                <w:b w:val="0"/>
                <w:i w:val="0"/>
                <w:sz w:val="17"/>
              </w:rPr>
              <w:t>Oil stabilises; a large 2027 Bund plan; Fed cuts</w:t>
            </w:r>
          </w:p>
        </w:tc>
      </w:tr>
      <w:tr>
        <w:tc>
          <w:tcPr>
            <w:tcW w:type="dxa" w:w="1425"/>
            <w:shd w:val="clear" w:color="auto" w:fill="F3F5F8"/>
          </w:tcPr>
          <w:p>
            <w:pPr>
              <w:spacing w:after="0" w:line="240" w:lineRule="auto"/>
            </w:pPr>
            <w:r/>
            <w:r>
              <w:rPr>
                <w:b w:val="0"/>
                <w:i w:val="0"/>
                <w:sz w:val="17"/>
              </w:rPr>
              <w:t>B. Slow burn</w:t>
            </w:r>
          </w:p>
        </w:tc>
        <w:tc>
          <w:tcPr>
            <w:tcW w:type="dxa" w:w="1425"/>
            <w:shd w:val="clear" w:color="auto" w:fill="F3F5F8"/>
          </w:tcPr>
          <w:p>
            <w:pPr>
              <w:spacing w:after="0" w:line="240" w:lineRule="auto"/>
            </w:pPr>
            <w:r/>
            <w:r>
              <w:rPr>
                <w:b w:val="0"/>
                <w:i w:val="0"/>
                <w:sz w:val="17"/>
              </w:rPr>
              <w:t>40%</w:t>
            </w:r>
          </w:p>
        </w:tc>
        <w:tc>
          <w:tcPr>
            <w:tcW w:type="dxa" w:w="1425"/>
            <w:shd w:val="clear" w:color="auto" w:fill="F3F5F8"/>
          </w:tcPr>
          <w:p>
            <w:pPr>
              <w:spacing w:after="0" w:line="240" w:lineRule="auto"/>
            </w:pPr>
            <w:r/>
            <w:r>
              <w:rPr>
                <w:b w:val="0"/>
                <w:i w:val="0"/>
                <w:sz w:val="17"/>
              </w:rPr>
              <w:t>Spending lands slowly; energy offsets it</w:t>
            </w:r>
          </w:p>
        </w:tc>
        <w:tc>
          <w:tcPr>
            <w:tcW w:type="dxa" w:w="1425"/>
            <w:shd w:val="clear" w:color="auto" w:fill="F3F5F8"/>
          </w:tcPr>
          <w:p>
            <w:pPr>
              <w:spacing w:after="0" w:line="240" w:lineRule="auto"/>
            </w:pPr>
            <w:r/>
            <w:r>
              <w:rPr>
                <w:b w:val="0"/>
                <w:i w:val="0"/>
                <w:sz w:val="17"/>
              </w:rPr>
              <w:t>On hold at 2.50%</w:t>
            </w:r>
          </w:p>
        </w:tc>
        <w:tc>
          <w:tcPr>
            <w:tcW w:type="dxa" w:w="1425"/>
            <w:shd w:val="clear" w:color="auto" w:fill="F3F5F8"/>
          </w:tcPr>
          <w:p>
            <w:pPr>
              <w:spacing w:after="0" w:line="240" w:lineRule="auto"/>
            </w:pPr>
            <w:r/>
            <w:r>
              <w:rPr>
                <w:b w:val="0"/>
                <w:i w:val="0"/>
                <w:sz w:val="17"/>
              </w:rPr>
              <w:t>1.13</w:t>
            </w:r>
          </w:p>
        </w:tc>
        <w:tc>
          <w:tcPr>
            <w:tcW w:type="dxa" w:w="1425"/>
            <w:shd w:val="clear" w:color="auto" w:fill="F3F5F8"/>
          </w:tcPr>
          <w:p>
            <w:pPr>
              <w:spacing w:after="0" w:line="240" w:lineRule="auto"/>
            </w:pPr>
            <w:r/>
            <w:r>
              <w:rPr>
                <w:b w:val="0"/>
                <w:i w:val="0"/>
                <w:sz w:val="17"/>
              </w:rPr>
              <w:t>72bp</w:t>
            </w:r>
          </w:p>
        </w:tc>
        <w:tc>
          <w:tcPr>
            <w:tcW w:type="dxa" w:w="1425"/>
            <w:shd w:val="clear" w:color="auto" w:fill="F3F5F8"/>
          </w:tcPr>
          <w:p>
            <w:pPr>
              <w:spacing w:after="0" w:line="240" w:lineRule="auto"/>
            </w:pPr>
            <w:r/>
            <w:r>
              <w:rPr>
                <w:b w:val="0"/>
                <w:i w:val="0"/>
                <w:sz w:val="17"/>
              </w:rPr>
              <w:t>Status quo</w:t>
            </w:r>
          </w:p>
        </w:tc>
      </w:tr>
      <w:tr>
        <w:tc>
          <w:tcPr>
            <w:tcW w:type="dxa" w:w="1425"/>
          </w:tcPr>
          <w:p>
            <w:pPr>
              <w:spacing w:after="0" w:line="240" w:lineRule="auto"/>
            </w:pPr>
            <w:r/>
            <w:r>
              <w:rPr>
                <w:b w:val="0"/>
                <w:i w:val="0"/>
                <w:sz w:val="17"/>
              </w:rPr>
              <w:t>C. Derailed</w:t>
            </w:r>
          </w:p>
        </w:tc>
        <w:tc>
          <w:tcPr>
            <w:tcW w:type="dxa" w:w="1425"/>
          </w:tcPr>
          <w:p>
            <w:pPr>
              <w:spacing w:after="0" w:line="240" w:lineRule="auto"/>
            </w:pPr>
            <w:r/>
            <w:r>
              <w:rPr>
                <w:b w:val="0"/>
                <w:i w:val="0"/>
                <w:sz w:val="17"/>
              </w:rPr>
              <w:t>25%</w:t>
            </w:r>
          </w:p>
        </w:tc>
        <w:tc>
          <w:tcPr>
            <w:tcW w:type="dxa" w:w="1425"/>
          </w:tcPr>
          <w:p>
            <w:pPr>
              <w:spacing w:after="0" w:line="240" w:lineRule="auto"/>
            </w:pPr>
            <w:r/>
            <w:r>
              <w:rPr>
                <w:b w:val="0"/>
                <w:i w:val="0"/>
                <w:sz w:val="17"/>
              </w:rPr>
              <w:t>Energy deepens; French crisis; US exceptionalism returns</w:t>
            </w:r>
          </w:p>
        </w:tc>
        <w:tc>
          <w:tcPr>
            <w:tcW w:type="dxa" w:w="1425"/>
          </w:tcPr>
          <w:p>
            <w:pPr>
              <w:spacing w:after="0" w:line="240" w:lineRule="auto"/>
            </w:pPr>
            <w:r/>
            <w:r>
              <w:rPr>
                <w:b w:val="0"/>
                <w:i w:val="0"/>
                <w:sz w:val="17"/>
              </w:rPr>
              <w:t>Hikes into weakness; bear flattening</w:t>
            </w:r>
          </w:p>
        </w:tc>
        <w:tc>
          <w:tcPr>
            <w:tcW w:type="dxa" w:w="1425"/>
          </w:tcPr>
          <w:p>
            <w:pPr>
              <w:spacing w:after="0" w:line="240" w:lineRule="auto"/>
            </w:pPr>
            <w:r/>
            <w:r>
              <w:rPr>
                <w:b w:val="0"/>
                <w:i w:val="0"/>
                <w:sz w:val="17"/>
              </w:rPr>
              <w:t>1.08</w:t>
            </w:r>
          </w:p>
        </w:tc>
        <w:tc>
          <w:tcPr>
            <w:tcW w:type="dxa" w:w="1425"/>
          </w:tcPr>
          <w:p>
            <w:pPr>
              <w:spacing w:after="0" w:line="240" w:lineRule="auto"/>
            </w:pPr>
            <w:r/>
            <w:r>
              <w:rPr>
                <w:b w:val="0"/>
                <w:i w:val="0"/>
                <w:sz w:val="17"/>
              </w:rPr>
              <w:t>58bp</w:t>
            </w:r>
          </w:p>
        </w:tc>
        <w:tc>
          <w:tcPr>
            <w:tcW w:type="dxa" w:w="1425"/>
          </w:tcPr>
          <w:p>
            <w:pPr>
              <w:spacing w:after="0" w:line="240" w:lineRule="auto"/>
            </w:pPr>
            <w:r/>
            <w:r>
              <w:rPr>
                <w:b w:val="0"/>
                <w:i w:val="0"/>
                <w:sz w:val="17"/>
              </w:rPr>
              <w:t>Hormuz stays shut; French downgrade; UST &gt; 5.25%</w:t>
            </w:r>
          </w:p>
        </w:tc>
      </w:tr>
      <w:tr>
        <w:tc>
          <w:tcPr>
            <w:tcW w:type="dxa" w:w="1425"/>
            <w:shd w:val="clear" w:color="auto" w:fill="F3F5F8"/>
          </w:tcPr>
          <w:p>
            <w:pPr>
              <w:spacing w:after="0" w:line="240" w:lineRule="auto"/>
            </w:pPr>
            <w:r/>
            <w:r>
              <w:rPr>
                <w:b w:val="0"/>
                <w:i w:val="0"/>
                <w:sz w:val="17"/>
              </w:rPr>
              <w:t>D. Peace dividend</w:t>
            </w:r>
          </w:p>
        </w:tc>
        <w:tc>
          <w:tcPr>
            <w:tcW w:type="dxa" w:w="1425"/>
            <w:shd w:val="clear" w:color="auto" w:fill="F3F5F8"/>
          </w:tcPr>
          <w:p>
            <w:pPr>
              <w:spacing w:after="0" w:line="240" w:lineRule="auto"/>
            </w:pPr>
            <w:r/>
            <w:r>
              <w:rPr>
                <w:b w:val="0"/>
                <w:i w:val="0"/>
                <w:sz w:val="17"/>
              </w:rPr>
              <w:t>10%</w:t>
            </w:r>
          </w:p>
        </w:tc>
        <w:tc>
          <w:tcPr>
            <w:tcW w:type="dxa" w:w="1425"/>
            <w:shd w:val="clear" w:color="auto" w:fill="F3F5F8"/>
          </w:tcPr>
          <w:p>
            <w:pPr>
              <w:spacing w:after="0" w:line="240" w:lineRule="auto"/>
            </w:pPr>
            <w:r/>
            <w:r>
              <w:rPr>
                <w:b w:val="0"/>
                <w:i w:val="0"/>
                <w:sz w:val="17"/>
              </w:rPr>
              <w:t>Ukraine deal; gas falls; reconstruction</w:t>
            </w:r>
          </w:p>
        </w:tc>
        <w:tc>
          <w:tcPr>
            <w:tcW w:type="dxa" w:w="1425"/>
            <w:shd w:val="clear" w:color="auto" w:fill="F3F5F8"/>
          </w:tcPr>
          <w:p>
            <w:pPr>
              <w:spacing w:after="0" w:line="240" w:lineRule="auto"/>
            </w:pPr>
            <w:r/>
            <w:r>
              <w:rPr>
                <w:b w:val="0"/>
                <w:i w:val="0"/>
                <w:sz w:val="17"/>
              </w:rPr>
              <w:t>Hikes priced out; bull steepening</w:t>
            </w:r>
          </w:p>
        </w:tc>
        <w:tc>
          <w:tcPr>
            <w:tcW w:type="dxa" w:w="1425"/>
            <w:shd w:val="clear" w:color="auto" w:fill="F3F5F8"/>
          </w:tcPr>
          <w:p>
            <w:pPr>
              <w:spacing w:after="0" w:line="240" w:lineRule="auto"/>
            </w:pPr>
            <w:r/>
            <w:r>
              <w:rPr>
                <w:b w:val="0"/>
                <w:i w:val="0"/>
                <w:sz w:val="17"/>
              </w:rPr>
              <w:t>1.17</w:t>
            </w:r>
          </w:p>
        </w:tc>
        <w:tc>
          <w:tcPr>
            <w:tcW w:type="dxa" w:w="1425"/>
            <w:shd w:val="clear" w:color="auto" w:fill="F3F5F8"/>
          </w:tcPr>
          <w:p>
            <w:pPr>
              <w:spacing w:after="0" w:line="240" w:lineRule="auto"/>
            </w:pPr>
            <w:r/>
            <w:r>
              <w:rPr>
                <w:b w:val="0"/>
                <w:i w:val="0"/>
                <w:sz w:val="17"/>
              </w:rPr>
              <w:t>95bp</w:t>
            </w:r>
          </w:p>
        </w:tc>
        <w:tc>
          <w:tcPr>
            <w:tcW w:type="dxa" w:w="1425"/>
            <w:shd w:val="clear" w:color="auto" w:fill="F3F5F8"/>
          </w:tcPr>
          <w:p>
            <w:pPr>
              <w:spacing w:after="0" w:line="240" w:lineRule="auto"/>
            </w:pPr>
            <w:r/>
            <w:r>
              <w:rPr>
                <w:b w:val="0"/>
                <w:i w:val="0"/>
                <w:sz w:val="17"/>
              </w:rPr>
              <w:t>Durable ceasefire</w:t>
            </w:r>
          </w:p>
        </w:tc>
      </w:tr>
    </w:tbl>
    <w:p>
      <w:pPr>
        <w:spacing w:after="40"/>
      </w:pPr>
    </w:p>
    <w:p>
      <w:pPr>
        <w:pStyle w:val="ListBullet"/>
        <w:spacing w:after="40"/>
      </w:pPr>
      <w:r>
        <w:rPr>
          <w:b w:val="0"/>
          <w:i/>
        </w:rPr>
        <w:t>Signposts:</w:t>
      </w:r>
      <w:r>
        <w:rPr>
          <w:b w:val="0"/>
          <w:i w:val="0"/>
        </w:rPr>
        <w:t xml:space="preserve"> Ukraine talks (end-October), ECB (29 Oct), German Q3 GDP, the 2027 Bund plan (December), and weekly euro equity flows.</w:t>
      </w:r>
    </w:p>
    <w:p>
      <w:pPr>
        <w:pStyle w:val="Heading2"/>
      </w:pPr>
      <w:r>
        <w:t>Trades</w:t>
      </w:r>
    </w:p>
    <w:p>
      <w:r>
        <w:rPr>
          <w:b/>
          <w:i w:val="0"/>
        </w:rPr>
        <w:t>Expected P&amp;L is +£1.45m on £1.99m of max loss: +£6.06m if the revival takes hold, +£4.59m on a peace dividend, −£0.26m on the slow burn and −£1.68m if derailed. Themes 2 and 3 pay when energy or politics go wrong; Theme 4 pays when they don't.</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998"/>
        <w:gridCol w:w="998"/>
        <w:gridCol w:w="998"/>
        <w:gridCol w:w="998"/>
        <w:gridCol w:w="998"/>
        <w:gridCol w:w="998"/>
        <w:gridCol w:w="998"/>
        <w:gridCol w:w="998"/>
        <w:gridCol w:w="998"/>
        <w:gridCol w:w="998"/>
      </w:tblGrid>
      <w:tr>
        <w:tc>
          <w:tcPr>
            <w:tcW w:type="dxa" w:w="998"/>
            <w:shd w:val="clear" w:color="auto" w:fill="1F3A5F"/>
          </w:tcPr>
          <w:p>
            <w:pPr>
              <w:spacing w:after="0" w:line="240" w:lineRule="auto"/>
            </w:pPr>
            <w:r/>
            <w:r>
              <w:rPr>
                <w:b/>
                <w:i w:val="0"/>
                <w:color w:val="FFFFFF"/>
                <w:sz w:val="15"/>
              </w:rPr>
              <w:t>#</w:t>
            </w:r>
          </w:p>
        </w:tc>
        <w:tc>
          <w:tcPr>
            <w:tcW w:type="dxa" w:w="998"/>
            <w:shd w:val="clear" w:color="auto" w:fill="1F3A5F"/>
          </w:tcPr>
          <w:p>
            <w:pPr>
              <w:spacing w:after="0" w:line="240" w:lineRule="auto"/>
            </w:pPr>
            <w:r/>
            <w:r>
              <w:rPr>
                <w:b/>
                <w:i w:val="0"/>
                <w:color w:val="FFFFFF"/>
                <w:sz w:val="15"/>
              </w:rPr>
              <w:t>Trade</w:t>
            </w:r>
          </w:p>
        </w:tc>
        <w:tc>
          <w:tcPr>
            <w:tcW w:type="dxa" w:w="998"/>
            <w:shd w:val="clear" w:color="auto" w:fill="1F3A5F"/>
          </w:tcPr>
          <w:p>
            <w:pPr>
              <w:spacing w:after="0" w:line="240" w:lineRule="auto"/>
            </w:pPr>
            <w:r/>
            <w:r>
              <w:rPr>
                <w:b/>
                <w:i w:val="0"/>
                <w:color w:val="FFFFFF"/>
                <w:sz w:val="15"/>
              </w:rPr>
              <w:t>Entry</w:t>
            </w:r>
          </w:p>
        </w:tc>
        <w:tc>
          <w:tcPr>
            <w:tcW w:type="dxa" w:w="998"/>
            <w:shd w:val="clear" w:color="auto" w:fill="1F3A5F"/>
          </w:tcPr>
          <w:p>
            <w:pPr>
              <w:spacing w:after="0" w:line="240" w:lineRule="auto"/>
            </w:pPr>
            <w:r/>
            <w:r>
              <w:rPr>
                <w:b/>
                <w:i w:val="0"/>
                <w:color w:val="FFFFFF"/>
                <w:sz w:val="15"/>
              </w:rPr>
              <w:t>Target</w:t>
            </w:r>
          </w:p>
        </w:tc>
        <w:tc>
          <w:tcPr>
            <w:tcW w:type="dxa" w:w="998"/>
            <w:shd w:val="clear" w:color="auto" w:fill="1F3A5F"/>
          </w:tcPr>
          <w:p>
            <w:pPr>
              <w:spacing w:after="0" w:line="240" w:lineRule="auto"/>
            </w:pPr>
            <w:r/>
            <w:r>
              <w:rPr>
                <w:b/>
                <w:i w:val="0"/>
                <w:color w:val="FFFFFF"/>
                <w:sz w:val="15"/>
              </w:rPr>
              <w:t>Stop</w:t>
            </w:r>
          </w:p>
        </w:tc>
        <w:tc>
          <w:tcPr>
            <w:tcW w:type="dxa" w:w="998"/>
            <w:shd w:val="clear" w:color="auto" w:fill="1F3A5F"/>
          </w:tcPr>
          <w:p>
            <w:pPr>
              <w:spacing w:after="0" w:line="240" w:lineRule="auto"/>
            </w:pPr>
            <w:r/>
            <w:r>
              <w:rPr>
                <w:b/>
                <w:i w:val="0"/>
                <w:color w:val="FFFFFF"/>
                <w:sz w:val="15"/>
              </w:rPr>
              <w:t>R : R</w:t>
            </w:r>
          </w:p>
        </w:tc>
        <w:tc>
          <w:tcPr>
            <w:tcW w:type="dxa" w:w="998"/>
            <w:shd w:val="clear" w:color="auto" w:fill="1F3A5F"/>
          </w:tcPr>
          <w:p>
            <w:pPr>
              <w:spacing w:after="0" w:line="240" w:lineRule="auto"/>
            </w:pPr>
            <w:r/>
            <w:r>
              <w:rPr>
                <w:b/>
                <w:i w:val="0"/>
                <w:color w:val="FFFFFF"/>
                <w:sz w:val="15"/>
              </w:rPr>
              <w:t>Conv.</w:t>
            </w:r>
          </w:p>
        </w:tc>
        <w:tc>
          <w:tcPr>
            <w:tcW w:type="dxa" w:w="998"/>
            <w:shd w:val="clear" w:color="auto" w:fill="1F3A5F"/>
          </w:tcPr>
          <w:p>
            <w:pPr>
              <w:spacing w:after="0" w:line="240" w:lineRule="auto"/>
            </w:pPr>
            <w:r/>
            <w:r>
              <w:rPr>
                <w:b/>
                <w:i w:val="0"/>
                <w:color w:val="FFFFFF"/>
                <w:sz w:val="15"/>
              </w:rPr>
              <w:t>Size</w:t>
            </w:r>
          </w:p>
        </w:tc>
        <w:tc>
          <w:tcPr>
            <w:tcW w:type="dxa" w:w="998"/>
            <w:shd w:val="clear" w:color="auto" w:fill="1F3A5F"/>
          </w:tcPr>
          <w:p>
            <w:pPr>
              <w:spacing w:after="0" w:line="240" w:lineRule="auto"/>
            </w:pPr>
            <w:r/>
            <w:r>
              <w:rPr>
                <w:b/>
                <w:i w:val="0"/>
                <w:color w:val="FFFFFF"/>
                <w:sz w:val="15"/>
              </w:rPr>
              <w:t>Max loss</w:t>
            </w:r>
          </w:p>
        </w:tc>
        <w:tc>
          <w:tcPr>
            <w:tcW w:type="dxa" w:w="998"/>
            <w:shd w:val="clear" w:color="auto" w:fill="1F3A5F"/>
          </w:tcPr>
          <w:p>
            <w:pPr>
              <w:spacing w:after="0" w:line="240" w:lineRule="auto"/>
            </w:pPr>
            <w:r/>
            <w:r>
              <w:rPr>
                <w:b/>
                <w:i w:val="0"/>
                <w:color w:val="FFFFFF"/>
                <w:sz w:val="15"/>
              </w:rPr>
              <w:t>Exp. P&amp;L</w:t>
            </w:r>
          </w:p>
        </w:tc>
      </w:tr>
      <w:tr>
        <w:tc>
          <w:tcPr>
            <w:tcW w:type="dxa" w:w="998"/>
          </w:tcPr>
          <w:p>
            <w:pPr>
              <w:spacing w:after="0" w:line="240" w:lineRule="auto"/>
            </w:pPr>
            <w:r/>
            <w:r>
              <w:rPr>
                <w:b w:val="0"/>
                <w:i w:val="0"/>
                <w:sz w:val="15"/>
              </w:rPr>
              <w:t>T14</w:t>
            </w:r>
          </w:p>
        </w:tc>
        <w:tc>
          <w:tcPr>
            <w:tcW w:type="dxa" w:w="998"/>
          </w:tcPr>
          <w:p>
            <w:pPr>
              <w:spacing w:after="0" w:line="240" w:lineRule="auto"/>
            </w:pPr>
            <w:r/>
            <w:r>
              <w:rPr>
                <w:b w:val="0"/>
                <w:i w:val="0"/>
                <w:sz w:val="15"/>
              </w:rPr>
              <w:t>Bund 5s30s steepener (DV01-neutral)</w:t>
            </w:r>
          </w:p>
        </w:tc>
        <w:tc>
          <w:tcPr>
            <w:tcW w:type="dxa" w:w="998"/>
          </w:tcPr>
          <w:p>
            <w:pPr>
              <w:spacing w:after="0" w:line="240" w:lineRule="auto"/>
            </w:pPr>
            <w:r/>
            <w:r>
              <w:rPr>
                <w:b w:val="0"/>
                <w:i w:val="0"/>
                <w:sz w:val="15"/>
              </w:rPr>
              <w:t>68bp</w:t>
            </w:r>
          </w:p>
        </w:tc>
        <w:tc>
          <w:tcPr>
            <w:tcW w:type="dxa" w:w="998"/>
          </w:tcPr>
          <w:p>
            <w:pPr>
              <w:spacing w:after="0" w:line="240" w:lineRule="auto"/>
            </w:pPr>
            <w:r/>
            <w:r>
              <w:rPr>
                <w:b w:val="0"/>
                <w:i w:val="0"/>
                <w:sz w:val="15"/>
              </w:rPr>
              <w:t>95bp</w:t>
            </w:r>
          </w:p>
        </w:tc>
        <w:tc>
          <w:tcPr>
            <w:tcW w:type="dxa" w:w="998"/>
          </w:tcPr>
          <w:p>
            <w:pPr>
              <w:spacing w:after="0" w:line="240" w:lineRule="auto"/>
            </w:pPr>
            <w:r/>
            <w:r>
              <w:rPr>
                <w:b w:val="0"/>
                <w:i w:val="0"/>
                <w:sz w:val="15"/>
              </w:rPr>
              <w:t>55bp</w:t>
            </w:r>
          </w:p>
        </w:tc>
        <w:tc>
          <w:tcPr>
            <w:tcW w:type="dxa" w:w="998"/>
          </w:tcPr>
          <w:p>
            <w:pPr>
              <w:spacing w:after="0" w:line="240" w:lineRule="auto"/>
            </w:pPr>
            <w:r/>
            <w:r>
              <w:rPr>
                <w:b w:val="0"/>
                <w:i w:val="0"/>
                <w:sz w:val="15"/>
              </w:rPr>
              <w:t>2.1x</w:t>
            </w:r>
          </w:p>
        </w:tc>
        <w:tc>
          <w:tcPr>
            <w:tcW w:type="dxa" w:w="998"/>
          </w:tcPr>
          <w:p>
            <w:pPr>
              <w:spacing w:after="0" w:line="240" w:lineRule="auto"/>
            </w:pPr>
            <w:r/>
            <w:r>
              <w:rPr>
                <w:b w:val="0"/>
                <w:i w:val="0"/>
                <w:sz w:val="15"/>
              </w:rPr>
              <w:t>3</w:t>
            </w:r>
          </w:p>
        </w:tc>
        <w:tc>
          <w:tcPr>
            <w:tcW w:type="dxa" w:w="998"/>
          </w:tcPr>
          <w:p>
            <w:pPr>
              <w:spacing w:after="0" w:line="240" w:lineRule="auto"/>
            </w:pPr>
            <w:r/>
            <w:r>
              <w:rPr>
                <w:b w:val="0"/>
                <w:i w:val="0"/>
                <w:sz w:val="15"/>
              </w:rPr>
              <w:t>£102k/bp</w:t>
            </w:r>
          </w:p>
        </w:tc>
        <w:tc>
          <w:tcPr>
            <w:tcW w:type="dxa" w:w="998"/>
          </w:tcPr>
          <w:p>
            <w:pPr>
              <w:spacing w:after="0" w:line="240" w:lineRule="auto"/>
            </w:pPr>
            <w:r/>
            <w:r>
              <w:rPr>
                <w:b w:val="0"/>
                <w:i w:val="0"/>
                <w:sz w:val="15"/>
              </w:rPr>
              <w:t>£1.33m</w:t>
            </w:r>
          </w:p>
        </w:tc>
        <w:tc>
          <w:tcPr>
            <w:tcW w:type="dxa" w:w="998"/>
          </w:tcPr>
          <w:p>
            <w:pPr>
              <w:spacing w:after="0" w:line="240" w:lineRule="auto"/>
            </w:pPr>
            <w:r/>
            <w:r>
              <w:rPr>
                <w:b w:val="0"/>
                <w:i w:val="0"/>
                <w:sz w:val="15"/>
              </w:rPr>
              <w:t>+£617k</w:t>
            </w:r>
          </w:p>
        </w:tc>
      </w:tr>
      <w:tr>
        <w:tc>
          <w:tcPr>
            <w:tcW w:type="dxa" w:w="998"/>
            <w:shd w:val="clear" w:color="auto" w:fill="F3F5F8"/>
          </w:tcPr>
          <w:p>
            <w:pPr>
              <w:spacing w:after="0" w:line="240" w:lineRule="auto"/>
            </w:pPr>
            <w:r/>
            <w:r>
              <w:rPr>
                <w:b w:val="0"/>
                <w:i w:val="0"/>
                <w:sz w:val="15"/>
              </w:rPr>
              <w:t>T15</w:t>
            </w:r>
          </w:p>
        </w:tc>
        <w:tc>
          <w:tcPr>
            <w:tcW w:type="dxa" w:w="998"/>
            <w:shd w:val="clear" w:color="auto" w:fill="F3F5F8"/>
          </w:tcPr>
          <w:p>
            <w:pPr>
              <w:spacing w:after="0" w:line="240" w:lineRule="auto"/>
            </w:pPr>
            <w:r/>
            <w:r>
              <w:rPr>
                <w:b w:val="0"/>
                <w:i w:val="0"/>
                <w:sz w:val="15"/>
              </w:rPr>
              <w:t>6m EURUSD call spread, 1.14 / 1.20</w:t>
            </w:r>
          </w:p>
        </w:tc>
        <w:tc>
          <w:tcPr>
            <w:tcW w:type="dxa" w:w="998"/>
            <w:shd w:val="clear" w:color="auto" w:fill="F3F5F8"/>
          </w:tcPr>
          <w:p>
            <w:pPr>
              <w:spacing w:after="0" w:line="240" w:lineRule="auto"/>
            </w:pPr>
            <w:r/>
            <w:r>
              <w:rPr>
                <w:b w:val="0"/>
                <w:i w:val="0"/>
                <w:sz w:val="15"/>
              </w:rPr>
              <w:t>Premium ≤ 80 pips (model, 6.5% vol)</w:t>
            </w:r>
          </w:p>
        </w:tc>
        <w:tc>
          <w:tcPr>
            <w:tcW w:type="dxa" w:w="998"/>
            <w:shd w:val="clear" w:color="auto" w:fill="F3F5F8"/>
          </w:tcPr>
          <w:p>
            <w:pPr>
              <w:spacing w:after="0" w:line="240" w:lineRule="auto"/>
            </w:pPr>
            <w:r/>
            <w:r>
              <w:rPr>
                <w:b w:val="0"/>
                <w:i w:val="0"/>
                <w:sz w:val="15"/>
              </w:rPr>
              <w:t>Max payout ~7.5× premium</w:t>
            </w:r>
          </w:p>
        </w:tc>
        <w:tc>
          <w:tcPr>
            <w:tcW w:type="dxa" w:w="998"/>
            <w:shd w:val="clear" w:color="auto" w:fill="F3F5F8"/>
          </w:tcPr>
          <w:p>
            <w:pPr>
              <w:spacing w:after="0" w:line="240" w:lineRule="auto"/>
            </w:pPr>
            <w:r/>
            <w:r>
              <w:rPr>
                <w:b w:val="0"/>
                <w:i w:val="0"/>
                <w:sz w:val="15"/>
              </w:rPr>
              <w:t>Premium</w:t>
            </w:r>
          </w:p>
        </w:tc>
        <w:tc>
          <w:tcPr>
            <w:tcW w:type="dxa" w:w="998"/>
            <w:shd w:val="clear" w:color="auto" w:fill="F3F5F8"/>
          </w:tcPr>
          <w:p>
            <w:pPr>
              <w:spacing w:after="0" w:line="240" w:lineRule="auto"/>
            </w:pPr>
            <w:r/>
            <w:r>
              <w:rPr>
                <w:b w:val="0"/>
                <w:i w:val="0"/>
                <w:sz w:val="15"/>
              </w:rPr>
              <w:t>~7.5x</w:t>
            </w:r>
          </w:p>
        </w:tc>
        <w:tc>
          <w:tcPr>
            <w:tcW w:type="dxa" w:w="998"/>
            <w:shd w:val="clear" w:color="auto" w:fill="F3F5F8"/>
          </w:tcPr>
          <w:p>
            <w:pPr>
              <w:spacing w:after="0" w:line="240" w:lineRule="auto"/>
            </w:pPr>
            <w:r/>
            <w:r>
              <w:rPr>
                <w:b w:val="0"/>
                <w:i w:val="0"/>
                <w:sz w:val="15"/>
              </w:rPr>
              <w:t>2</w:t>
            </w:r>
          </w:p>
        </w:tc>
        <w:tc>
          <w:tcPr>
            <w:tcW w:type="dxa" w:w="998"/>
            <w:shd w:val="clear" w:color="auto" w:fill="F3F5F8"/>
          </w:tcPr>
          <w:p>
            <w:pPr>
              <w:spacing w:after="0" w:line="240" w:lineRule="auto"/>
            </w:pPr>
            <w:r/>
            <w:r>
              <w:rPr>
                <w:b w:val="0"/>
                <w:i w:val="0"/>
                <w:sz w:val="15"/>
              </w:rPr>
              <w:t>£663k premium</w:t>
            </w:r>
          </w:p>
        </w:tc>
        <w:tc>
          <w:tcPr>
            <w:tcW w:type="dxa" w:w="998"/>
            <w:shd w:val="clear" w:color="auto" w:fill="F3F5F8"/>
          </w:tcPr>
          <w:p>
            <w:pPr>
              <w:spacing w:after="0" w:line="240" w:lineRule="auto"/>
            </w:pPr>
            <w:r/>
            <w:r>
              <w:rPr>
                <w:b w:val="0"/>
                <w:i w:val="0"/>
                <w:sz w:val="15"/>
              </w:rPr>
              <w:t>£663k</w:t>
            </w:r>
          </w:p>
        </w:tc>
        <w:tc>
          <w:tcPr>
            <w:tcW w:type="dxa" w:w="998"/>
            <w:shd w:val="clear" w:color="auto" w:fill="F3F5F8"/>
          </w:tcPr>
          <w:p>
            <w:pPr>
              <w:spacing w:after="0" w:line="240" w:lineRule="auto"/>
            </w:pPr>
            <w:r/>
            <w:r>
              <w:rPr>
                <w:b w:val="0"/>
                <w:i w:val="0"/>
                <w:sz w:val="15"/>
              </w:rPr>
              <w:t>+£833k</w:t>
            </w:r>
          </w:p>
        </w:tc>
      </w:tr>
      <w:tr>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Total</w:t>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£1.99m</w:t>
            </w:r>
          </w:p>
        </w:tc>
        <w:tc>
          <w:tcPr>
            <w:tcW w:type="dxa" w:w="998"/>
            <w:shd w:val="clear" w:color="auto" w:fill="DCE4EE"/>
          </w:tcPr>
          <w:p>
            <w:pPr>
              <w:spacing w:after="0" w:line="240" w:lineRule="auto"/>
            </w:pPr>
            <w:r/>
            <w:r>
              <w:rPr>
                <w:b/>
                <w:i w:val="0"/>
                <w:sz w:val="15"/>
              </w:rPr>
              <w:t>+£1.45m</w:t>
            </w:r>
          </w:p>
        </w:tc>
      </w:tr>
    </w:tbl>
    <w:p>
      <w:pPr>
        <w:spacing w:after="40"/>
      </w:pP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996"/>
        <w:gridCol w:w="1996"/>
        <w:gridCol w:w="1996"/>
        <w:gridCol w:w="1996"/>
        <w:gridCol w:w="1996"/>
      </w:tblGrid>
      <w:tr>
        <w:tc>
          <w:tcPr>
            <w:tcW w:type="dxa" w:w="1996"/>
            <w:shd w:val="clear" w:color="auto" w:fill="1F3A5F"/>
          </w:tcPr>
          <w:p>
            <w:pPr>
              <w:spacing w:after="0" w:line="240" w:lineRule="auto"/>
            </w:pPr>
            <w:r/>
            <w:r>
              <w:rPr>
                <w:b/>
                <w:i w:val="0"/>
                <w:color w:val="FFFFFF"/>
                <w:sz w:val="17"/>
              </w:rPr>
              <w:t>P&amp;L by scenario (£k)</w:t>
            </w:r>
          </w:p>
        </w:tc>
        <w:tc>
          <w:tcPr>
            <w:tcW w:type="dxa" w:w="1996"/>
            <w:shd w:val="clear" w:color="auto" w:fill="1F3A5F"/>
          </w:tcPr>
          <w:p>
            <w:pPr>
              <w:spacing w:after="0" w:line="240" w:lineRule="auto"/>
            </w:pPr>
            <w:r/>
            <w:r>
              <w:rPr>
                <w:b/>
                <w:i w:val="0"/>
                <w:color w:val="FFFFFF"/>
                <w:sz w:val="17"/>
              </w:rPr>
              <w:t>A (25%)</w:t>
            </w:r>
          </w:p>
        </w:tc>
        <w:tc>
          <w:tcPr>
            <w:tcW w:type="dxa" w:w="1996"/>
            <w:shd w:val="clear" w:color="auto" w:fill="1F3A5F"/>
          </w:tcPr>
          <w:p>
            <w:pPr>
              <w:spacing w:after="0" w:line="240" w:lineRule="auto"/>
            </w:pPr>
            <w:r/>
            <w:r>
              <w:rPr>
                <w:b/>
                <w:i w:val="0"/>
                <w:color w:val="FFFFFF"/>
                <w:sz w:val="17"/>
              </w:rPr>
              <w:t>B (40%)</w:t>
            </w:r>
          </w:p>
        </w:tc>
        <w:tc>
          <w:tcPr>
            <w:tcW w:type="dxa" w:w="1996"/>
            <w:shd w:val="clear" w:color="auto" w:fill="1F3A5F"/>
          </w:tcPr>
          <w:p>
            <w:pPr>
              <w:spacing w:after="0" w:line="240" w:lineRule="auto"/>
            </w:pPr>
            <w:r/>
            <w:r>
              <w:rPr>
                <w:b/>
                <w:i w:val="0"/>
                <w:color w:val="FFFFFF"/>
                <w:sz w:val="17"/>
              </w:rPr>
              <w:t>C (25%)</w:t>
            </w:r>
          </w:p>
        </w:tc>
        <w:tc>
          <w:tcPr>
            <w:tcW w:type="dxa" w:w="1996"/>
            <w:shd w:val="clear" w:color="auto" w:fill="1F3A5F"/>
          </w:tcPr>
          <w:p>
            <w:pPr>
              <w:spacing w:after="0" w:line="240" w:lineRule="auto"/>
            </w:pPr>
            <w:r/>
            <w:r>
              <w:rPr>
                <w:b/>
                <w:i w:val="0"/>
                <w:color w:val="FFFFFF"/>
                <w:sz w:val="17"/>
              </w:rPr>
              <w:t>D (10%)</w:t>
            </w:r>
          </w:p>
        </w:tc>
      </w:tr>
      <w:tr>
        <w:tc>
          <w:tcPr>
            <w:tcW w:type="dxa" w:w="1996"/>
          </w:tcPr>
          <w:p>
            <w:pPr>
              <w:spacing w:after="0" w:line="240" w:lineRule="auto"/>
            </w:pPr>
            <w:r/>
            <w:r>
              <w:rPr>
                <w:b w:val="0"/>
                <w:i w:val="0"/>
                <w:sz w:val="17"/>
              </w:rPr>
              <w:t>T14</w:t>
            </w:r>
          </w:p>
        </w:tc>
        <w:tc>
          <w:tcPr>
            <w:tcW w:type="dxa" w:w="1996"/>
          </w:tcPr>
          <w:p>
            <w:pPr>
              <w:spacing w:after="0" w:line="240" w:lineRule="auto"/>
            </w:pPr>
            <w:r/>
            <w:r>
              <w:rPr>
                <w:b w:val="0"/>
                <w:i w:val="0"/>
                <w:sz w:val="17"/>
              </w:rPr>
              <w:t>+1,734</w:t>
            </w:r>
          </w:p>
        </w:tc>
        <w:tc>
          <w:tcPr>
            <w:tcW w:type="dxa" w:w="1996"/>
          </w:tcPr>
          <w:p>
            <w:pPr>
              <w:spacing w:after="0" w:line="240" w:lineRule="auto"/>
            </w:pPr>
            <w:r/>
            <w:r>
              <w:rPr>
                <w:b w:val="0"/>
                <w:i w:val="0"/>
                <w:sz w:val="17"/>
              </w:rPr>
              <w:t>+407</w:t>
            </w:r>
          </w:p>
        </w:tc>
        <w:tc>
          <w:tcPr>
            <w:tcW w:type="dxa" w:w="1996"/>
          </w:tcPr>
          <w:p>
            <w:pPr>
              <w:spacing w:after="0" w:line="240" w:lineRule="auto"/>
            </w:pPr>
            <w:r/>
            <w:r>
              <w:rPr>
                <w:b w:val="0"/>
                <w:i w:val="0"/>
                <w:sz w:val="17"/>
              </w:rPr>
              <w:t>−1,019</w:t>
            </w:r>
          </w:p>
        </w:tc>
        <w:tc>
          <w:tcPr>
            <w:tcW w:type="dxa" w:w="1996"/>
          </w:tcPr>
          <w:p>
            <w:pPr>
              <w:spacing w:after="0" w:line="240" w:lineRule="auto"/>
            </w:pPr>
            <w:r/>
            <w:r>
              <w:rPr>
                <w:b w:val="0"/>
                <w:i w:val="0"/>
                <w:sz w:val="17"/>
              </w:rPr>
              <w:t>+2,756</w:t>
            </w:r>
          </w:p>
        </w:tc>
      </w:tr>
      <w:tr>
        <w:tc>
          <w:tcPr>
            <w:tcW w:type="dxa" w:w="1996"/>
            <w:shd w:val="clear" w:color="auto" w:fill="F3F5F8"/>
          </w:tcPr>
          <w:p>
            <w:pPr>
              <w:spacing w:after="0" w:line="240" w:lineRule="auto"/>
            </w:pPr>
            <w:r/>
            <w:r>
              <w:rPr>
                <w:b w:val="0"/>
                <w:i w:val="0"/>
                <w:sz w:val="17"/>
              </w:rPr>
              <w:t>T15</w:t>
            </w:r>
          </w:p>
        </w:tc>
        <w:tc>
          <w:tcPr>
            <w:tcW w:type="dxa" w:w="1996"/>
            <w:shd w:val="clear" w:color="auto" w:fill="F3F5F8"/>
          </w:tcPr>
          <w:p>
            <w:pPr>
              <w:spacing w:after="0" w:line="240" w:lineRule="auto"/>
            </w:pPr>
            <w:r/>
            <w:r>
              <w:rPr>
                <w:b w:val="0"/>
                <w:i w:val="0"/>
                <w:sz w:val="17"/>
              </w:rPr>
              <w:t>+4,327</w:t>
            </w:r>
          </w:p>
        </w:tc>
        <w:tc>
          <w:tcPr>
            <w:tcW w:type="dxa" w:w="1996"/>
            <w:shd w:val="clear" w:color="auto" w:fill="F3F5F8"/>
          </w:tcPr>
          <w:p>
            <w:pPr>
              <w:spacing w:after="0" w:line="240" w:lineRule="auto"/>
            </w:pPr>
            <w:r/>
            <w:r>
              <w:rPr>
                <w:b w:val="0"/>
                <w:i w:val="0"/>
                <w:sz w:val="17"/>
              </w:rPr>
              <w:t>−665</w:t>
            </w:r>
          </w:p>
        </w:tc>
        <w:tc>
          <w:tcPr>
            <w:tcW w:type="dxa" w:w="1996"/>
            <w:shd w:val="clear" w:color="auto" w:fill="F3F5F8"/>
          </w:tcPr>
          <w:p>
            <w:pPr>
              <w:spacing w:after="0" w:line="240" w:lineRule="auto"/>
            </w:pPr>
            <w:r/>
            <w:r>
              <w:rPr>
                <w:b w:val="0"/>
                <w:i w:val="0"/>
                <w:sz w:val="17"/>
              </w:rPr>
              <w:t>−665</w:t>
            </w:r>
          </w:p>
        </w:tc>
        <w:tc>
          <w:tcPr>
            <w:tcW w:type="dxa" w:w="1996"/>
            <w:shd w:val="clear" w:color="auto" w:fill="F3F5F8"/>
          </w:tcPr>
          <w:p>
            <w:pPr>
              <w:spacing w:after="0" w:line="240" w:lineRule="auto"/>
            </w:pPr>
            <w:r/>
            <w:r>
              <w:rPr>
                <w:b w:val="0"/>
                <w:i w:val="0"/>
                <w:sz w:val="17"/>
              </w:rPr>
              <w:t>+1,833</w:t>
            </w:r>
          </w:p>
        </w:tc>
      </w:tr>
      <w:tr>
        <w:tc>
          <w:tcPr>
            <w:tcW w:type="dxa" w:w="1996"/>
            <w:shd w:val="clear" w:color="auto" w:fill="DCE4EE"/>
          </w:tcPr>
          <w:p>
            <w:pPr>
              <w:spacing w:after="0" w:line="240" w:lineRule="auto"/>
            </w:pPr>
            <w:r/>
            <w:r>
              <w:rPr>
                <w:b/>
                <w:i w:val="0"/>
                <w:sz w:val="17"/>
              </w:rPr>
              <w:t>Theme 4</w:t>
            </w:r>
          </w:p>
        </w:tc>
        <w:tc>
          <w:tcPr>
            <w:tcW w:type="dxa" w:w="1996"/>
            <w:shd w:val="clear" w:color="auto" w:fill="DCE4EE"/>
          </w:tcPr>
          <w:p>
            <w:pPr>
              <w:spacing w:after="0" w:line="240" w:lineRule="auto"/>
            </w:pPr>
            <w:r/>
            <w:r>
              <w:rPr>
                <w:b/>
                <w:i w:val="0"/>
                <w:sz w:val="17"/>
              </w:rPr>
              <w:t>+6,061</w:t>
            </w:r>
          </w:p>
        </w:tc>
        <w:tc>
          <w:tcPr>
            <w:tcW w:type="dxa" w:w="1996"/>
            <w:shd w:val="clear" w:color="auto" w:fill="DCE4EE"/>
          </w:tcPr>
          <w:p>
            <w:pPr>
              <w:spacing w:after="0" w:line="240" w:lineRule="auto"/>
            </w:pPr>
            <w:r/>
            <w:r>
              <w:rPr>
                <w:b/>
                <w:i w:val="0"/>
                <w:sz w:val="17"/>
              </w:rPr>
              <w:t>−258</w:t>
            </w:r>
          </w:p>
        </w:tc>
        <w:tc>
          <w:tcPr>
            <w:tcW w:type="dxa" w:w="1996"/>
            <w:shd w:val="clear" w:color="auto" w:fill="DCE4EE"/>
          </w:tcPr>
          <w:p>
            <w:pPr>
              <w:spacing w:after="0" w:line="240" w:lineRule="auto"/>
            </w:pPr>
            <w:r/>
            <w:r>
              <w:rPr>
                <w:b/>
                <w:i w:val="0"/>
                <w:sz w:val="17"/>
              </w:rPr>
              <w:t>−1,684</w:t>
            </w:r>
          </w:p>
        </w:tc>
        <w:tc>
          <w:tcPr>
            <w:tcW w:type="dxa" w:w="1996"/>
            <w:shd w:val="clear" w:color="auto" w:fill="DCE4EE"/>
          </w:tcPr>
          <w:p>
            <w:pPr>
              <w:spacing w:after="0" w:line="240" w:lineRule="auto"/>
            </w:pPr>
            <w:r/>
            <w:r>
              <w:rPr>
                <w:b/>
                <w:i w:val="0"/>
                <w:sz w:val="17"/>
              </w:rPr>
              <w:t>+4,589</w:t>
            </w:r>
          </w:p>
        </w:tc>
      </w:tr>
    </w:tbl>
    <w:p>
      <w:pPr>
        <w:spacing w:after="40"/>
      </w:pPr>
    </w:p>
    <w:p>
      <w:pPr>
        <w:pStyle w:val="ListBullet"/>
        <w:spacing w:after="40"/>
      </w:pPr>
      <w:r>
        <w:rPr>
          <w:b/>
          <w:i w:val="0"/>
        </w:rPr>
        <w:t>T14:</w:t>
      </w:r>
      <w:r>
        <w:rPr>
          <w:b w:val="0"/>
          <w:i w:val="0"/>
        </w:rPr>
        <w:t xml:space="preserve"> Record Bund supply meets a curve that has flattened from 124bp to 68bp. It loses only in C. The stop is below the 1y low (56bp), ~5× daily realised vol.</w:t>
      </w:r>
    </w:p>
    <w:p>
      <w:pPr>
        <w:pStyle w:val="ListBullet"/>
        <w:spacing w:after="40"/>
      </w:pPr>
      <w:r>
        <w:rPr>
          <w:b/>
          <w:i w:val="0"/>
        </w:rPr>
        <w:t>T15:</w:t>
      </w:r>
      <w:r>
        <w:rPr>
          <w:b w:val="0"/>
          <w:i w:val="0"/>
        </w:rPr>
        <w:t xml:space="preserve"> Options are cheaper than spot: realised vol is 5.0% and spot carries negatively (6m forward ~1.110). The 1.20 cap is January's high. Buy only at or below 80 pips; valued at expiry.</w:t>
      </w:r>
    </w:p>
    <w:p>
      <w:pPr>
        <w:pStyle w:val="ListBullet"/>
        <w:spacing w:after="40"/>
      </w:pPr>
      <w:r>
        <w:rPr>
          <w:b w:val="0"/>
          <w:i/>
        </w:rPr>
        <w:t>Not traded:</w:t>
      </w:r>
      <w:r>
        <w:rPr>
          <w:b w:val="0"/>
          <w:i w:val="0"/>
        </w:rPr>
        <w:t xml:space="preserve"> Europe vs US equities (an equity-book trade); PLN and Ukraine reconstruction (a 10% tail that T14 and T15 already cover).</w:t>
      </w:r>
    </w:p>
    <w:p>
      <w:pPr>
        <w:pStyle w:val="ListBullet"/>
        <w:spacing w:after="40"/>
      </w:pPr>
      <w:r>
        <w:rPr>
          <w:b w:val="0"/>
          <w:i/>
        </w:rPr>
        <w:t>Levels:</w:t>
      </w:r>
      <w:r>
        <w:rPr>
          <w:b w:val="0"/>
          <w:i w:val="0"/>
        </w:rPr>
        <w:t xml:space="preserve"> Bundesbank curve (19 Oct); FRED (EURUSD 9 Oct, UST 15 Oct).</w:t>
      </w:r>
    </w:p>
    <w:p>
      <w:r>
        <w:br w:type="page"/>
      </w:r>
    </w:p>
    <w:p>
      <w:pPr>
        <w:pStyle w:val="Heading1"/>
      </w:pPr>
      <w:r>
        <w:t>Theme 5: The AI bubble bursts</w:t>
      </w:r>
    </w:p>
    <w:p>
      <w:pPr>
        <w:pStyle w:val="Heading2"/>
      </w:pPr>
      <w:r>
        <w:t>Current state of the theme</w:t>
      </w:r>
    </w:p>
    <w:p>
      <w:pPr>
        <w:pStyle w:val="ListBullet"/>
        <w:spacing w:after="40"/>
      </w:pPr>
      <w:r>
        <w:rPr>
          <w:b/>
          <w:i w:val="0"/>
        </w:rPr>
        <w:t>Where it stands:</w:t>
      </w:r>
    </w:p>
    <w:p>
      <w:pPr>
        <w:pStyle w:val="ListBullet2"/>
        <w:spacing w:after="40"/>
      </w:pPr>
      <w:r>
        <w:rPr>
          <w:b w:val="0"/>
          <w:i w:val="0"/>
        </w:rPr>
        <w:t>Markets are priced as if nothing can go wrong: the Nasdaq is 3% off its 6 Oct record (26,713), VIX is 16.5 and IG spreads are 84bp (1y range 73–94bp).</w:t>
      </w:r>
    </w:p>
    <w:p>
      <w:pPr>
        <w:pStyle w:val="ListBullet2"/>
        <w:spacing w:after="40"/>
      </w:pPr>
      <w:r>
        <w:rPr>
          <w:b w:val="0"/>
          <w:i w:val="0"/>
        </w:rPr>
        <w:t>That is despite 5.10% 10y Treasuries, $127 Brent and a hiking Fed. AI drove ~80% of US equity gains in 2025.</w:t>
      </w:r>
    </w:p>
    <w:p>
      <w:pPr>
        <w:pStyle w:val="ListBullet"/>
        <w:spacing w:after="40"/>
      </w:pPr>
      <w:r>
        <w:rPr>
          <w:b/>
          <w:i w:val="0"/>
        </w:rPr>
        <w:t>Capex:</w:t>
      </w:r>
    </w:p>
    <w:p>
      <w:pPr>
        <w:pStyle w:val="ListBullet2"/>
        <w:spacing w:after="40"/>
      </w:pPr>
      <w:r>
        <w:rPr>
          <w:b w:val="0"/>
          <w:i w:val="0"/>
        </w:rPr>
        <w:t>Nvidia sees hyperscaler capex near $800bn in 2026 and ~$1.3trn in 2027. Amazon, Alphabet and Microsoft are spending ~102% of cloud revenue on it.</w:t>
      </w:r>
    </w:p>
    <w:p>
      <w:pPr>
        <w:pStyle w:val="ListBullet2"/>
        <w:spacing w:after="40"/>
      </w:pPr>
      <w:r>
        <w:rPr>
          <w:b w:val="0"/>
          <w:i w:val="0"/>
        </w:rPr>
        <w:t>A burst needs a capex cut; late-October earnings are the next test.</w:t>
      </w:r>
    </w:p>
    <w:p>
      <w:pPr>
        <w:pStyle w:val="ListBullet"/>
        <w:spacing w:after="40"/>
      </w:pPr>
      <w:r>
        <w:rPr>
          <w:b/>
          <w:i w:val="0"/>
        </w:rPr>
        <w:t>Debt is where the cracks are:</w:t>
      </w:r>
    </w:p>
    <w:p>
      <w:pPr>
        <w:pStyle w:val="ListBullet2"/>
        <w:spacing w:after="40"/>
      </w:pPr>
      <w:r>
        <w:rPr>
          <w:b w:val="0"/>
          <w:i w:val="0"/>
        </w:rPr>
        <w:t>AI-related issuance is ~$500bn so far this year (Goldman), four times last year's pace.</w:t>
      </w:r>
    </w:p>
    <w:p>
      <w:pPr>
        <w:pStyle w:val="ListBullet2"/>
        <w:spacing w:after="40"/>
      </w:pPr>
      <w:r>
        <w:rPr>
          <w:b w:val="0"/>
          <w:i w:val="0"/>
        </w:rPr>
        <w:t>Hyperscaler bond order books fell from ~5× covered in February to under 2× in July (Apollo).</w:t>
      </w:r>
    </w:p>
    <w:p>
      <w:pPr>
        <w:pStyle w:val="ListBullet2"/>
        <w:spacing w:after="40"/>
      </w:pPr>
      <w:r>
        <w:rPr>
          <w:b w:val="0"/>
          <w:i w:val="0"/>
        </w:rPr>
        <w:t>~$660bn of data-centre leases sits off balance sheet (Moody's), much of it financed by private credit. The market is questioning the speculative names (CoreWeave).</w:t>
      </w:r>
    </w:p>
    <w:p>
      <w:pPr>
        <w:pStyle w:val="ListBullet"/>
        <w:spacing w:after="40"/>
      </w:pPr>
      <w:r>
        <w:rPr>
          <w:b/>
          <w:i w:val="0"/>
        </w:rPr>
        <w:t>Macro link:</w:t>
      </w:r>
      <w:r>
        <w:rPr>
          <w:b w:val="0"/>
          <w:i w:val="0"/>
        </w:rPr>
        <w:t xml:space="preserve"> The 2y (4.77%) sits ~90bp above SOFR, so hikes are priced; a December hike is the median dot. A burst flips that to cuts. The Nasdaq already trades against the 2y (6m correlation −0.38).</w:t>
      </w:r>
    </w:p>
    <w:p>
      <w:pPr>
        <w:pStyle w:val="Heading2"/>
      </w:pPr>
      <w:r>
        <w:t>Scenarios</w:t>
      </w:r>
    </w:p>
    <w:p>
      <w:r>
        <w:rPr>
          <w:b/>
          <w:i w:val="0"/>
        </w:rPr>
        <w:t>A burst is a 20% risk (C + D) over six months, but pricing treats it as remote. Credit is the weak link because the buildout is debt-funded, not because AI demand has peaked. The Fed's response turns an equity event into a rates trade.</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425"/>
        <w:gridCol w:w="1425"/>
        <w:gridCol w:w="1425"/>
        <w:gridCol w:w="1425"/>
        <w:gridCol w:w="1425"/>
        <w:gridCol w:w="1425"/>
        <w:gridCol w:w="1425"/>
      </w:tblGrid>
      <w:tr>
        <w:tc>
          <w:tcPr>
            <w:tcW w:type="dxa" w:w="1425"/>
            <w:shd w:val="clear" w:color="auto" w:fill="1F3A5F"/>
          </w:tcPr>
          <w:p>
            <w:pPr>
              <w:spacing w:after="0" w:line="240" w:lineRule="auto"/>
            </w:pPr>
            <w:r/>
            <w:r>
              <w:rPr>
                <w:b/>
                <w:i w:val="0"/>
                <w:color w:val="FFFFFF"/>
                <w:sz w:val="17"/>
              </w:rPr>
              <w:t>Scenario</w:t>
            </w:r>
          </w:p>
        </w:tc>
        <w:tc>
          <w:tcPr>
            <w:tcW w:type="dxa" w:w="1425"/>
            <w:shd w:val="clear" w:color="auto" w:fill="1F3A5F"/>
          </w:tcPr>
          <w:p>
            <w:pPr>
              <w:spacing w:after="0" w:line="240" w:lineRule="auto"/>
            </w:pPr>
            <w:r/>
            <w:r>
              <w:rPr>
                <w:b/>
                <w:i w:val="0"/>
                <w:color w:val="FFFFFF"/>
                <w:sz w:val="17"/>
              </w:rPr>
              <w:t>Prob.</w:t>
            </w:r>
          </w:p>
        </w:tc>
        <w:tc>
          <w:tcPr>
            <w:tcW w:type="dxa" w:w="1425"/>
            <w:shd w:val="clear" w:color="auto" w:fill="1F3A5F"/>
          </w:tcPr>
          <w:p>
            <w:pPr>
              <w:spacing w:after="0" w:line="240" w:lineRule="auto"/>
            </w:pPr>
            <w:r/>
            <w:r>
              <w:rPr>
                <w:b/>
                <w:i w:val="0"/>
                <w:color w:val="FFFFFF"/>
                <w:sz w:val="17"/>
              </w:rPr>
              <w:t>Trigger</w:t>
            </w:r>
          </w:p>
        </w:tc>
        <w:tc>
          <w:tcPr>
            <w:tcW w:type="dxa" w:w="1425"/>
            <w:shd w:val="clear" w:color="auto" w:fill="1F3A5F"/>
          </w:tcPr>
          <w:p>
            <w:pPr>
              <w:spacing w:after="0" w:line="240" w:lineRule="auto"/>
            </w:pPr>
            <w:r/>
            <w:r>
              <w:rPr>
                <w:b/>
                <w:i w:val="0"/>
                <w:color w:val="FFFFFF"/>
                <w:sz w:val="17"/>
              </w:rPr>
              <w:t>Nasdaq</w:t>
            </w:r>
          </w:p>
        </w:tc>
        <w:tc>
          <w:tcPr>
            <w:tcW w:type="dxa" w:w="1425"/>
            <w:shd w:val="clear" w:color="auto" w:fill="1F3A5F"/>
          </w:tcPr>
          <w:p>
            <w:pPr>
              <w:spacing w:after="0" w:line="240" w:lineRule="auto"/>
            </w:pPr>
            <w:r/>
            <w:r>
              <w:rPr>
                <w:b/>
                <w:i w:val="0"/>
                <w:color w:val="FFFFFF"/>
                <w:sz w:val="17"/>
              </w:rPr>
              <w:t>US 2y</w:t>
            </w:r>
          </w:p>
        </w:tc>
        <w:tc>
          <w:tcPr>
            <w:tcW w:type="dxa" w:w="1425"/>
            <w:shd w:val="clear" w:color="auto" w:fill="1F3A5F"/>
          </w:tcPr>
          <w:p>
            <w:pPr>
              <w:spacing w:after="0" w:line="240" w:lineRule="auto"/>
            </w:pPr>
            <w:r/>
            <w:r>
              <w:rPr>
                <w:b/>
                <w:i w:val="0"/>
                <w:color w:val="FFFFFF"/>
                <w:sz w:val="17"/>
              </w:rPr>
              <w:t>IG OAS</w:t>
            </w:r>
          </w:p>
        </w:tc>
        <w:tc>
          <w:tcPr>
            <w:tcW w:type="dxa" w:w="1425"/>
            <w:shd w:val="clear" w:color="auto" w:fill="1F3A5F"/>
          </w:tcPr>
          <w:p>
            <w:pPr>
              <w:spacing w:after="0" w:line="240" w:lineRule="auto"/>
            </w:pPr>
            <w:r/>
            <w:r>
              <w:rPr>
                <w:b/>
                <w:i w:val="0"/>
                <w:color w:val="FFFFFF"/>
                <w:sz w:val="17"/>
              </w:rPr>
              <w:t>Fed</w:t>
            </w:r>
          </w:p>
        </w:tc>
      </w:tr>
      <w:tr>
        <w:tc>
          <w:tcPr>
            <w:tcW w:type="dxa" w:w="1425"/>
          </w:tcPr>
          <w:p>
            <w:pPr>
              <w:spacing w:after="0" w:line="240" w:lineRule="auto"/>
            </w:pPr>
            <w:r/>
            <w:r>
              <w:rPr>
                <w:b w:val="0"/>
                <w:i w:val="0"/>
                <w:sz w:val="17"/>
              </w:rPr>
              <w:t>A. Boom continues</w:t>
            </w:r>
          </w:p>
        </w:tc>
        <w:tc>
          <w:tcPr>
            <w:tcW w:type="dxa" w:w="1425"/>
          </w:tcPr>
          <w:p>
            <w:pPr>
              <w:spacing w:after="0" w:line="240" w:lineRule="auto"/>
            </w:pPr>
            <w:r/>
            <w:r>
              <w:rPr>
                <w:b w:val="0"/>
                <w:i w:val="0"/>
                <w:sz w:val="17"/>
              </w:rPr>
              <w:t>45%</w:t>
            </w:r>
          </w:p>
        </w:tc>
        <w:tc>
          <w:tcPr>
            <w:tcW w:type="dxa" w:w="1425"/>
          </w:tcPr>
          <w:p>
            <w:pPr>
              <w:spacing w:after="0" w:line="240" w:lineRule="auto"/>
            </w:pPr>
            <w:r/>
            <w:r>
              <w:rPr>
                <w:b w:val="0"/>
                <w:i w:val="0"/>
                <w:sz w:val="17"/>
              </w:rPr>
              <w:t>Capex guided higher; earnings beat</w:t>
            </w:r>
          </w:p>
        </w:tc>
        <w:tc>
          <w:tcPr>
            <w:tcW w:type="dxa" w:w="1425"/>
          </w:tcPr>
          <w:p>
            <w:pPr>
              <w:spacing w:after="0" w:line="240" w:lineRule="auto"/>
            </w:pPr>
            <w:r/>
            <w:r>
              <w:rPr>
                <w:b w:val="0"/>
                <w:i w:val="0"/>
                <w:sz w:val="17"/>
              </w:rPr>
              <w:t>+10%</w:t>
            </w:r>
          </w:p>
        </w:tc>
        <w:tc>
          <w:tcPr>
            <w:tcW w:type="dxa" w:w="1425"/>
          </w:tcPr>
          <w:p>
            <w:pPr>
              <w:spacing w:after="0" w:line="240" w:lineRule="auto"/>
            </w:pPr>
            <w:r/>
            <w:r>
              <w:rPr>
                <w:b w:val="0"/>
                <w:i w:val="0"/>
                <w:sz w:val="17"/>
              </w:rPr>
              <w:t>4.95%</w:t>
            </w:r>
          </w:p>
        </w:tc>
        <w:tc>
          <w:tcPr>
            <w:tcW w:type="dxa" w:w="1425"/>
          </w:tcPr>
          <w:p>
            <w:pPr>
              <w:spacing w:after="0" w:line="240" w:lineRule="auto"/>
            </w:pPr>
            <w:r/>
            <w:r>
              <w:rPr>
                <w:b w:val="0"/>
                <w:i w:val="0"/>
                <w:sz w:val="17"/>
              </w:rPr>
              <w:t>80bp</w:t>
            </w:r>
          </w:p>
        </w:tc>
        <w:tc>
          <w:tcPr>
            <w:tcW w:type="dxa" w:w="1425"/>
          </w:tcPr>
          <w:p>
            <w:pPr>
              <w:spacing w:after="0" w:line="240" w:lineRule="auto"/>
            </w:pPr>
            <w:r/>
            <w:r>
              <w:rPr>
                <w:b w:val="0"/>
                <w:i w:val="0"/>
                <w:sz w:val="17"/>
              </w:rPr>
              <w:t>Hikes in December</w:t>
            </w:r>
          </w:p>
        </w:tc>
      </w:tr>
      <w:tr>
        <w:tc>
          <w:tcPr>
            <w:tcW w:type="dxa" w:w="1425"/>
            <w:shd w:val="clear" w:color="auto" w:fill="F3F5F8"/>
          </w:tcPr>
          <w:p>
            <w:pPr>
              <w:spacing w:after="0" w:line="240" w:lineRule="auto"/>
            </w:pPr>
            <w:r/>
            <w:r>
              <w:rPr>
                <w:b w:val="0"/>
                <w:i w:val="0"/>
                <w:sz w:val="17"/>
              </w:rPr>
              <w:t>B. Correction</w:t>
            </w:r>
          </w:p>
        </w:tc>
        <w:tc>
          <w:tcPr>
            <w:tcW w:type="dxa" w:w="1425"/>
            <w:shd w:val="clear" w:color="auto" w:fill="F3F5F8"/>
          </w:tcPr>
          <w:p>
            <w:pPr>
              <w:spacing w:after="0" w:line="240" w:lineRule="auto"/>
            </w:pPr>
            <w:r/>
            <w:r>
              <w:rPr>
                <w:b w:val="0"/>
                <w:i w:val="0"/>
                <w:sz w:val="17"/>
              </w:rPr>
              <w:t>35%</w:t>
            </w:r>
          </w:p>
        </w:tc>
        <w:tc>
          <w:tcPr>
            <w:tcW w:type="dxa" w:w="1425"/>
            <w:shd w:val="clear" w:color="auto" w:fill="F3F5F8"/>
          </w:tcPr>
          <w:p>
            <w:pPr>
              <w:spacing w:after="0" w:line="240" w:lineRule="auto"/>
            </w:pPr>
            <w:r/>
            <w:r>
              <w:rPr>
                <w:b w:val="0"/>
                <w:i w:val="0"/>
                <w:sz w:val="17"/>
              </w:rPr>
              <w:t>Capex digestion; rates and energy bite</w:t>
            </w:r>
          </w:p>
        </w:tc>
        <w:tc>
          <w:tcPr>
            <w:tcW w:type="dxa" w:w="1425"/>
            <w:shd w:val="clear" w:color="auto" w:fill="F3F5F8"/>
          </w:tcPr>
          <w:p>
            <w:pPr>
              <w:spacing w:after="0" w:line="240" w:lineRule="auto"/>
            </w:pPr>
            <w:r/>
            <w:r>
              <w:rPr>
                <w:b w:val="0"/>
                <w:i w:val="0"/>
                <w:sz w:val="17"/>
              </w:rPr>
              <w:t>−10%</w:t>
            </w:r>
          </w:p>
        </w:tc>
        <w:tc>
          <w:tcPr>
            <w:tcW w:type="dxa" w:w="1425"/>
            <w:shd w:val="clear" w:color="auto" w:fill="F3F5F8"/>
          </w:tcPr>
          <w:p>
            <w:pPr>
              <w:spacing w:after="0" w:line="240" w:lineRule="auto"/>
            </w:pPr>
            <w:r/>
            <w:r>
              <w:rPr>
                <w:b w:val="0"/>
                <w:i w:val="0"/>
                <w:sz w:val="17"/>
              </w:rPr>
              <w:t>4.55%</w:t>
            </w:r>
          </w:p>
        </w:tc>
        <w:tc>
          <w:tcPr>
            <w:tcW w:type="dxa" w:w="1425"/>
            <w:shd w:val="clear" w:color="auto" w:fill="F3F5F8"/>
          </w:tcPr>
          <w:p>
            <w:pPr>
              <w:spacing w:after="0" w:line="240" w:lineRule="auto"/>
            </w:pPr>
            <w:r/>
            <w:r>
              <w:rPr>
                <w:b w:val="0"/>
                <w:i w:val="0"/>
                <w:sz w:val="17"/>
              </w:rPr>
              <w:t>95bp</w:t>
            </w:r>
          </w:p>
        </w:tc>
        <w:tc>
          <w:tcPr>
            <w:tcW w:type="dxa" w:w="1425"/>
            <w:shd w:val="clear" w:color="auto" w:fill="F3F5F8"/>
          </w:tcPr>
          <w:p>
            <w:pPr>
              <w:spacing w:after="0" w:line="240" w:lineRule="auto"/>
            </w:pPr>
            <w:r/>
            <w:r>
              <w:rPr>
                <w:b w:val="0"/>
                <w:i w:val="0"/>
                <w:sz w:val="17"/>
              </w:rPr>
              <w:t>Pauses</w:t>
            </w:r>
          </w:p>
        </w:tc>
      </w:tr>
      <w:tr>
        <w:tc>
          <w:tcPr>
            <w:tcW w:type="dxa" w:w="1425"/>
          </w:tcPr>
          <w:p>
            <w:pPr>
              <w:spacing w:after="0" w:line="240" w:lineRule="auto"/>
            </w:pPr>
            <w:r/>
            <w:r>
              <w:rPr>
                <w:b w:val="0"/>
                <w:i w:val="0"/>
                <w:sz w:val="17"/>
              </w:rPr>
              <w:t>C. Burst</w:t>
            </w:r>
          </w:p>
        </w:tc>
        <w:tc>
          <w:tcPr>
            <w:tcW w:type="dxa" w:w="1425"/>
          </w:tcPr>
          <w:p>
            <w:pPr>
              <w:spacing w:after="0" w:line="240" w:lineRule="auto"/>
            </w:pPr>
            <w:r/>
            <w:r>
              <w:rPr>
                <w:b w:val="0"/>
                <w:i w:val="0"/>
                <w:sz w:val="17"/>
              </w:rPr>
              <w:t>15%</w:t>
            </w:r>
          </w:p>
        </w:tc>
        <w:tc>
          <w:tcPr>
            <w:tcW w:type="dxa" w:w="1425"/>
          </w:tcPr>
          <w:p>
            <w:pPr>
              <w:spacing w:after="0" w:line="240" w:lineRule="auto"/>
            </w:pPr>
            <w:r/>
            <w:r>
              <w:rPr>
                <w:b w:val="0"/>
                <w:i w:val="0"/>
                <w:sz w:val="17"/>
              </w:rPr>
              <w:t>A hyperscaler cuts capex</w:t>
            </w:r>
          </w:p>
        </w:tc>
        <w:tc>
          <w:tcPr>
            <w:tcW w:type="dxa" w:w="1425"/>
          </w:tcPr>
          <w:p>
            <w:pPr>
              <w:spacing w:after="0" w:line="240" w:lineRule="auto"/>
            </w:pPr>
            <w:r/>
            <w:r>
              <w:rPr>
                <w:b w:val="0"/>
                <w:i w:val="0"/>
                <w:sz w:val="17"/>
              </w:rPr>
              <w:t>−30%</w:t>
            </w:r>
          </w:p>
        </w:tc>
        <w:tc>
          <w:tcPr>
            <w:tcW w:type="dxa" w:w="1425"/>
          </w:tcPr>
          <w:p>
            <w:pPr>
              <w:spacing w:after="0" w:line="240" w:lineRule="auto"/>
            </w:pPr>
            <w:r/>
            <w:r>
              <w:rPr>
                <w:b w:val="0"/>
                <w:i w:val="0"/>
                <w:sz w:val="17"/>
              </w:rPr>
              <w:t>3.80%</w:t>
            </w:r>
          </w:p>
        </w:tc>
        <w:tc>
          <w:tcPr>
            <w:tcW w:type="dxa" w:w="1425"/>
          </w:tcPr>
          <w:p>
            <w:pPr>
              <w:spacing w:after="0" w:line="240" w:lineRule="auto"/>
            </w:pPr>
            <w:r/>
            <w:r>
              <w:rPr>
                <w:b w:val="0"/>
                <w:i w:val="0"/>
                <w:sz w:val="17"/>
              </w:rPr>
              <w:t>140bp</w:t>
            </w:r>
          </w:p>
        </w:tc>
        <w:tc>
          <w:tcPr>
            <w:tcW w:type="dxa" w:w="1425"/>
          </w:tcPr>
          <w:p>
            <w:pPr>
              <w:spacing w:after="0" w:line="240" w:lineRule="auto"/>
            </w:pPr>
            <w:r/>
            <w:r>
              <w:rPr>
                <w:b w:val="0"/>
                <w:i w:val="0"/>
                <w:sz w:val="17"/>
              </w:rPr>
              <w:t>Cuts by Q1 2027</w:t>
            </w:r>
          </w:p>
        </w:tc>
      </w:tr>
      <w:tr>
        <w:tc>
          <w:tcPr>
            <w:tcW w:type="dxa" w:w="1425"/>
            <w:shd w:val="clear" w:color="auto" w:fill="F3F5F8"/>
          </w:tcPr>
          <w:p>
            <w:pPr>
              <w:spacing w:after="0" w:line="240" w:lineRule="auto"/>
            </w:pPr>
            <w:r/>
            <w:r>
              <w:rPr>
                <w:b w:val="0"/>
                <w:i w:val="0"/>
                <w:sz w:val="17"/>
              </w:rPr>
              <w:t>D. Burst, with a credit event</w:t>
            </w:r>
          </w:p>
        </w:tc>
        <w:tc>
          <w:tcPr>
            <w:tcW w:type="dxa" w:w="1425"/>
            <w:shd w:val="clear" w:color="auto" w:fill="F3F5F8"/>
          </w:tcPr>
          <w:p>
            <w:pPr>
              <w:spacing w:after="0" w:line="240" w:lineRule="auto"/>
            </w:pPr>
            <w:r/>
            <w:r>
              <w:rPr>
                <w:b w:val="0"/>
                <w:i w:val="0"/>
                <w:sz w:val="17"/>
              </w:rPr>
              <w:t>5%</w:t>
            </w:r>
          </w:p>
        </w:tc>
        <w:tc>
          <w:tcPr>
            <w:tcW w:type="dxa" w:w="1425"/>
            <w:shd w:val="clear" w:color="auto" w:fill="F3F5F8"/>
          </w:tcPr>
          <w:p>
            <w:pPr>
              <w:spacing w:after="0" w:line="240" w:lineRule="auto"/>
            </w:pPr>
            <w:r/>
            <w:r>
              <w:rPr>
                <w:b w:val="0"/>
                <w:i w:val="0"/>
                <w:sz w:val="17"/>
              </w:rPr>
              <w:t>A data-centre financing fails</w:t>
            </w:r>
          </w:p>
        </w:tc>
        <w:tc>
          <w:tcPr>
            <w:tcW w:type="dxa" w:w="1425"/>
            <w:shd w:val="clear" w:color="auto" w:fill="F3F5F8"/>
          </w:tcPr>
          <w:p>
            <w:pPr>
              <w:spacing w:after="0" w:line="240" w:lineRule="auto"/>
            </w:pPr>
            <w:r/>
            <w:r>
              <w:rPr>
                <w:b w:val="0"/>
                <w:i w:val="0"/>
                <w:sz w:val="17"/>
              </w:rPr>
              <w:t>−40%</w:t>
            </w:r>
          </w:p>
        </w:tc>
        <w:tc>
          <w:tcPr>
            <w:tcW w:type="dxa" w:w="1425"/>
            <w:shd w:val="clear" w:color="auto" w:fill="F3F5F8"/>
          </w:tcPr>
          <w:p>
            <w:pPr>
              <w:spacing w:after="0" w:line="240" w:lineRule="auto"/>
            </w:pPr>
            <w:r/>
            <w:r>
              <w:rPr>
                <w:b w:val="0"/>
                <w:i w:val="0"/>
                <w:sz w:val="17"/>
              </w:rPr>
              <w:t>3.40%</w:t>
            </w:r>
          </w:p>
        </w:tc>
        <w:tc>
          <w:tcPr>
            <w:tcW w:type="dxa" w:w="1425"/>
            <w:shd w:val="clear" w:color="auto" w:fill="F3F5F8"/>
          </w:tcPr>
          <w:p>
            <w:pPr>
              <w:spacing w:after="0" w:line="240" w:lineRule="auto"/>
            </w:pPr>
            <w:r/>
            <w:r>
              <w:rPr>
                <w:b w:val="0"/>
                <w:i w:val="0"/>
                <w:sz w:val="17"/>
              </w:rPr>
              <w:t>190bp</w:t>
            </w:r>
          </w:p>
        </w:tc>
        <w:tc>
          <w:tcPr>
            <w:tcW w:type="dxa" w:w="1425"/>
            <w:shd w:val="clear" w:color="auto" w:fill="F3F5F8"/>
          </w:tcPr>
          <w:p>
            <w:pPr>
              <w:spacing w:after="0" w:line="240" w:lineRule="auto"/>
            </w:pPr>
            <w:r/>
            <w:r>
              <w:rPr>
                <w:b w:val="0"/>
                <w:i w:val="0"/>
                <w:sz w:val="17"/>
              </w:rPr>
              <w:t>Cuts aggressively</w:t>
            </w:r>
          </w:p>
        </w:tc>
      </w:tr>
    </w:tbl>
    <w:p>
      <w:pPr>
        <w:spacing w:after="40"/>
      </w:pPr>
    </w:p>
    <w:p>
      <w:pPr>
        <w:pStyle w:val="ListBullet"/>
        <w:spacing w:after="40"/>
      </w:pPr>
      <w:r>
        <w:rPr>
          <w:b w:val="0"/>
          <w:i/>
        </w:rPr>
        <w:t>Signposts:</w:t>
      </w:r>
      <w:r>
        <w:rPr>
          <w:b w:val="0"/>
          <w:i w:val="0"/>
        </w:rPr>
        <w:t xml:space="preserve"> Hyperscaler earnings and capex guidance (late October), Nvidia earnings (November), FOMC (28 Oct, 9 Dec), hyperscaler bond order books, CoreWeave funding, and private-credit redemptions.</w:t>
      </w:r>
    </w:p>
    <w:p>
      <w:pPr>
        <w:pStyle w:val="Heading2"/>
      </w:pPr>
      <w:r>
        <w:t>Trades</w:t>
      </w:r>
    </w:p>
    <w:p>
      <w:r>
        <w:rPr>
          <w:b/>
          <w:i w:val="0"/>
        </w:rPr>
        <w:t>Expected P&amp;L is +£2.78m on £3.32m of max loss: +£14.81m in a burst (all three trades hit their targets), +£2.56m in a correction and −£2.40m if the boom continues. The theme pays in the growth shock that hits Themes 2 and 4, at the cost of the most likely scenario.</w:t>
      </w: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998"/>
        <w:gridCol w:w="998"/>
        <w:gridCol w:w="998"/>
        <w:gridCol w:w="998"/>
        <w:gridCol w:w="998"/>
        <w:gridCol w:w="998"/>
        <w:gridCol w:w="998"/>
        <w:gridCol w:w="998"/>
        <w:gridCol w:w="998"/>
        <w:gridCol w:w="998"/>
      </w:tblGrid>
      <w:tr>
        <w:tc>
          <w:tcPr>
            <w:tcW w:type="dxa" w:w="998"/>
            <w:shd w:val="clear" w:color="auto" w:fill="1F3A5F"/>
          </w:tcPr>
          <w:p>
            <w:pPr>
              <w:spacing w:after="0" w:line="240" w:lineRule="auto"/>
            </w:pPr>
            <w:r/>
            <w:r>
              <w:rPr>
                <w:b/>
                <w:i w:val="0"/>
                <w:color w:val="FFFFFF"/>
                <w:sz w:val="15"/>
              </w:rPr>
              <w:t>#</w:t>
            </w:r>
          </w:p>
        </w:tc>
        <w:tc>
          <w:tcPr>
            <w:tcW w:type="dxa" w:w="998"/>
            <w:shd w:val="clear" w:color="auto" w:fill="1F3A5F"/>
          </w:tcPr>
          <w:p>
            <w:pPr>
              <w:spacing w:after="0" w:line="240" w:lineRule="auto"/>
            </w:pPr>
            <w:r/>
            <w:r>
              <w:rPr>
                <w:b/>
                <w:i w:val="0"/>
                <w:color w:val="FFFFFF"/>
                <w:sz w:val="15"/>
              </w:rPr>
              <w:t>Trade</w:t>
            </w:r>
          </w:p>
        </w:tc>
        <w:tc>
          <w:tcPr>
            <w:tcW w:type="dxa" w:w="998"/>
            <w:shd w:val="clear" w:color="auto" w:fill="1F3A5F"/>
          </w:tcPr>
          <w:p>
            <w:pPr>
              <w:spacing w:after="0" w:line="240" w:lineRule="auto"/>
            </w:pPr>
            <w:r/>
            <w:r>
              <w:rPr>
                <w:b/>
                <w:i w:val="0"/>
                <w:color w:val="FFFFFF"/>
                <w:sz w:val="15"/>
              </w:rPr>
              <w:t>Entry</w:t>
            </w:r>
          </w:p>
        </w:tc>
        <w:tc>
          <w:tcPr>
            <w:tcW w:type="dxa" w:w="998"/>
            <w:shd w:val="clear" w:color="auto" w:fill="1F3A5F"/>
          </w:tcPr>
          <w:p>
            <w:pPr>
              <w:spacing w:after="0" w:line="240" w:lineRule="auto"/>
            </w:pPr>
            <w:r/>
            <w:r>
              <w:rPr>
                <w:b/>
                <w:i w:val="0"/>
                <w:color w:val="FFFFFF"/>
                <w:sz w:val="15"/>
              </w:rPr>
              <w:t>Target</w:t>
            </w:r>
          </w:p>
        </w:tc>
        <w:tc>
          <w:tcPr>
            <w:tcW w:type="dxa" w:w="998"/>
            <w:shd w:val="clear" w:color="auto" w:fill="1F3A5F"/>
          </w:tcPr>
          <w:p>
            <w:pPr>
              <w:spacing w:after="0" w:line="240" w:lineRule="auto"/>
            </w:pPr>
            <w:r/>
            <w:r>
              <w:rPr>
                <w:b/>
                <w:i w:val="0"/>
                <w:color w:val="FFFFFF"/>
                <w:sz w:val="15"/>
              </w:rPr>
              <w:t>Stop</w:t>
            </w:r>
          </w:p>
        </w:tc>
        <w:tc>
          <w:tcPr>
            <w:tcW w:type="dxa" w:w="998"/>
            <w:shd w:val="clear" w:color="auto" w:fill="1F3A5F"/>
          </w:tcPr>
          <w:p>
            <w:pPr>
              <w:spacing w:after="0" w:line="240" w:lineRule="auto"/>
            </w:pPr>
            <w:r/>
            <w:r>
              <w:rPr>
                <w:b/>
                <w:i w:val="0"/>
                <w:color w:val="FFFFFF"/>
                <w:sz w:val="15"/>
              </w:rPr>
              <w:t>R : R</w:t>
            </w:r>
          </w:p>
        </w:tc>
        <w:tc>
          <w:tcPr>
            <w:tcW w:type="dxa" w:w="998"/>
            <w:shd w:val="clear" w:color="auto" w:fill="1F3A5F"/>
          </w:tcPr>
          <w:p>
            <w:pPr>
              <w:spacing w:after="0" w:line="240" w:lineRule="auto"/>
            </w:pPr>
            <w:r/>
            <w:r>
              <w:rPr>
                <w:b/>
                <w:i w:val="0"/>
                <w:color w:val="FFFFFF"/>
                <w:sz w:val="15"/>
              </w:rPr>
              <w:t>Conv.</w:t>
            </w:r>
          </w:p>
        </w:tc>
        <w:tc>
          <w:tcPr>
            <w:tcW w:type="dxa" w:w="998"/>
            <w:shd w:val="clear" w:color="auto" w:fill="1F3A5F"/>
          </w:tcPr>
          <w:p>
            <w:pPr>
              <w:spacing w:after="0" w:line="240" w:lineRule="auto"/>
            </w:pPr>
            <w:r/>
            <w:r>
              <w:rPr>
                <w:b/>
                <w:i w:val="0"/>
                <w:color w:val="FFFFFF"/>
                <w:sz w:val="15"/>
              </w:rPr>
              <w:t>Size</w:t>
            </w:r>
          </w:p>
        </w:tc>
        <w:tc>
          <w:tcPr>
            <w:tcW w:type="dxa" w:w="998"/>
            <w:shd w:val="clear" w:color="auto" w:fill="1F3A5F"/>
          </w:tcPr>
          <w:p>
            <w:pPr>
              <w:spacing w:after="0" w:line="240" w:lineRule="auto"/>
            </w:pPr>
            <w:r/>
            <w:r>
              <w:rPr>
                <w:b/>
                <w:i w:val="0"/>
                <w:color w:val="FFFFFF"/>
                <w:sz w:val="15"/>
              </w:rPr>
              <w:t>Max loss</w:t>
            </w:r>
          </w:p>
        </w:tc>
        <w:tc>
          <w:tcPr>
            <w:tcW w:type="dxa" w:w="998"/>
            <w:shd w:val="clear" w:color="auto" w:fill="1F3A5F"/>
          </w:tcPr>
          <w:p>
            <w:pPr>
              <w:spacing w:after="0" w:line="240" w:lineRule="auto"/>
            </w:pPr>
            <w:r/>
            <w:r>
              <w:rPr>
                <w:b/>
                <w:i w:val="0"/>
                <w:color w:val="FFFFFF"/>
                <w:sz w:val="15"/>
              </w:rPr>
              <w:t>Exp. P&amp;L</w:t>
            </w:r>
          </w:p>
        </w:tc>
      </w:tr>
      <w:tr>
        <w:tc>
          <w:tcPr>
            <w:tcW w:type="dxa" w:w="998"/>
          </w:tcPr>
          <w:p>
            <w:pPr>
              <w:spacing w:after="0" w:line="240" w:lineRule="auto"/>
            </w:pPr>
            <w:r/>
            <w:r>
              <w:rPr>
                <w:b w:val="0"/>
                <w:i w:val="0"/>
                <w:sz w:val="15"/>
              </w:rPr>
              <w:t>T16</w:t>
            </w:r>
          </w:p>
        </w:tc>
        <w:tc>
          <w:tcPr>
            <w:tcW w:type="dxa" w:w="998"/>
          </w:tcPr>
          <w:p>
            <w:pPr>
              <w:spacing w:after="0" w:line="240" w:lineRule="auto"/>
            </w:pPr>
            <w:r/>
            <w:r>
              <w:rPr>
                <w:b w:val="0"/>
                <w:i w:val="0"/>
                <w:sz w:val="15"/>
              </w:rPr>
              <w:t>Receive US 2y (long 2y Treasury)</w:t>
            </w:r>
          </w:p>
        </w:tc>
        <w:tc>
          <w:tcPr>
            <w:tcW w:type="dxa" w:w="998"/>
          </w:tcPr>
          <w:p>
            <w:pPr>
              <w:spacing w:after="0" w:line="240" w:lineRule="auto"/>
            </w:pPr>
            <w:r/>
            <w:r>
              <w:rPr>
                <w:b w:val="0"/>
                <w:i w:val="0"/>
                <w:sz w:val="15"/>
              </w:rPr>
              <w:t>4.77%</w:t>
            </w:r>
          </w:p>
        </w:tc>
        <w:tc>
          <w:tcPr>
            <w:tcW w:type="dxa" w:w="998"/>
          </w:tcPr>
          <w:p>
            <w:pPr>
              <w:spacing w:after="0" w:line="240" w:lineRule="auto"/>
            </w:pPr>
            <w:r/>
            <w:r>
              <w:rPr>
                <w:b w:val="0"/>
                <w:i w:val="0"/>
                <w:sz w:val="15"/>
              </w:rPr>
              <w:t>3.90%</w:t>
            </w:r>
          </w:p>
        </w:tc>
        <w:tc>
          <w:tcPr>
            <w:tcW w:type="dxa" w:w="998"/>
          </w:tcPr>
          <w:p>
            <w:pPr>
              <w:spacing w:after="0" w:line="240" w:lineRule="auto"/>
            </w:pPr>
            <w:r/>
            <w:r>
              <w:rPr>
                <w:b w:val="0"/>
                <w:i w:val="0"/>
                <w:sz w:val="15"/>
              </w:rPr>
              <w:t>5.05%</w:t>
            </w:r>
          </w:p>
        </w:tc>
        <w:tc>
          <w:tcPr>
            <w:tcW w:type="dxa" w:w="998"/>
          </w:tcPr>
          <w:p>
            <w:pPr>
              <w:spacing w:after="0" w:line="240" w:lineRule="auto"/>
            </w:pPr>
            <w:r/>
            <w:r>
              <w:rPr>
                <w:b w:val="0"/>
                <w:i w:val="0"/>
                <w:sz w:val="15"/>
              </w:rPr>
              <w:t>3.1x</w:t>
            </w:r>
          </w:p>
        </w:tc>
        <w:tc>
          <w:tcPr>
            <w:tcW w:type="dxa" w:w="998"/>
          </w:tcPr>
          <w:p>
            <w:pPr>
              <w:spacing w:after="0" w:line="240" w:lineRule="auto"/>
            </w:pPr>
            <w:r/>
            <w:r>
              <w:rPr>
                <w:b w:val="0"/>
                <w:i w:val="0"/>
                <w:sz w:val="15"/>
              </w:rPr>
              <w:t>3</w:t>
            </w:r>
          </w:p>
        </w:tc>
        <w:tc>
          <w:tcPr>
            <w:tcW w:type="dxa" w:w="998"/>
          </w:tcPr>
          <w:p>
            <w:pPr>
              <w:spacing w:after="0" w:line="240" w:lineRule="auto"/>
            </w:pPr>
            <w:r/>
            <w:r>
              <w:rPr>
                <w:b w:val="0"/>
                <w:i w:val="0"/>
                <w:sz w:val="15"/>
              </w:rPr>
              <w:t>£47k/bp</w:t>
            </w:r>
          </w:p>
        </w:tc>
        <w:tc>
          <w:tcPr>
            <w:tcW w:type="dxa" w:w="998"/>
          </w:tcPr>
          <w:p>
            <w:pPr>
              <w:spacing w:after="0" w:line="240" w:lineRule="auto"/>
            </w:pPr>
            <w:r/>
            <w:r>
              <w:rPr>
                <w:b w:val="0"/>
                <w:i w:val="0"/>
                <w:sz w:val="15"/>
              </w:rPr>
              <w:t>£1.33m</w:t>
            </w:r>
          </w:p>
        </w:tc>
        <w:tc>
          <w:tcPr>
            <w:tcW w:type="dxa" w:w="998"/>
          </w:tcPr>
          <w:p>
            <w:pPr>
              <w:spacing w:after="0" w:line="240" w:lineRule="auto"/>
            </w:pPr>
            <w:r/>
            <w:r>
              <w:rPr>
                <w:b w:val="0"/>
                <w:i w:val="0"/>
                <w:sz w:val="15"/>
              </w:rPr>
              <w:t>+£806k</w:t>
            </w:r>
          </w:p>
        </w:tc>
      </w:tr>
      <w:tr>
        <w:tc>
          <w:tcPr>
            <w:tcW w:type="dxa" w:w="998"/>
            <w:shd w:val="clear" w:color="auto" w:fill="F3F5F8"/>
          </w:tcPr>
          <w:p>
            <w:pPr>
              <w:spacing w:after="0" w:line="240" w:lineRule="auto"/>
            </w:pPr>
            <w:r/>
            <w:r>
              <w:rPr>
                <w:b w:val="0"/>
                <w:i w:val="0"/>
                <w:sz w:val="15"/>
              </w:rPr>
              <w:t>T17</w:t>
            </w:r>
          </w:p>
        </w:tc>
        <w:tc>
          <w:tcPr>
            <w:tcW w:type="dxa" w:w="998"/>
            <w:shd w:val="clear" w:color="auto" w:fill="F3F5F8"/>
          </w:tcPr>
          <w:p>
            <w:pPr>
              <w:spacing w:after="0" w:line="240" w:lineRule="auto"/>
            </w:pPr>
            <w:r/>
            <w:r>
              <w:rPr>
                <w:b w:val="0"/>
                <w:i w:val="0"/>
                <w:sz w:val="15"/>
              </w:rPr>
              <w:t>6m Nasdaq 100 put spread, 95% / 75%</w:t>
            </w:r>
          </w:p>
        </w:tc>
        <w:tc>
          <w:tcPr>
            <w:tcW w:type="dxa" w:w="998"/>
            <w:shd w:val="clear" w:color="auto" w:fill="F3F5F8"/>
          </w:tcPr>
          <w:p>
            <w:pPr>
              <w:spacing w:after="0" w:line="240" w:lineRule="auto"/>
            </w:pPr>
            <w:r/>
            <w:r>
              <w:rPr>
                <w:b w:val="0"/>
                <w:i w:val="0"/>
                <w:sz w:val="15"/>
              </w:rPr>
              <w:t>Premium ≤ 3.0% of spot (model, 21% vol)</w:t>
            </w:r>
          </w:p>
        </w:tc>
        <w:tc>
          <w:tcPr>
            <w:tcW w:type="dxa" w:w="998"/>
            <w:shd w:val="clear" w:color="auto" w:fill="F3F5F8"/>
          </w:tcPr>
          <w:p>
            <w:pPr>
              <w:spacing w:after="0" w:line="240" w:lineRule="auto"/>
            </w:pPr>
            <w:r/>
            <w:r>
              <w:rPr>
                <w:b w:val="0"/>
                <w:i w:val="0"/>
                <w:sz w:val="15"/>
              </w:rPr>
              <w:t>Max payout ~6.7× premium</w:t>
            </w:r>
          </w:p>
        </w:tc>
        <w:tc>
          <w:tcPr>
            <w:tcW w:type="dxa" w:w="998"/>
            <w:shd w:val="clear" w:color="auto" w:fill="F3F5F8"/>
          </w:tcPr>
          <w:p>
            <w:pPr>
              <w:spacing w:after="0" w:line="240" w:lineRule="auto"/>
            </w:pPr>
            <w:r/>
            <w:r>
              <w:rPr>
                <w:b w:val="0"/>
                <w:i w:val="0"/>
                <w:sz w:val="15"/>
              </w:rPr>
              <w:t>Premium</w:t>
            </w:r>
          </w:p>
        </w:tc>
        <w:tc>
          <w:tcPr>
            <w:tcW w:type="dxa" w:w="998"/>
            <w:shd w:val="clear" w:color="auto" w:fill="F3F5F8"/>
          </w:tcPr>
          <w:p>
            <w:pPr>
              <w:spacing w:after="0" w:line="240" w:lineRule="auto"/>
            </w:pPr>
            <w:r/>
            <w:r>
              <w:rPr>
                <w:b w:val="0"/>
                <w:i w:val="0"/>
                <w:sz w:val="15"/>
              </w:rPr>
              <w:t>~6.7x</w:t>
            </w:r>
          </w:p>
        </w:tc>
        <w:tc>
          <w:tcPr>
            <w:tcW w:type="dxa" w:w="998"/>
            <w:shd w:val="clear" w:color="auto" w:fill="F3F5F8"/>
          </w:tcPr>
          <w:p>
            <w:pPr>
              <w:spacing w:after="0" w:line="240" w:lineRule="auto"/>
            </w:pPr>
            <w:r/>
            <w:r>
              <w:rPr>
                <w:b w:val="0"/>
                <w:i w:val="0"/>
                <w:sz w:val="15"/>
              </w:rPr>
              <w:t>3</w:t>
            </w:r>
          </w:p>
        </w:tc>
        <w:tc>
          <w:tcPr>
            <w:tcW w:type="dxa" w:w="998"/>
            <w:shd w:val="clear" w:color="auto" w:fill="F3F5F8"/>
          </w:tcPr>
          <w:p>
            <w:pPr>
              <w:spacing w:after="0" w:line="240" w:lineRule="auto"/>
            </w:pPr>
            <w:r/>
            <w:r>
              <w:rPr>
                <w:b w:val="0"/>
                <w:i w:val="0"/>
                <w:sz w:val="15"/>
              </w:rPr>
              <w:t>£1.33m premium</w:t>
            </w:r>
          </w:p>
        </w:tc>
        <w:tc>
          <w:tcPr>
            <w:tcW w:type="dxa" w:w="998"/>
            <w:shd w:val="clear" w:color="auto" w:fill="F3F5F8"/>
          </w:tcPr>
          <w:p>
            <w:pPr>
              <w:spacing w:after="0" w:line="240" w:lineRule="auto"/>
            </w:pPr>
            <w:r/>
            <w:r>
              <w:rPr>
                <w:b w:val="0"/>
                <w:i w:val="0"/>
                <w:sz w:val="15"/>
              </w:rPr>
              <w:t>£1.33m</w:t>
            </w:r>
          </w:p>
        </w:tc>
        <w:tc>
          <w:tcPr>
            <w:tcW w:type="dxa" w:w="998"/>
            <w:shd w:val="clear" w:color="auto" w:fill="F3F5F8"/>
          </w:tcPr>
          <w:p>
            <w:pPr>
              <w:spacing w:after="0" w:line="240" w:lineRule="auto"/>
            </w:pPr>
            <w:r/>
            <w:r>
              <w:rPr>
                <w:b w:val="0"/>
                <w:i w:val="0"/>
                <w:sz w:val="15"/>
              </w:rPr>
              <w:t>+£1.24m</w:t>
            </w:r>
          </w:p>
        </w:tc>
      </w:tr>
      <w:tr>
        <w:tc>
          <w:tcPr>
            <w:tcW w:type="dxa" w:w="998"/>
          </w:tcPr>
          <w:p>
            <w:pPr>
              <w:spacing w:after="0" w:line="240" w:lineRule="auto"/>
            </w:pPr>
            <w:r/>
            <w:r>
              <w:rPr>
                <w:b w:val="0"/>
                <w:i w:val="0"/>
                <w:sz w:val="15"/>
              </w:rPr>
              <w:t>T18</w:t>
            </w:r>
          </w:p>
        </w:tc>
        <w:tc>
          <w:tcPr>
            <w:tcW w:type="dxa" w:w="998"/>
          </w:tcPr>
          <w:p>
            <w:pPr>
              <w:spacing w:after="0" w:line="240" w:lineRule="auto"/>
            </w:pPr>
            <w:r/>
            <w:r>
              <w:rPr>
                <w:b w:val="0"/>
                <w:i w:val="0"/>
                <w:sz w:val="15"/>
              </w:rPr>
              <w:t>Buy 5y CDX IG protection</w:t>
            </w:r>
          </w:p>
        </w:tc>
        <w:tc>
          <w:tcPr>
            <w:tcW w:type="dxa" w:w="998"/>
          </w:tcPr>
          <w:p>
            <w:pPr>
              <w:spacing w:after="0" w:line="240" w:lineRule="auto"/>
            </w:pPr>
            <w:r/>
            <w:r>
              <w:rPr>
                <w:b w:val="0"/>
                <w:i w:val="0"/>
                <w:sz w:val="15"/>
              </w:rPr>
              <w:t>84bp (ICE BofA IG OAS)</w:t>
            </w:r>
          </w:p>
        </w:tc>
        <w:tc>
          <w:tcPr>
            <w:tcW w:type="dxa" w:w="998"/>
          </w:tcPr>
          <w:p>
            <w:pPr>
              <w:spacing w:after="0" w:line="240" w:lineRule="auto"/>
            </w:pPr>
            <w:r/>
            <w:r>
              <w:rPr>
                <w:b w:val="0"/>
                <w:i w:val="0"/>
                <w:sz w:val="15"/>
              </w:rPr>
              <w:t>140bp</w:t>
            </w:r>
          </w:p>
        </w:tc>
        <w:tc>
          <w:tcPr>
            <w:tcW w:type="dxa" w:w="998"/>
          </w:tcPr>
          <w:p>
            <w:pPr>
              <w:spacing w:after="0" w:line="240" w:lineRule="auto"/>
            </w:pPr>
            <w:r/>
            <w:r>
              <w:rPr>
                <w:b w:val="0"/>
                <w:i w:val="0"/>
                <w:sz w:val="15"/>
              </w:rPr>
              <w:t>72bp</w:t>
            </w:r>
          </w:p>
        </w:tc>
        <w:tc>
          <w:tcPr>
            <w:tcW w:type="dxa" w:w="998"/>
          </w:tcPr>
          <w:p>
            <w:pPr>
              <w:spacing w:after="0" w:line="240" w:lineRule="auto"/>
            </w:pPr>
            <w:r/>
            <w:r>
              <w:rPr>
                <w:b w:val="0"/>
                <w:i w:val="0"/>
                <w:sz w:val="15"/>
              </w:rPr>
              <w:t>4.7x</w:t>
            </w:r>
          </w:p>
        </w:tc>
        <w:tc>
          <w:tcPr>
            <w:tcW w:type="dxa" w:w="998"/>
          </w:tcPr>
          <w:p>
            <w:pPr>
              <w:spacing w:after="0" w:line="240" w:lineRule="auto"/>
            </w:pPr>
            <w:r/>
            <w:r>
              <w:rPr>
                <w:b w:val="0"/>
                <w:i w:val="0"/>
                <w:sz w:val="15"/>
              </w:rPr>
              <w:t>2</w:t>
            </w:r>
          </w:p>
        </w:tc>
        <w:tc>
          <w:tcPr>
            <w:tcW w:type="dxa" w:w="998"/>
          </w:tcPr>
          <w:p>
            <w:pPr>
              <w:spacing w:after="0" w:line="240" w:lineRule="auto"/>
            </w:pPr>
            <w:r/>
            <w:r>
              <w:rPr>
                <w:b w:val="0"/>
                <w:i w:val="0"/>
                <w:sz w:val="15"/>
              </w:rPr>
              <w:t>£55k/bp</w:t>
            </w:r>
          </w:p>
        </w:tc>
        <w:tc>
          <w:tcPr>
            <w:tcW w:type="dxa" w:w="998"/>
          </w:tcPr>
          <w:p>
            <w:pPr>
              <w:spacing w:after="0" w:line="240" w:lineRule="auto"/>
            </w:pPr>
            <w:r/>
            <w:r>
              <w:rPr>
                <w:b w:val="0"/>
                <w:i w:val="0"/>
                <w:sz w:val="15"/>
              </w:rPr>
              <w:t>£663k</w:t>
            </w:r>
          </w:p>
        </w:tc>
        <w:tc>
          <w:tcPr>
            <w:tcW w:type="dxa" w:w="998"/>
          </w:tcPr>
          <w:p>
            <w:pPr>
              <w:spacing w:after="0" w:line="240" w:lineRule="auto"/>
            </w:pPr>
            <w:r/>
            <w:r>
              <w:rPr>
                <w:b w:val="0"/>
                <w:i w:val="0"/>
                <w:sz w:val="15"/>
              </w:rPr>
              <w:t>+£733k</w:t>
            </w:r>
          </w:p>
        </w:tc>
      </w:tr>
      <w:tr>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Total</w:t>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p>
        </w:tc>
        <w:tc>
          <w:tcPr>
            <w:tcW w:type="dxa" w:w="998"/>
            <w:shd w:val="clear" w:color="auto" w:fill="DCE4EE"/>
          </w:tcPr>
          <w:p>
            <w:pPr>
              <w:spacing w:after="0" w:line="240" w:lineRule="auto"/>
            </w:pPr>
            <w:r/>
            <w:r>
              <w:rPr>
                <w:b/>
                <w:i w:val="0"/>
                <w:sz w:val="15"/>
              </w:rPr>
              <w:t>£3.32m</w:t>
            </w:r>
          </w:p>
        </w:tc>
        <w:tc>
          <w:tcPr>
            <w:tcW w:type="dxa" w:w="998"/>
            <w:shd w:val="clear" w:color="auto" w:fill="DCE4EE"/>
          </w:tcPr>
          <w:p>
            <w:pPr>
              <w:spacing w:after="0" w:line="240" w:lineRule="auto"/>
            </w:pPr>
            <w:r/>
            <w:r>
              <w:rPr>
                <w:b/>
                <w:i w:val="0"/>
                <w:sz w:val="15"/>
              </w:rPr>
              <w:t>+£2.78m</w:t>
            </w:r>
          </w:p>
        </w:tc>
      </w:tr>
    </w:tbl>
    <w:p>
      <w:pPr>
        <w:spacing w:after="40"/>
      </w:pPr>
    </w:p>
    <w:tbl>
      <w:tblPr>
        <w:tblStyle w:val="TableGrid"/>
        <w:tblW w:type="auto" w:w="0"/>
        <w:jc w:val="center"/>
        <w:tblLook w:firstColumn="1" w:firstRow="1" w:lastColumn="0" w:lastRow="0" w:noHBand="0" w:noVBand="1" w:val="04A0"/>
        <w:tblCellMar>
          <w:top w:w="45" w:type="dxa"/>
          <w:bottom w:w="45" w:type="dxa"/>
          <w:left w:w="45" w:type="dxa"/>
          <w:right w:w="45" w:type="dxa"/>
        </w:tblCellMar>
      </w:tblPr>
      <w:tblGrid>
        <w:gridCol w:w="1996"/>
        <w:gridCol w:w="1996"/>
        <w:gridCol w:w="1996"/>
        <w:gridCol w:w="1996"/>
        <w:gridCol w:w="1996"/>
      </w:tblGrid>
      <w:tr>
        <w:tc>
          <w:tcPr>
            <w:tcW w:type="dxa" w:w="1996"/>
            <w:shd w:val="clear" w:color="auto" w:fill="1F3A5F"/>
          </w:tcPr>
          <w:p>
            <w:pPr>
              <w:spacing w:after="0" w:line="240" w:lineRule="auto"/>
            </w:pPr>
            <w:r/>
            <w:r>
              <w:rPr>
                <w:b/>
                <w:i w:val="0"/>
                <w:color w:val="FFFFFF"/>
                <w:sz w:val="17"/>
              </w:rPr>
              <w:t>P&amp;L by scenario (£k)</w:t>
            </w:r>
          </w:p>
        </w:tc>
        <w:tc>
          <w:tcPr>
            <w:tcW w:type="dxa" w:w="1996"/>
            <w:shd w:val="clear" w:color="auto" w:fill="1F3A5F"/>
          </w:tcPr>
          <w:p>
            <w:pPr>
              <w:spacing w:after="0" w:line="240" w:lineRule="auto"/>
            </w:pPr>
            <w:r/>
            <w:r>
              <w:rPr>
                <w:b/>
                <w:i w:val="0"/>
                <w:color w:val="FFFFFF"/>
                <w:sz w:val="17"/>
              </w:rPr>
              <w:t>A (45%)</w:t>
            </w:r>
          </w:p>
        </w:tc>
        <w:tc>
          <w:tcPr>
            <w:tcW w:type="dxa" w:w="1996"/>
            <w:shd w:val="clear" w:color="auto" w:fill="1F3A5F"/>
          </w:tcPr>
          <w:p>
            <w:pPr>
              <w:spacing w:after="0" w:line="240" w:lineRule="auto"/>
            </w:pPr>
            <w:r/>
            <w:r>
              <w:rPr>
                <w:b/>
                <w:i w:val="0"/>
                <w:color w:val="FFFFFF"/>
                <w:sz w:val="17"/>
              </w:rPr>
              <w:t>B (35%)</w:t>
            </w:r>
          </w:p>
        </w:tc>
        <w:tc>
          <w:tcPr>
            <w:tcW w:type="dxa" w:w="1996"/>
            <w:shd w:val="clear" w:color="auto" w:fill="1F3A5F"/>
          </w:tcPr>
          <w:p>
            <w:pPr>
              <w:spacing w:after="0" w:line="240" w:lineRule="auto"/>
            </w:pPr>
            <w:r/>
            <w:r>
              <w:rPr>
                <w:b/>
                <w:i w:val="0"/>
                <w:color w:val="FFFFFF"/>
                <w:sz w:val="17"/>
              </w:rPr>
              <w:t>C (15%)</w:t>
            </w:r>
          </w:p>
        </w:tc>
        <w:tc>
          <w:tcPr>
            <w:tcW w:type="dxa" w:w="1996"/>
            <w:shd w:val="clear" w:color="auto" w:fill="1F3A5F"/>
          </w:tcPr>
          <w:p>
            <w:pPr>
              <w:spacing w:after="0" w:line="240" w:lineRule="auto"/>
            </w:pPr>
            <w:r/>
            <w:r>
              <w:rPr>
                <w:b/>
                <w:i w:val="0"/>
                <w:color w:val="FFFFFF"/>
                <w:sz w:val="17"/>
              </w:rPr>
              <w:t>D (5%)</w:t>
            </w:r>
          </w:p>
        </w:tc>
      </w:tr>
      <w:tr>
        <w:tc>
          <w:tcPr>
            <w:tcW w:type="dxa" w:w="1996"/>
          </w:tcPr>
          <w:p>
            <w:pPr>
              <w:spacing w:after="0" w:line="240" w:lineRule="auto"/>
            </w:pPr>
            <w:r/>
            <w:r>
              <w:rPr>
                <w:b w:val="0"/>
                <w:i w:val="0"/>
                <w:sz w:val="17"/>
              </w:rPr>
              <w:t>T16</w:t>
            </w:r>
          </w:p>
        </w:tc>
        <w:tc>
          <w:tcPr>
            <w:tcW w:type="dxa" w:w="1996"/>
          </w:tcPr>
          <w:p>
            <w:pPr>
              <w:spacing w:after="0" w:line="240" w:lineRule="auto"/>
            </w:pPr>
            <w:r/>
            <w:r>
              <w:rPr>
                <w:b w:val="0"/>
                <w:i w:val="0"/>
                <w:sz w:val="17"/>
              </w:rPr>
              <w:t>−853</w:t>
            </w:r>
          </w:p>
        </w:tc>
        <w:tc>
          <w:tcPr>
            <w:tcW w:type="dxa" w:w="1996"/>
          </w:tcPr>
          <w:p>
            <w:pPr>
              <w:spacing w:after="0" w:line="240" w:lineRule="auto"/>
            </w:pPr>
            <w:r/>
            <w:r>
              <w:rPr>
                <w:b w:val="0"/>
                <w:i w:val="0"/>
                <w:sz w:val="17"/>
              </w:rPr>
              <w:t>+1,044</w:t>
            </w:r>
          </w:p>
        </w:tc>
        <w:tc>
          <w:tcPr>
            <w:tcW w:type="dxa" w:w="1996"/>
          </w:tcPr>
          <w:p>
            <w:pPr>
              <w:spacing w:after="0" w:line="240" w:lineRule="auto"/>
            </w:pPr>
            <w:r/>
            <w:r>
              <w:rPr>
                <w:b w:val="0"/>
                <w:i w:val="0"/>
                <w:sz w:val="17"/>
              </w:rPr>
              <w:t>+4,122</w:t>
            </w:r>
          </w:p>
        </w:tc>
        <w:tc>
          <w:tcPr>
            <w:tcW w:type="dxa" w:w="1996"/>
          </w:tcPr>
          <w:p>
            <w:pPr>
              <w:spacing w:after="0" w:line="240" w:lineRule="auto"/>
            </w:pPr>
            <w:r/>
            <w:r>
              <w:rPr>
                <w:b w:val="0"/>
                <w:i w:val="0"/>
                <w:sz w:val="17"/>
              </w:rPr>
              <w:t>+4,122</w:t>
            </w:r>
          </w:p>
        </w:tc>
      </w:tr>
      <w:tr>
        <w:tc>
          <w:tcPr>
            <w:tcW w:type="dxa" w:w="1996"/>
            <w:shd w:val="clear" w:color="auto" w:fill="F3F5F8"/>
          </w:tcPr>
          <w:p>
            <w:pPr>
              <w:spacing w:after="0" w:line="240" w:lineRule="auto"/>
            </w:pPr>
            <w:r/>
            <w:r>
              <w:rPr>
                <w:b w:val="0"/>
                <w:i w:val="0"/>
                <w:sz w:val="17"/>
              </w:rPr>
              <w:t>T17</w:t>
            </w:r>
          </w:p>
        </w:tc>
        <w:tc>
          <w:tcPr>
            <w:tcW w:type="dxa" w:w="1996"/>
            <w:shd w:val="clear" w:color="auto" w:fill="F3F5F8"/>
          </w:tcPr>
          <w:p>
            <w:pPr>
              <w:spacing w:after="0" w:line="240" w:lineRule="auto"/>
            </w:pPr>
            <w:r/>
            <w:r>
              <w:rPr>
                <w:b w:val="0"/>
                <w:i w:val="0"/>
                <w:sz w:val="17"/>
              </w:rPr>
              <w:t>−1,327</w:t>
            </w:r>
          </w:p>
        </w:tc>
        <w:tc>
          <w:tcPr>
            <w:tcW w:type="dxa" w:w="1996"/>
            <w:shd w:val="clear" w:color="auto" w:fill="F3F5F8"/>
          </w:tcPr>
          <w:p>
            <w:pPr>
              <w:spacing w:after="0" w:line="240" w:lineRule="auto"/>
            </w:pPr>
            <w:r/>
            <w:r>
              <w:rPr>
                <w:b w:val="0"/>
                <w:i w:val="0"/>
                <w:sz w:val="17"/>
              </w:rPr>
              <w:t>+906</w:t>
            </w:r>
          </w:p>
        </w:tc>
        <w:tc>
          <w:tcPr>
            <w:tcW w:type="dxa" w:w="1996"/>
            <w:shd w:val="clear" w:color="auto" w:fill="F3F5F8"/>
          </w:tcPr>
          <w:p>
            <w:pPr>
              <w:spacing w:after="0" w:line="240" w:lineRule="auto"/>
            </w:pPr>
            <w:r/>
            <w:r>
              <w:rPr>
                <w:b w:val="0"/>
                <w:i w:val="0"/>
                <w:sz w:val="17"/>
              </w:rPr>
              <w:t>+7,596</w:t>
            </w:r>
          </w:p>
        </w:tc>
        <w:tc>
          <w:tcPr>
            <w:tcW w:type="dxa" w:w="1996"/>
            <w:shd w:val="clear" w:color="auto" w:fill="F3F5F8"/>
          </w:tcPr>
          <w:p>
            <w:pPr>
              <w:spacing w:after="0" w:line="240" w:lineRule="auto"/>
            </w:pPr>
            <w:r/>
            <w:r>
              <w:rPr>
                <w:b w:val="0"/>
                <w:i w:val="0"/>
                <w:sz w:val="17"/>
              </w:rPr>
              <w:t>+7,596</w:t>
            </w:r>
          </w:p>
        </w:tc>
      </w:tr>
      <w:tr>
        <w:tc>
          <w:tcPr>
            <w:tcW w:type="dxa" w:w="1996"/>
          </w:tcPr>
          <w:p>
            <w:pPr>
              <w:spacing w:after="0" w:line="240" w:lineRule="auto"/>
            </w:pPr>
            <w:r/>
            <w:r>
              <w:rPr>
                <w:b w:val="0"/>
                <w:i w:val="0"/>
                <w:sz w:val="17"/>
              </w:rPr>
              <w:t>T18</w:t>
            </w:r>
          </w:p>
        </w:tc>
        <w:tc>
          <w:tcPr>
            <w:tcW w:type="dxa" w:w="1996"/>
          </w:tcPr>
          <w:p>
            <w:pPr>
              <w:spacing w:after="0" w:line="240" w:lineRule="auto"/>
            </w:pPr>
            <w:r/>
            <w:r>
              <w:rPr>
                <w:b w:val="0"/>
                <w:i w:val="0"/>
                <w:sz w:val="17"/>
              </w:rPr>
              <w:t>−219</w:t>
            </w:r>
          </w:p>
        </w:tc>
        <w:tc>
          <w:tcPr>
            <w:tcW w:type="dxa" w:w="1996"/>
          </w:tcPr>
          <w:p>
            <w:pPr>
              <w:spacing w:after="0" w:line="240" w:lineRule="auto"/>
            </w:pPr>
            <w:r/>
            <w:r>
              <w:rPr>
                <w:b w:val="0"/>
                <w:i w:val="0"/>
                <w:sz w:val="17"/>
              </w:rPr>
              <w:t>+609</w:t>
            </w:r>
          </w:p>
        </w:tc>
        <w:tc>
          <w:tcPr>
            <w:tcW w:type="dxa" w:w="1996"/>
          </w:tcPr>
          <w:p>
            <w:pPr>
              <w:spacing w:after="0" w:line="240" w:lineRule="auto"/>
            </w:pPr>
            <w:r/>
            <w:r>
              <w:rPr>
                <w:b w:val="0"/>
                <w:i w:val="0"/>
                <w:sz w:val="17"/>
              </w:rPr>
              <w:t>+3,096</w:t>
            </w:r>
          </w:p>
        </w:tc>
        <w:tc>
          <w:tcPr>
            <w:tcW w:type="dxa" w:w="1996"/>
          </w:tcPr>
          <w:p>
            <w:pPr>
              <w:spacing w:after="0" w:line="240" w:lineRule="auto"/>
            </w:pPr>
            <w:r/>
            <w:r>
              <w:rPr>
                <w:b w:val="0"/>
                <w:i w:val="0"/>
                <w:sz w:val="17"/>
              </w:rPr>
              <w:t>+3,096</w:t>
            </w:r>
          </w:p>
        </w:tc>
      </w:tr>
      <w:tr>
        <w:tc>
          <w:tcPr>
            <w:tcW w:type="dxa" w:w="1996"/>
            <w:shd w:val="clear" w:color="auto" w:fill="DCE4EE"/>
          </w:tcPr>
          <w:p>
            <w:pPr>
              <w:spacing w:after="0" w:line="240" w:lineRule="auto"/>
            </w:pPr>
            <w:r/>
            <w:r>
              <w:rPr>
                <w:b/>
                <w:i w:val="0"/>
                <w:sz w:val="17"/>
              </w:rPr>
              <w:t>Theme 5</w:t>
            </w:r>
          </w:p>
        </w:tc>
        <w:tc>
          <w:tcPr>
            <w:tcW w:type="dxa" w:w="1996"/>
            <w:shd w:val="clear" w:color="auto" w:fill="DCE4EE"/>
          </w:tcPr>
          <w:p>
            <w:pPr>
              <w:spacing w:after="0" w:line="240" w:lineRule="auto"/>
            </w:pPr>
            <w:r/>
            <w:r>
              <w:rPr>
                <w:b/>
                <w:i w:val="0"/>
                <w:sz w:val="17"/>
              </w:rPr>
              <w:t>−2,399</w:t>
            </w:r>
          </w:p>
        </w:tc>
        <w:tc>
          <w:tcPr>
            <w:tcW w:type="dxa" w:w="1996"/>
            <w:shd w:val="clear" w:color="auto" w:fill="DCE4EE"/>
          </w:tcPr>
          <w:p>
            <w:pPr>
              <w:spacing w:after="0" w:line="240" w:lineRule="auto"/>
            </w:pPr>
            <w:r/>
            <w:r>
              <w:rPr>
                <w:b/>
                <w:i w:val="0"/>
                <w:sz w:val="17"/>
              </w:rPr>
              <w:t>+2,559</w:t>
            </w:r>
          </w:p>
        </w:tc>
        <w:tc>
          <w:tcPr>
            <w:tcW w:type="dxa" w:w="1996"/>
            <w:shd w:val="clear" w:color="auto" w:fill="DCE4EE"/>
          </w:tcPr>
          <w:p>
            <w:pPr>
              <w:spacing w:after="0" w:line="240" w:lineRule="auto"/>
            </w:pPr>
            <w:r/>
            <w:r>
              <w:rPr>
                <w:b/>
                <w:i w:val="0"/>
                <w:sz w:val="17"/>
              </w:rPr>
              <w:t>+14,814</w:t>
            </w:r>
          </w:p>
        </w:tc>
        <w:tc>
          <w:tcPr>
            <w:tcW w:type="dxa" w:w="1996"/>
            <w:shd w:val="clear" w:color="auto" w:fill="DCE4EE"/>
          </w:tcPr>
          <w:p>
            <w:pPr>
              <w:spacing w:after="0" w:line="240" w:lineRule="auto"/>
            </w:pPr>
            <w:r/>
            <w:r>
              <w:rPr>
                <w:b/>
                <w:i w:val="0"/>
                <w:sz w:val="17"/>
              </w:rPr>
              <w:t>+14,814</w:t>
            </w:r>
          </w:p>
        </w:tc>
      </w:tr>
    </w:tbl>
    <w:p>
      <w:pPr>
        <w:spacing w:after="40"/>
      </w:pPr>
    </w:p>
    <w:p>
      <w:pPr>
        <w:pStyle w:val="ListBullet"/>
        <w:spacing w:after="40"/>
      </w:pPr>
      <w:r>
        <w:rPr>
          <w:b/>
          <w:i w:val="0"/>
        </w:rPr>
        <w:t>T16:</w:t>
      </w:r>
      <w:r>
        <w:rPr>
          <w:b w:val="0"/>
          <w:i w:val="0"/>
        </w:rPr>
        <w:t xml:space="preserve"> ~90bp of hikes priced gives the front end the most to reprice. The stop sits above the 1y high (4.92%), ~5× daily realised vol. It is also hurt by Theme 2's broad persistence.</w:t>
      </w:r>
    </w:p>
    <w:p>
      <w:pPr>
        <w:pStyle w:val="ListBullet"/>
        <w:spacing w:after="40"/>
      </w:pPr>
      <w:r>
        <w:rPr>
          <w:b/>
          <w:i w:val="0"/>
        </w:rPr>
        <w:t>T17:</w:t>
      </w:r>
      <w:r>
        <w:rPr>
          <w:b w:val="0"/>
          <w:i w:val="0"/>
        </w:rPr>
        <w:t xml:space="preserve"> The burst trade itself, cheap with VIX at 16. It pays a quarter of its max in a 10% correction. Buy only at or below 3.0% of spot; notional ~£45m, valued at expiry.</w:t>
      </w:r>
    </w:p>
    <w:p>
      <w:pPr>
        <w:pStyle w:val="ListBullet"/>
        <w:spacing w:after="40"/>
      </w:pPr>
      <w:r>
        <w:rPr>
          <w:b/>
          <w:i w:val="0"/>
        </w:rPr>
        <w:t>T18:</w:t>
      </w:r>
      <w:r>
        <w:rPr>
          <w:b w:val="0"/>
          <w:i w:val="0"/>
        </w:rPr>
        <w:t xml:space="preserve"> Spreads are near their tights with record AI issuance ahead. Levels use the ICE BofA IG OAS as a proxy; the target and stop scale with CDX at execution.</w:t>
      </w:r>
    </w:p>
    <w:p>
      <w:pPr>
        <w:pStyle w:val="ListBullet"/>
        <w:spacing w:after="40"/>
      </w:pPr>
      <w:r>
        <w:rPr>
          <w:b w:val="0"/>
          <w:i/>
        </w:rPr>
        <w:t>Not traded:</w:t>
      </w:r>
      <w:r>
        <w:rPr>
          <w:b w:val="0"/>
          <w:i w:val="0"/>
        </w:rPr>
        <w:t xml:space="preserve"> JPY (−3.5% annual carry; hasn't tracked equities in 2026); TWD and KRW (outside this book).</w:t>
      </w:r>
    </w:p>
    <w:p>
      <w:pPr>
        <w:pStyle w:val="ListBullet"/>
        <w:spacing w:after="40"/>
      </w:pPr>
      <w:r>
        <w:rPr>
          <w:b w:val="0"/>
          <w:i/>
        </w:rPr>
        <w:t>Levels:</w:t>
      </w:r>
      <w:r>
        <w:rPr>
          <w:b w:val="0"/>
          <w:i w:val="0"/>
        </w:rPr>
        <w:t xml:space="preserve"> FRED (15–16 Oct).</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Quarterly Review: Q3 2026  ·  page </w:t>
    </w:r>
    <w:r>
      <w:rPr>
        <w:color w:val="555F6D"/>
        <w:sz w:val="16"/>
      </w:rPr>
      <w:fldChar w:fldCharType="begin"/>
    </w:r>
    <w:r>
      <w:rPr>
        <w:color w:val="555F6D"/>
        <w:sz w:val="16"/>
      </w:rPr>
      <w:instrText xml:space="preserve">PAGE</w:instrText>
    </w:r>
    <w:r>
      <w:rPr>
        <w:color w:val="555F6D"/>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