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Please feel free to add any questions you might have about what Andries is looking for. I would like to come to the meeting prepared with good questions so we don't have to waste his time. You can also just add things you would like to bring up about the proposal.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Questions: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Talk about how we can accomplish a mobile version with a responsive web application.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Discuss the variability within job types and what needs to be tracked</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Small jobs vs larger projects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Do we want to distinguish between a job which would be a small task and a project which would consist of many jobs?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 noticed mention of Job Codes and Task Codes, is this related to complex projects?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Will employees be assigned to jobs? If so, should we have custom user dashboards for their current tasks?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 am assuming jobs will have a priority given to them? How do you want this to work? Jobs that need to be done today or some other time?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Templates: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Do we want very strict standard forms for different job types? We can probably have a standard which can be customized.</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Templates for new projects as well as new jobs? (assuming there is a distinction)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Ability to create new templates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Deadlines: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Do we want a live deadline indicator on the dashboard of the application?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Will it be dynamic or will this be something you will want to manage based on what is currently the focus?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Users: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Will each employee have an identifier and user login?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Will everyone be able to add or modify jobs?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Possibly have extra questions based on these answers. Might talk about different user levels if there needs to be restrictions on what some employees can do.</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Shop evening and morning to-do lists: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What sort of items are you looking for in the end of day summary? What jobs and projects were completed or started?</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Do you want this to be customized by you or a manager every day?</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Will the to-do list be generated off the jobs that are close to their deadline or another thing that you might want to control yourself?</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Daily shop awareness: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Is this just something you want the employees to see everyday?</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