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Boston Housing Prices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PolyFeatures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Features LSTAT y RM: best correlated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lin_reg baseline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improves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improves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improves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LinReg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0.6363353379616082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3.798063422689011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27.98794118547948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0.6041142735229119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4.582645892343419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41.40202341152383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ccc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CrossValidation on the full dataset MAE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[-2.74282364 -2.66486168 -2.89248316 -5.15153202 -3.9402028  -4.64564316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-3.82923301 -8.69643448 -6.53638215 -2.94554412]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-MAE: -4.404514022690067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std: 1.8528516111956599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Pol2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0.7526744600340032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3.0194990832234727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19.034383564891193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0.7485007375000425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3.5422408760579787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26.301979732039786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CrossValidation on the full dataset MAE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[-2.18784704 -2.15758692 -2.38537873 -3.77741438 -3.78544616 -3.44238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-3.6404846  -7.56599142 -3.93790228 -2.76106402]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-MAE: -3.5641495549969457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std: 1.4891814017406946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Pol3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0.7504651949495681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3.5420021790793244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26.09653531240899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0.7688165765778632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2.908202831717163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17.79207256907875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Pol4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0.6688023261862086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3.8712993251952605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34.636898801842555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0.8115227871427741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2.700230995250689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14.50536634129782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