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SPAM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Métrica? Aquí utilizamos el accuracy. En la vida real nos interesa probablemente no tener una tasa FP baja (correos buenos que los manda a SPAM).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Clasificación no muy desbalanceada.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0: 30 NO SPAM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1: 21 SPAM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Probablemente, no nos dice cúal es cúal.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4305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LinearSVC C=1 Acc = 0.98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4238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LinearSVC C=1000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 on X (train) =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4133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552700" cy="1704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Nos olvidamos de lo del SPAM y nos centramos en el algoritmo.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Kernel no lineal.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