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800" w:lineRule="auto"/>
        <w:jc w:val="center"/>
        <w:rPr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sz w:val="54"/>
          <w:szCs w:val="54"/>
          <w:rtl w:val="0"/>
        </w:rPr>
        <w:t xml:space="preserve">E/E DIAGRAMATIK EREDU ERLAZIONALERA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Entitate/Erlazio diagrama bat eredu erlazionalera eraldatzeko hurrengo pausuak edo arauak jarraitu behar ditugu: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ENTITATEAK: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Entitate bakoitza erlazio-taula bilakatuko da.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Entitate baten atributu guztiak entitateak sorrarazitako erlazio-taulako eremu (zutabe) bihurtuko dira. (Atributu konposatuetan azpiatributuak bakarrik.)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Identifikatzaile nagusi den atributu edo atributuak erlazio-taulako </w:t>
      </w:r>
      <w:r w:rsidDel="00000000" w:rsidR="00000000" w:rsidRPr="00000000">
        <w:rPr>
          <w:b w:val="1"/>
          <w:rtl w:val="0"/>
        </w:rPr>
        <w:t xml:space="preserve">gako nagusi</w:t>
      </w:r>
      <w:r w:rsidDel="00000000" w:rsidR="00000000" w:rsidRPr="00000000">
        <w:rPr>
          <w:rtl w:val="0"/>
        </w:rPr>
        <w:t xml:space="preserve"> bilakatuko da/dira. Letra lodiz eta azpimarratuta adieraziko da/dira. Gainontzeko gako hautagaiak, egotekotan, letra lodiz adieraziko dira.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Entitate baten </w:t>
      </w:r>
      <w:r w:rsidDel="00000000" w:rsidR="00000000" w:rsidRPr="00000000">
        <w:rPr>
          <w:b w:val="1"/>
          <w:rtl w:val="0"/>
        </w:rPr>
        <w:t xml:space="preserve">balio anitzeko atributuak</w:t>
      </w:r>
      <w:r w:rsidDel="00000000" w:rsidR="00000000" w:rsidRPr="00000000">
        <w:rPr>
          <w:rtl w:val="0"/>
        </w:rPr>
        <w:t xml:space="preserve"> ezin ditugu mantendu, ez bailuke eredu erlazionalaren berezko murrizketik beteko. Kasu hauetan entitate berri bat sortu beharko dugu.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8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Entitate ahulek</w:t>
      </w:r>
      <w:r w:rsidDel="00000000" w:rsidR="00000000" w:rsidRPr="00000000">
        <w:rPr>
          <w:rtl w:val="0"/>
        </w:rPr>
        <w:t xml:space="preserve"> sortutako erlazio-tauletan entitate sendoaren identifikatzaile nagusia den atributua hedatzen da.</w:t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ERLAZIOAK:</w:t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Erlazioaren kardinalitatearen arabera, eredu erlazionalerako aldakuntza egiteko era ere aldatu egingo 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1:1 erlazioak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Ez dago honelako erlazioak eredu erlazionalera aldarazteko arau finkorik. Orokorrean ez dute erlazio-taularik sortzen.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Erlazioan elkartzen diren entitateen partaidetzak (0,1) motakoak izanez gero, baliteke beste erlazio-taula bat sorraraztea komenigarria izatea, agertuko liratekeen balio nulu guztiak saihesteko asmoarekin.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Gainerako kasuetan, berriz, komenigarria izango da (1,1) partaidetza duen entitatearen gako nagusia beste entitatera zabaltzea.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1:N erlazioak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ind w:left="708.6614173228347" w:firstLine="0"/>
        <w:rPr/>
      </w:pPr>
      <w:r w:rsidDel="00000000" w:rsidR="00000000" w:rsidRPr="00000000">
        <w:rPr>
          <w:rtl w:val="0"/>
        </w:rPr>
        <w:t xml:space="preserve">Orokorrean ez dute erlazio-taularik sortzen. Gehieneko partaidetza 1 den entitatearen atributu identifikatzaile nagusiak N maila duen entitatera hedatuko dira gako atzerritar gisa. Letra etzanaz adierazten dira eta gezi baten bidez zein entitateri dagokion adierazten da. </w:t>
      </w:r>
    </w:p>
    <w:p w:rsidR="00000000" w:rsidDel="00000000" w:rsidP="00000000" w:rsidRDefault="00000000" w:rsidRPr="00000000" w14:paraId="00000013">
      <w:pPr>
        <w:ind w:left="708.6614173228347" w:firstLine="0"/>
        <w:rPr/>
      </w:pPr>
      <w:r w:rsidDel="00000000" w:rsidR="00000000" w:rsidRPr="00000000">
        <w:rPr>
          <w:rtl w:val="0"/>
        </w:rPr>
        <w:t xml:space="preserve">Gehieneko partaidetza 1 den entitatean, gutxieneko partaidetza 0 bada, eta hau askotan ematen bada, orduan erlazio-taula berria sortu behar da.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N:M erlazioak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Erlazio-taula berria sortzen da. Erlazionatutako entitateen gakoekin osatzen da erlazio-taula berri horren gakoa. Erlazioak atributuak izan baditu, orduan erlazio-taula berri horretara pasatuko dira.</w:t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ERLAZIO HIERARKIKOAK: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Generalizazio eta espezializazio kasuetan, entitate-mota baten eta bere azpimoten aurrean, eredu erlazionalera aldarazteko hiru irtenbide ditugu: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Entitate orokorraren eta azpimoten atributu guztiak erlazio-taula bakar batean biltzea.</w:t>
      </w:r>
    </w:p>
    <w:p w:rsidR="00000000" w:rsidDel="00000000" w:rsidP="00000000" w:rsidRDefault="00000000" w:rsidRPr="00000000" w14:paraId="00000019">
      <w:pPr>
        <w:ind w:left="708.6614173228347" w:firstLine="0"/>
        <w:rPr/>
      </w:pPr>
      <w:r w:rsidDel="00000000" w:rsidR="00000000" w:rsidRPr="00000000">
        <w:rPr>
          <w:rtl w:val="0"/>
        </w:rPr>
        <w:t xml:space="preserve">Entitate azpi-motek atributu desberdin gutxi dituztenean eta gainerako entitateekin lotzen dituzten erlazioak denentzat berdinak direnean hartuko dugu irtenbide hau.</w:t>
      </w:r>
    </w:p>
    <w:p w:rsidR="00000000" w:rsidDel="00000000" w:rsidP="00000000" w:rsidRDefault="00000000" w:rsidRPr="00000000" w14:paraId="0000001A">
      <w:pPr>
        <w:ind w:left="708.6614173228347" w:firstLine="0"/>
        <w:rPr/>
      </w:pPr>
      <w:r w:rsidDel="00000000" w:rsidR="00000000" w:rsidRPr="00000000">
        <w:rPr>
          <w:rtl w:val="0"/>
        </w:rPr>
        <w:t xml:space="preserve">Kasu honetan, azpi-mota baten agerraldiak eta beste batenak bereizten utziko duen </w:t>
      </w:r>
      <w:r w:rsidDel="00000000" w:rsidR="00000000" w:rsidRPr="00000000">
        <w:rPr>
          <w:i w:val="1"/>
          <w:rtl w:val="0"/>
        </w:rPr>
        <w:t xml:space="preserve">mota </w:t>
      </w:r>
      <w:r w:rsidDel="00000000" w:rsidR="00000000" w:rsidRPr="00000000">
        <w:rPr>
          <w:rtl w:val="0"/>
        </w:rPr>
        <w:t xml:space="preserve">izeneko beste eremu (zutabe) bat erantsiko dugu sortzen den erlazio-taula bakarrean.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Entitate orokorrarentzako erlazio-taula bat eta dauden entitate  azpimota bakoitzarentzako erlazio-taula sorraraztea, dagozkien atributuekin.</w:t>
      </w:r>
    </w:p>
    <w:p w:rsidR="00000000" w:rsidDel="00000000" w:rsidP="00000000" w:rsidRDefault="00000000" w:rsidRPr="00000000" w14:paraId="0000001C">
      <w:pPr>
        <w:ind w:left="708.6614173228347" w:firstLine="0"/>
        <w:rPr/>
      </w:pPr>
      <w:r w:rsidDel="00000000" w:rsidR="00000000" w:rsidRPr="00000000">
        <w:rPr>
          <w:rtl w:val="0"/>
        </w:rPr>
        <w:t xml:space="preserve">Irtenbide hau egokia izango da, baldin eta azpimoten artean atributu desberdin asko badaude eta dena dela ere, denek komunean dituzten atributuak erlazio-taula batean mantendu nahi izanez gero.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Entitate azpimotentzako erlazio-taula desberdinak sortzea. Erlazio-taula horiek, bereak diren atributuak ez ezik, komunak diren atributuak ere bilduko dituzte.</w:t>
      </w:r>
    </w:p>
    <w:p w:rsidR="00000000" w:rsidDel="00000000" w:rsidP="00000000" w:rsidRDefault="00000000" w:rsidRPr="00000000" w14:paraId="0000001E">
      <w:pPr>
        <w:ind w:left="708.6614173228347" w:firstLine="0"/>
        <w:rPr/>
      </w:pPr>
      <w:r w:rsidDel="00000000" w:rsidR="00000000" w:rsidRPr="00000000">
        <w:rPr>
          <w:rtl w:val="0"/>
        </w:rPr>
        <w:t xml:space="preserve">Irtenbide hau hartzeko, erlazio hierarkikoa totala izan behar du, ezin da erlazio hierarkiko partzialetan aplikatu.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480" w:lineRule="auto"/>
        <w:jc w:val="center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u w:val="single"/>
          <w:rtl w:val="0"/>
        </w:rPr>
        <w:t xml:space="preserve">ADIBIDEA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</w:rPr>
        <w:drawing>
          <wp:inline distB="114300" distT="114300" distL="114300" distR="114300">
            <wp:extent cx="5731200" cy="3429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ARGITALETXEA (</w:t>
      </w:r>
      <w:r w:rsidDel="00000000" w:rsidR="00000000" w:rsidRPr="00000000">
        <w:rPr>
          <w:b w:val="1"/>
          <w:u w:val="single"/>
          <w:rtl w:val="0"/>
        </w:rPr>
        <w:t xml:space="preserve">IFZ</w:t>
      </w:r>
      <w:r w:rsidDel="00000000" w:rsidR="00000000" w:rsidRPr="00000000">
        <w:rPr>
          <w:rtl w:val="0"/>
        </w:rPr>
        <w:t xml:space="preserve">, izena, telefonoa)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LIBURUA (</w:t>
      </w:r>
      <w:r w:rsidDel="00000000" w:rsidR="00000000" w:rsidRPr="00000000">
        <w:rPr>
          <w:b w:val="1"/>
          <w:u w:val="single"/>
          <w:rtl w:val="0"/>
        </w:rPr>
        <w:t xml:space="preserve">ISBN</w:t>
      </w:r>
      <w:r w:rsidDel="00000000" w:rsidR="00000000" w:rsidRPr="00000000">
        <w:rPr>
          <w:rtl w:val="0"/>
        </w:rPr>
        <w:t xml:space="preserve">, izenburua, orrialde-kopurua, </w:t>
      </w:r>
      <w:r w:rsidDel="00000000" w:rsidR="00000000" w:rsidRPr="00000000">
        <w:rPr>
          <w:i w:val="1"/>
          <w:rtl w:val="0"/>
        </w:rPr>
        <w:t xml:space="preserve">IFZ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</w:r>
      <w:r w:rsidDel="00000000" w:rsidR="00000000" w:rsidRPr="00000000">
        <w:rPr>
          <w:i w:val="1"/>
          <w:rtl w:val="0"/>
        </w:rPr>
        <w:t xml:space="preserve">ARGITALETXEA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IDAZLEA (</w:t>
      </w:r>
      <w:r w:rsidDel="00000000" w:rsidR="00000000" w:rsidRPr="00000000">
        <w:rPr>
          <w:b w:val="1"/>
          <w:u w:val="single"/>
          <w:rtl w:val="0"/>
        </w:rPr>
        <w:t xml:space="preserve">NAN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GSZ</w:t>
      </w:r>
      <w:r w:rsidDel="00000000" w:rsidR="00000000" w:rsidRPr="00000000">
        <w:rPr>
          <w:rtl w:val="0"/>
        </w:rPr>
        <w:t xml:space="preserve">, izena, abizenak, jaiotze-data, adina, kalea, zenbakia, posta-kodea)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TELEFONOA (</w:t>
      </w:r>
      <w:r w:rsidDel="00000000" w:rsidR="00000000" w:rsidRPr="00000000">
        <w:rPr>
          <w:b w:val="1"/>
          <w:i w:val="1"/>
          <w:u w:val="single"/>
          <w:rtl w:val="0"/>
        </w:rPr>
        <w:t xml:space="preserve">NAN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</w:r>
      <w:r w:rsidDel="00000000" w:rsidR="00000000" w:rsidRPr="00000000">
        <w:rPr>
          <w:i w:val="1"/>
          <w:rtl w:val="0"/>
        </w:rPr>
        <w:t xml:space="preserve">IDAZLEA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telefonoa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IDATZI (</w:t>
      </w:r>
      <w:r w:rsidDel="00000000" w:rsidR="00000000" w:rsidRPr="00000000">
        <w:rPr>
          <w:rFonts w:ascii="Nova Mono" w:cs="Nova Mono" w:eastAsia="Nova Mono" w:hAnsi="Nova Mono"/>
          <w:b w:val="1"/>
          <w:i w:val="1"/>
          <w:u w:val="single"/>
          <w:rtl w:val="0"/>
        </w:rPr>
        <w:t xml:space="preserve">ISBN→LIBURUA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b w:val="1"/>
          <w:i w:val="1"/>
          <w:u w:val="single"/>
          <w:rtl w:val="0"/>
        </w:rPr>
        <w:t xml:space="preserve">NAN→IDAZLEA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pageBreakBefore w:val="0"/>
        <w:spacing w:before="0" w:lineRule="auto"/>
        <w:ind w:hanging="15"/>
        <w:rPr>
          <w:color w:val="666666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158750</wp:posOffset>
          </wp:positionV>
          <wp:extent cx="5760000" cy="951652"/>
          <wp:effectExtent b="0" l="0" r="0" t="0"/>
          <wp:wrapSquare wrapText="bothSides" distB="0" distT="0" distL="0" distR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434" l="0" r="0" t="2434"/>
                  <a:stretch>
                    <a:fillRect/>
                  </a:stretch>
                </pic:blipFill>
                <pic:spPr>
                  <a:xfrm>
                    <a:off x="0" y="0"/>
                    <a:ext cx="5760000" cy="95165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165100</wp:posOffset>
          </wp:positionV>
          <wp:extent cx="5760000" cy="951652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2434" l="0" r="0" t="2434"/>
                  <a:stretch>
                    <a:fillRect/>
                  </a:stretch>
                </pic:blipFill>
                <pic:spPr>
                  <a:xfrm>
                    <a:off x="0" y="0"/>
                    <a:ext cx="5760000" cy="95165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ind w:hanging="15"/>
      <w:rPr>
        <w:color w:val="52bdc3"/>
        <w:sz w:val="18"/>
        <w:szCs w:val="18"/>
      </w:rPr>
    </w:pPr>
    <w:r w:rsidDel="00000000" w:rsidR="00000000" w:rsidRPr="00000000">
      <w:rPr/>
      <w:drawing>
        <wp:inline distB="114300" distT="114300" distL="114300" distR="114300">
          <wp:extent cx="1634400" cy="1010933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-4166" r="-4761" t="0"/>
                  <a:stretch>
                    <a:fillRect/>
                  </a:stretch>
                </pic:blipFill>
                <pic:spPr>
                  <a:xfrm>
                    <a:off x="0" y="0"/>
                    <a:ext cx="1634400" cy="101093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4724400</wp:posOffset>
          </wp:positionH>
          <wp:positionV relativeFrom="paragraph">
            <wp:posOffset>-66672</wp:posOffset>
          </wp:positionV>
          <wp:extent cx="2124075" cy="2124075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24075" cy="2124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0">
    <w:pPr>
      <w:pageBreakBefore w:val="0"/>
      <w:spacing w:after="0" w:before="0" w:line="240" w:lineRule="auto"/>
      <w:ind w:left="0" w:right="6667.0866141732295" w:firstLine="0"/>
      <w:jc w:val="center"/>
      <w:rPr>
        <w:b w:val="1"/>
        <w:color w:val="52bdc3"/>
        <w:sz w:val="18"/>
        <w:szCs w:val="18"/>
      </w:rPr>
    </w:pPr>
    <w:r w:rsidDel="00000000" w:rsidR="00000000" w:rsidRPr="00000000">
      <w:rPr>
        <w:b w:val="1"/>
        <w:color w:val="52bdc3"/>
        <w:sz w:val="18"/>
        <w:szCs w:val="18"/>
        <w:rtl w:val="0"/>
      </w:rPr>
      <w:t xml:space="preserve">WEB APLIKAZIOEN GARAPENA</w:t>
    </w:r>
  </w:p>
  <w:p w:rsidR="00000000" w:rsidDel="00000000" w:rsidP="00000000" w:rsidRDefault="00000000" w:rsidRPr="00000000" w14:paraId="00000031">
    <w:pPr>
      <w:pageBreakBefore w:val="0"/>
      <w:spacing w:after="0" w:before="0" w:line="240" w:lineRule="auto"/>
      <w:ind w:left="0" w:right="6667.0866141732295" w:firstLine="0"/>
      <w:jc w:val="center"/>
      <w:rPr>
        <w:b w:val="1"/>
        <w:sz w:val="18"/>
        <w:szCs w:val="18"/>
      </w:rPr>
    </w:pPr>
    <w:r w:rsidDel="00000000" w:rsidR="00000000" w:rsidRPr="00000000">
      <w:rPr>
        <w:b w:val="1"/>
        <w:color w:val="52bdc3"/>
        <w:sz w:val="18"/>
        <w:szCs w:val="18"/>
        <w:rtl w:val="0"/>
      </w:rPr>
      <w:t xml:space="preserve">DATU-BASEAK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9526</wp:posOffset>
          </wp:positionH>
          <wp:positionV relativeFrom="paragraph">
            <wp:posOffset>120650</wp:posOffset>
          </wp:positionV>
          <wp:extent cx="1371600" cy="1158875"/>
          <wp:effectExtent b="0" l="0" r="0" t="0"/>
          <wp:wrapSquare wrapText="bothSides" distB="114300" distT="114300" distL="114300" distR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031" l="0" r="0" t="0"/>
                  <a:stretch>
                    <a:fillRect/>
                  </a:stretch>
                </pic:blipFill>
                <pic:spPr>
                  <a:xfrm>
                    <a:off x="0" y="0"/>
                    <a:ext cx="1371600" cy="11588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2b2f60"/>
        <w:sz w:val="21"/>
        <w:szCs w:val="21"/>
        <w:lang w:val="es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26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300" w:before="300" w:lineRule="auto"/>
    </w:pPr>
    <w:rPr>
      <w:rFonts w:ascii="Roboto" w:cs="Roboto" w:eastAsia="Roboto" w:hAnsi="Roboto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00" w:line="240" w:lineRule="auto"/>
    </w:pPr>
    <w:rPr>
      <w:rFonts w:ascii="Roboto" w:cs="Roboto" w:eastAsia="Roboto" w:hAnsi="Roboto"/>
      <w:color w:val="52bdc3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200" w:before="200" w:line="240" w:lineRule="auto"/>
    </w:pPr>
    <w:rPr>
      <w:rFonts w:ascii="Roboto" w:cs="Roboto" w:eastAsia="Roboto" w:hAnsi="Roboto"/>
      <w:b w:val="1"/>
      <w:color w:val="52bdc3"/>
      <w:sz w:val="48"/>
      <w:szCs w:val="4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300" w:before="300" w:lineRule="auto"/>
    </w:pPr>
    <w:rPr>
      <w:rFonts w:ascii="Roboto" w:cs="Roboto" w:eastAsia="Roboto" w:hAnsi="Roboto"/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400" w:before="400" w:line="288" w:lineRule="auto"/>
    </w:pPr>
    <w:rPr>
      <w:rFonts w:ascii="Roboto Thin" w:cs="Roboto Thin" w:eastAsia="Roboto Thin" w:hAnsi="Roboto Thin"/>
      <w:i w:val="1"/>
      <w:sz w:val="21"/>
      <w:szCs w:val="21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