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Dataset Metadata Documentation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Zoteo Department of Health – Medallion Architecture Workshop</w:t>
      </w:r>
    </w:p>
    <w:p>
      <w:pPr>
        <w:pBdr>
          <w:bottom w:val="single" w:color="1B3A5C" w:sz="6" w:space="1"/>
        </w:pBd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Version 1.0  |  Q1 2025 Sample Data  |  6 Datasets  |  87,465 Total Records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dim_local_health_districts.csv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15  |  Layer: Reference  |  Grain: One row per Local Health District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LHD identifier (e.g. LHD001). Primary key.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name of the Local Health District (e.g. Sydney Metropolitan).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region_type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Classification: Metropolitan, Regional, Rural, or Remote.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population_served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Estimated resident population covered by the LHD.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annual_budget_aud_millions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annual funding allocation in AUD millions.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dim_hospitals.csv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45  |  Layer: Reference  |  Grain: One row per hospital facility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hospital_id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hospital identifier (e.g. H0001). Primary key.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hospital_name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Official facility name (e.g. Westmead Hospital).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dim_local_health_districts.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hospital_tier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level: Tertiary, Major, District, or Community.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has_emergency_dept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Flag: 1 = has an Emergency Department, 0 = does not.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total_beds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licensed inpatient bed count.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accreditation_status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 status: Accredited or Conditional.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last_audit_date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of most recent compliance audit (YYYY-MM-DD).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raw_hospital_admissions.csv  (Bronze Layer)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51,500  |  Layer: Bronze (Raw)  |  Grain: One row per hospital admission episode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Known Issues: </w:t>
      </w:r>
      <w:r>
        <w:rPr>
          <w:rFonts w:ascii="Arial" w:cs="Arial" w:eastAsia="Arial" w:hAnsi="Arial"/>
          <w:sz w:val="18"/>
          <w:szCs w:val="18"/>
        </w:rPr>
        <w:t xml:space="preserve">~3% duplicates, ~5% nulls, mixed date formats, invalid codes, negative LOS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admission_id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admission identifier. Duplicates suffixed with _DUP.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De-identified patient identifier (e.g. P123456).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hospital_id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dim_hospitals. Some rows contain invalid H9999.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dim_local_health_districts.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admission_date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DATE*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patient was admitted. *Mixed formats: YYYY-MM-DD and DD/MM/YYYY.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separation_date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patient was discharged or separated (YYYY-MM-DD).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length_of_stay_days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Calculated days between admission and separation. Some values are -1.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admission_type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Category: Emergency, Elective, Maternity, Transfer, or Newborn.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drg_code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Diagnosis Related Group code for ABF classification. ~5% null.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patient_age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 age in years at admission. ~5% null. Range 0–105.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patient_gender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 gender: M (Male), F (Female), X (Other). ~5% null.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separation_mode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Discharge outcome (e.g. Discharged Home, Died in Hospital). ~5% null.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abf_price_weight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 Based Funding weight for the episode. Drives funding.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source_system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Originating clinical system: iPM, Cerner, HOMER, or eMR.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extract_timestamp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When the record was extracted from the source system.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raw_ed_presentations.csv  (Bronze Layer)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35,700  |  Layer: Bronze (Raw)  |  Grain: One row per ED presentation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Known Issues: </w:t>
      </w:r>
      <w:r>
        <w:rPr>
          <w:rFonts w:ascii="Arial" w:cs="Arial" w:eastAsia="Arial" w:hAnsi="Arial"/>
          <w:sz w:val="18"/>
          <w:szCs w:val="18"/>
        </w:rPr>
        <w:t xml:space="preserve">~2% duplicates, ~4% missing triage, negative wait times, timestamp inversions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ed_presentation_id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ED visit identifier. Duplicates suffixed with _DUP.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De-identified patient identifier.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hospital_id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dim_hospitals (ED-equipped facilities only).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dim_local_health_districts.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arrival_datetime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 when patient arrived at the 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triage_datetime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 when triage assessment was completed.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treatment_start_datetime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 when clinical treatment commenced.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departure_datetime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 when patient left the ED. Some precede arrival.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triage_category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Australasian Triage Scale: 1 (Resuscitation) to 5 (Non-urgent). ~4% null.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wait_time_minutes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Minutes from arrival to treatment start. Some values are -999.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total_ed_time_minutes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minutes from arrival to departure.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met_4hour_target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Flag: 1 = total ED time ≤ 240 mins, 0 = exceeded 4-hour target.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presenting_complaint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Chief reason for presentation (e.g. Chest Pain, Fracture).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ed_disposition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Outcome: Admitted, Discharged, Transferred, Left Before Treatment, etc.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arrival_mode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patient arrived: Ambulance, Walk-in, Police, Helicopter, Transfer.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source_system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Originating ED system: FirstNet, EDIS, or Symphony.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extract_timestamp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When the record was extracted from the source system.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fact_abf_funding_allocation.csv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60  |  Layer: Reporting  |  Grain: One row per LHD per quarter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lhd_code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key to dim_local_health_districts.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financial_year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Financial year label (e.g. FY2024-25).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quarter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Fiscal quarter: Q1, Q2, Q3, or Q4.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allocated_budget_aud_millions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Quarterly budget allocation in AUD millions.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actual_activity_nwau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Actual National Weighted Activity Units delivered.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benchmark_nwau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Expected NWAU target for the quarter.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funding_adjustment_aud_millions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Variance-based funding adjustment (positive or negative).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reporting_compliance_pct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Percentage of reporting obligations met on time (70–100%).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ref_data_quality_log.csv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Rows: </w:t>
      </w:r>
      <w:r>
        <w:rPr>
          <w:rFonts w:ascii="Arial" w:cs="Arial" w:eastAsia="Arial" w:hAnsi="Arial"/>
          <w:sz w:val="18"/>
          <w:szCs w:val="18"/>
        </w:rPr>
        <w:t xml:space="preserve">200  |  Layer: Governance  |  Grain: One row per identified data quality issue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issue_id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Auto-incrementing unique issue identifier.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source_table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where the issue was detected.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issue_type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of issue (e.g. Duplicate record, Missing DRG code).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Impact level: Critical, High, Medium, or Low.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record_count_affected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rows impacted by this issue.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detected_date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the issue was first identified (YYYY-MM-DD).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resolution_status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 state: Open, In Progress, Resolved, or Accepted.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Responsible team: Data Engineering, Clinical Coding, IT Ops, or BI.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Zoteo Department of Health – Dataset Metadata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2026-02-14T00:33:31.837Z</dcterms:created>
  <dcterms:modified xsi:type="dcterms:W3CDTF">2026-02-14T00:33:31.837Z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