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96667" w14:textId="77777777" w:rsidR="00145C52" w:rsidRPr="00406FC8" w:rsidRDefault="00145C52" w:rsidP="00145C52">
      <w:pPr>
        <w:rPr>
          <w:rFonts w:asciiTheme="majorHAnsi" w:hAnsiTheme="majorHAnsi"/>
          <w:b/>
          <w:bCs/>
          <w:sz w:val="44"/>
          <w:szCs w:val="44"/>
        </w:rPr>
      </w:pPr>
      <w:r w:rsidRPr="00406FC8">
        <w:rPr>
          <w:rFonts w:asciiTheme="majorHAnsi" w:hAnsiTheme="majorHAnsi"/>
          <w:b/>
          <w:bCs/>
          <w:sz w:val="44"/>
          <w:szCs w:val="44"/>
        </w:rPr>
        <w:t>Cognitive and brain morphological deviations in middle-to-old, aged autistics adults</w:t>
      </w:r>
    </w:p>
    <w:p w14:paraId="43CC0299" w14:textId="0908C349" w:rsidR="003022E2" w:rsidRPr="00406FC8" w:rsidRDefault="00145C52" w:rsidP="006505B5">
      <w:pPr>
        <w:rPr>
          <w:b/>
          <w:bCs/>
          <w:sz w:val="48"/>
          <w:szCs w:val="48"/>
        </w:rPr>
      </w:pPr>
      <w:r w:rsidRPr="00406FC8">
        <w:rPr>
          <w:noProof/>
        </w:rPr>
        <w:drawing>
          <wp:inline distT="0" distB="0" distL="0" distR="0" wp14:anchorId="303888EF" wp14:editId="220259EB">
            <wp:extent cx="5977890" cy="2949934"/>
            <wp:effectExtent l="0" t="0" r="3810" b="3175"/>
            <wp:docPr id="1" name="Picture 1" descr="A low poly head with colorful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w poly head with colorful tri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084" cy="297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C5838" w14:textId="77777777" w:rsidR="003022E2" w:rsidRPr="00406FC8" w:rsidRDefault="003022E2" w:rsidP="006505B5">
      <w:pPr>
        <w:rPr>
          <w:b/>
          <w:bCs/>
          <w:sz w:val="48"/>
          <w:szCs w:val="48"/>
        </w:rPr>
      </w:pPr>
    </w:p>
    <w:p w14:paraId="0691C945" w14:textId="77777777" w:rsidR="00EB2CA8" w:rsidRPr="00406FC8" w:rsidRDefault="00EB2CA8" w:rsidP="008C0567"/>
    <w:p w14:paraId="20258A2B" w14:textId="39E41962" w:rsidR="00EB2CA8" w:rsidRPr="00406FC8" w:rsidRDefault="00EB2CA8" w:rsidP="00145C52">
      <w:pPr>
        <w:jc w:val="center"/>
      </w:pPr>
      <w:r w:rsidRPr="00406FC8">
        <w:t>“This is my own work. I have not copied any of it from anyone else.”</w:t>
      </w:r>
    </w:p>
    <w:p w14:paraId="7A2B6360" w14:textId="77777777" w:rsidR="00CF3DB4" w:rsidRPr="00406FC8" w:rsidRDefault="00CF3DB4" w:rsidP="00EB2CA8"/>
    <w:p w14:paraId="52AF0789" w14:textId="77777777" w:rsidR="00CF3DB4" w:rsidRPr="00406FC8" w:rsidRDefault="00CF3DB4" w:rsidP="00EB2CA8"/>
    <w:p w14:paraId="4980D47A" w14:textId="77777777" w:rsidR="00CF3DB4" w:rsidRPr="00406FC8" w:rsidRDefault="00CF3DB4" w:rsidP="00EB2CA8"/>
    <w:p w14:paraId="60EAB24B" w14:textId="168CA3FE" w:rsidR="00145C52" w:rsidRPr="00406FC8" w:rsidRDefault="00145C52" w:rsidP="00145C52">
      <w:pPr>
        <w:jc w:val="center"/>
        <w:rPr>
          <w:b/>
          <w:bCs/>
          <w:sz w:val="40"/>
          <w:szCs w:val="40"/>
        </w:rPr>
      </w:pPr>
      <w:r w:rsidRPr="00406FC8">
        <w:rPr>
          <w:b/>
          <w:bCs/>
          <w:sz w:val="40"/>
          <w:szCs w:val="40"/>
        </w:rPr>
        <w:t>November 2024</w:t>
      </w:r>
    </w:p>
    <w:p w14:paraId="25573C97" w14:textId="77777777" w:rsidR="00145C52" w:rsidRPr="00406FC8" w:rsidRDefault="00145C52" w:rsidP="00145C52">
      <w:pPr>
        <w:jc w:val="center"/>
        <w:rPr>
          <w:b/>
          <w:bCs/>
          <w:sz w:val="40"/>
          <w:szCs w:val="40"/>
        </w:rPr>
      </w:pPr>
      <w:r w:rsidRPr="00406FC8">
        <w:rPr>
          <w:b/>
          <w:bCs/>
          <w:sz w:val="40"/>
          <w:szCs w:val="40"/>
        </w:rPr>
        <w:t>Michael Le 21689299</w:t>
      </w:r>
    </w:p>
    <w:p w14:paraId="0D16235C" w14:textId="77777777" w:rsidR="00145C52" w:rsidRPr="00406FC8" w:rsidRDefault="00145C52" w:rsidP="00145C52">
      <w:pPr>
        <w:jc w:val="center"/>
        <w:rPr>
          <w:b/>
          <w:bCs/>
          <w:sz w:val="40"/>
          <w:szCs w:val="40"/>
        </w:rPr>
      </w:pPr>
    </w:p>
    <w:p w14:paraId="15FE6334" w14:textId="77777777" w:rsidR="00CF3DB4" w:rsidRPr="00406FC8" w:rsidRDefault="00CF3DB4" w:rsidP="00EB2CA8"/>
    <w:p w14:paraId="6EA5D6B6" w14:textId="77777777" w:rsidR="00CF3DB4" w:rsidRPr="00406FC8" w:rsidRDefault="00CF3DB4" w:rsidP="00EB2CA8"/>
    <w:p w14:paraId="6C06D2E5" w14:textId="77777777" w:rsidR="00CF3DB4" w:rsidRPr="00406FC8" w:rsidRDefault="00CF3DB4" w:rsidP="00EB2CA8"/>
    <w:p w14:paraId="098385C5" w14:textId="77777777" w:rsidR="00CF3DB4" w:rsidRPr="00406FC8" w:rsidRDefault="00CF3DB4" w:rsidP="00EB2CA8"/>
    <w:p w14:paraId="0AE7F2D1" w14:textId="77777777" w:rsidR="00CF3DB4" w:rsidRPr="00406FC8" w:rsidRDefault="00CF3DB4" w:rsidP="00EB2CA8"/>
    <w:p w14:paraId="75E791EF" w14:textId="15C07449" w:rsidR="007042E6" w:rsidRPr="00406FC8" w:rsidRDefault="007042E6">
      <w:pPr>
        <w:rPr>
          <w:b/>
          <w:bCs/>
          <w:sz w:val="32"/>
          <w:szCs w:val="32"/>
        </w:rPr>
      </w:pPr>
      <w:r w:rsidRPr="00406FC8">
        <w:rPr>
          <w:b/>
          <w:bCs/>
          <w:sz w:val="32"/>
          <w:szCs w:val="32"/>
        </w:rPr>
        <w:t>Introduction</w:t>
      </w:r>
    </w:p>
    <w:p w14:paraId="761E081A" w14:textId="309DE8EC" w:rsidR="001E3811" w:rsidRPr="00406FC8" w:rsidRDefault="005F2CE3" w:rsidP="006F1B82">
      <w:pPr>
        <w:rPr>
          <w:rFonts w:asciiTheme="majorHAnsi" w:hAnsiTheme="majorHAnsi"/>
        </w:rPr>
      </w:pPr>
      <w:r w:rsidRPr="00406FC8">
        <w:rPr>
          <w:rFonts w:asciiTheme="majorHAnsi" w:hAnsiTheme="majorHAnsi"/>
        </w:rPr>
        <w:t xml:space="preserve">I have </w:t>
      </w:r>
      <w:r w:rsidR="003022E2" w:rsidRPr="00406FC8">
        <w:rPr>
          <w:rFonts w:asciiTheme="majorHAnsi" w:hAnsiTheme="majorHAnsi"/>
        </w:rPr>
        <w:t>reviewed and extended meta-analysis by</w:t>
      </w:r>
      <w:r w:rsidR="00F86816" w:rsidRPr="00406FC8">
        <w:rPr>
          <w:rFonts w:asciiTheme="majorHAnsi" w:hAnsiTheme="majorHAnsi"/>
        </w:rPr>
        <w:t xml:space="preserve"> J. Wang et al</w:t>
      </w:r>
      <w:r w:rsidR="005A4864" w:rsidRPr="00406FC8">
        <w:rPr>
          <w:rFonts w:asciiTheme="majorHAnsi" w:hAnsiTheme="majorHAnsi"/>
        </w:rPr>
        <w:t xml:space="preserve">, </w:t>
      </w:r>
      <w:r w:rsidR="006F1B82" w:rsidRPr="00406FC8">
        <w:rPr>
          <w:rFonts w:asciiTheme="majorHAnsi" w:hAnsiTheme="majorHAnsi"/>
        </w:rPr>
        <w:t xml:space="preserve">published </w:t>
      </w:r>
      <w:r w:rsidR="005A4864" w:rsidRPr="00406FC8">
        <w:rPr>
          <w:rFonts w:asciiTheme="majorHAnsi" w:hAnsiTheme="majorHAnsi"/>
        </w:rPr>
        <w:t xml:space="preserve">in </w:t>
      </w:r>
      <w:r w:rsidR="00716683" w:rsidRPr="00406FC8">
        <w:rPr>
          <w:rFonts w:asciiTheme="majorHAnsi" w:hAnsiTheme="majorHAnsi"/>
        </w:rPr>
        <w:t>the</w:t>
      </w:r>
      <w:r w:rsidR="006F1B82" w:rsidRPr="00406FC8">
        <w:rPr>
          <w:rFonts w:asciiTheme="majorHAnsi" w:hAnsiTheme="majorHAnsi"/>
        </w:rPr>
        <w:t xml:space="preserve"> journal Neuroscience and Biobehavioral Reviews</w:t>
      </w:r>
      <w:r w:rsidR="00716683" w:rsidRPr="00406FC8">
        <w:rPr>
          <w:rFonts w:asciiTheme="majorHAnsi" w:hAnsiTheme="majorHAnsi"/>
        </w:rPr>
        <w:t>.</w:t>
      </w:r>
      <w:r w:rsidR="00DD5A5D" w:rsidRPr="00406FC8">
        <w:rPr>
          <w:rFonts w:asciiTheme="majorHAnsi" w:hAnsiTheme="majorHAnsi"/>
        </w:rPr>
        <w:t xml:space="preserve"> It includes </w:t>
      </w:r>
      <w:r w:rsidR="0040760A" w:rsidRPr="00406FC8">
        <w:rPr>
          <w:rFonts w:asciiTheme="majorHAnsi" w:hAnsiTheme="majorHAnsi"/>
        </w:rPr>
        <w:t xml:space="preserve">30 </w:t>
      </w:r>
      <w:r w:rsidR="003F2EAE" w:rsidRPr="00406FC8">
        <w:rPr>
          <w:rFonts w:asciiTheme="majorHAnsi" w:hAnsiTheme="majorHAnsi"/>
        </w:rPr>
        <w:t>independent</w:t>
      </w:r>
      <w:r w:rsidR="00B20F84" w:rsidRPr="00406FC8">
        <w:rPr>
          <w:rFonts w:asciiTheme="majorHAnsi" w:hAnsiTheme="majorHAnsi"/>
        </w:rPr>
        <w:t xml:space="preserve"> observations</w:t>
      </w:r>
      <w:r w:rsidR="003F2EAE" w:rsidRPr="00406FC8">
        <w:rPr>
          <w:rFonts w:asciiTheme="majorHAnsi" w:hAnsiTheme="majorHAnsi"/>
        </w:rPr>
        <w:t xml:space="preserve"> </w:t>
      </w:r>
      <w:r w:rsidR="00404761" w:rsidRPr="00406FC8">
        <w:rPr>
          <w:rFonts w:asciiTheme="majorHAnsi" w:hAnsiTheme="majorHAnsi"/>
        </w:rPr>
        <w:t xml:space="preserve">from </w:t>
      </w:r>
      <w:r w:rsidR="000F2470" w:rsidRPr="00406FC8">
        <w:rPr>
          <w:rFonts w:asciiTheme="majorHAnsi" w:hAnsiTheme="majorHAnsi"/>
        </w:rPr>
        <w:t>three different categories on cognitive domain</w:t>
      </w:r>
      <w:r w:rsidR="00DE5ABE" w:rsidRPr="00406FC8">
        <w:rPr>
          <w:rFonts w:asciiTheme="majorHAnsi" w:hAnsiTheme="majorHAnsi"/>
        </w:rPr>
        <w:t>,</w:t>
      </w:r>
      <w:r w:rsidR="00DC7F87" w:rsidRPr="00406FC8">
        <w:rPr>
          <w:rFonts w:asciiTheme="majorHAnsi" w:hAnsiTheme="majorHAnsi"/>
        </w:rPr>
        <w:t xml:space="preserve"> on </w:t>
      </w:r>
      <w:r w:rsidR="0079069C" w:rsidRPr="00406FC8">
        <w:rPr>
          <w:rFonts w:asciiTheme="majorHAnsi" w:hAnsiTheme="majorHAnsi"/>
        </w:rPr>
        <w:t xml:space="preserve">3608 </w:t>
      </w:r>
      <w:r w:rsidR="006D210D" w:rsidRPr="00406FC8">
        <w:rPr>
          <w:rFonts w:asciiTheme="majorHAnsi" w:hAnsiTheme="majorHAnsi"/>
        </w:rPr>
        <w:t>records</w:t>
      </w:r>
      <w:r w:rsidR="0079069C" w:rsidRPr="00406FC8">
        <w:rPr>
          <w:rFonts w:asciiTheme="majorHAnsi" w:hAnsiTheme="majorHAnsi"/>
        </w:rPr>
        <w:t xml:space="preserve"> on </w:t>
      </w:r>
      <w:r w:rsidR="00383316" w:rsidRPr="00406FC8">
        <w:rPr>
          <w:rFonts w:asciiTheme="majorHAnsi" w:hAnsiTheme="majorHAnsi"/>
        </w:rPr>
        <w:t>middle to old aged autistic adults</w:t>
      </w:r>
      <w:r w:rsidR="00DC7F87" w:rsidRPr="00406FC8">
        <w:rPr>
          <w:rFonts w:asciiTheme="majorHAnsi" w:hAnsiTheme="majorHAnsi"/>
        </w:rPr>
        <w:t xml:space="preserve"> under</w:t>
      </w:r>
      <w:r w:rsidR="001C42B6" w:rsidRPr="00406FC8">
        <w:rPr>
          <w:rFonts w:asciiTheme="majorHAnsi" w:hAnsiTheme="majorHAnsi"/>
        </w:rPr>
        <w:t xml:space="preserve"> different ranges of sub studies conditions and </w:t>
      </w:r>
      <w:r w:rsidR="00526B5C" w:rsidRPr="00406FC8">
        <w:rPr>
          <w:rFonts w:asciiTheme="majorHAnsi" w:hAnsiTheme="majorHAnsi"/>
        </w:rPr>
        <w:t xml:space="preserve">cross-sectional </w:t>
      </w:r>
      <w:r w:rsidR="001C42B6" w:rsidRPr="00406FC8">
        <w:rPr>
          <w:rFonts w:asciiTheme="majorHAnsi" w:hAnsiTheme="majorHAnsi"/>
        </w:rPr>
        <w:t xml:space="preserve">designs. </w:t>
      </w:r>
    </w:p>
    <w:p w14:paraId="7F45B157" w14:textId="33CB09DD" w:rsidR="000B613A" w:rsidRPr="00406FC8" w:rsidRDefault="00875EB7" w:rsidP="00AF6782">
      <w:pPr>
        <w:rPr>
          <w:rFonts w:asciiTheme="majorHAnsi" w:hAnsiTheme="majorHAnsi"/>
        </w:rPr>
      </w:pPr>
      <w:r w:rsidRPr="00406FC8">
        <w:rPr>
          <w:rFonts w:asciiTheme="majorHAnsi" w:hAnsiTheme="majorHAnsi"/>
        </w:rPr>
        <w:t xml:space="preserve">Among </w:t>
      </w:r>
      <w:r w:rsidR="001C42B6" w:rsidRPr="00406FC8">
        <w:rPr>
          <w:rFonts w:asciiTheme="majorHAnsi" w:hAnsiTheme="majorHAnsi"/>
        </w:rPr>
        <w:t>different types</w:t>
      </w:r>
      <w:r w:rsidR="001F686A" w:rsidRPr="00406FC8">
        <w:rPr>
          <w:rFonts w:asciiTheme="majorHAnsi" w:hAnsiTheme="majorHAnsi"/>
        </w:rPr>
        <w:t xml:space="preserve"> of </w:t>
      </w:r>
      <w:r w:rsidR="0036697E" w:rsidRPr="00406FC8">
        <w:rPr>
          <w:rFonts w:asciiTheme="majorHAnsi" w:hAnsiTheme="majorHAnsi"/>
        </w:rPr>
        <w:t>participant information, cognitive assessments and summarized findings for cognitive stud</w:t>
      </w:r>
      <w:r w:rsidR="004D3EB5" w:rsidRPr="00406FC8">
        <w:rPr>
          <w:rFonts w:asciiTheme="majorHAnsi" w:hAnsiTheme="majorHAnsi"/>
        </w:rPr>
        <w:t>y outcomes</w:t>
      </w:r>
      <w:r w:rsidR="006054BB" w:rsidRPr="00406FC8">
        <w:rPr>
          <w:rFonts w:asciiTheme="majorHAnsi" w:hAnsiTheme="majorHAnsi"/>
        </w:rPr>
        <w:t xml:space="preserve"> </w:t>
      </w:r>
      <w:r w:rsidR="004D3EB5" w:rsidRPr="00406FC8">
        <w:rPr>
          <w:rFonts w:asciiTheme="majorHAnsi" w:hAnsiTheme="majorHAnsi"/>
        </w:rPr>
        <w:t>are categorized into</w:t>
      </w:r>
      <w:r w:rsidR="0036697E" w:rsidRPr="00406FC8">
        <w:rPr>
          <w:rFonts w:asciiTheme="majorHAnsi" w:hAnsiTheme="majorHAnsi"/>
        </w:rPr>
        <w:t xml:space="preserve"> </w:t>
      </w:r>
      <w:r w:rsidR="001F686A" w:rsidRPr="00406FC8">
        <w:rPr>
          <w:rFonts w:asciiTheme="majorHAnsi" w:hAnsiTheme="majorHAnsi"/>
        </w:rPr>
        <w:t xml:space="preserve">‘cognitive </w:t>
      </w:r>
      <w:r w:rsidR="00EF7E13" w:rsidRPr="00406FC8">
        <w:rPr>
          <w:rFonts w:asciiTheme="majorHAnsi" w:hAnsiTheme="majorHAnsi"/>
        </w:rPr>
        <w:t>domains</w:t>
      </w:r>
      <w:r w:rsidR="00392F7E" w:rsidRPr="00406FC8">
        <w:rPr>
          <w:rFonts w:asciiTheme="majorHAnsi" w:hAnsiTheme="majorHAnsi"/>
        </w:rPr>
        <w:t xml:space="preserve">. </w:t>
      </w:r>
      <w:r w:rsidR="00EF7E13" w:rsidRPr="00406FC8">
        <w:rPr>
          <w:rFonts w:asciiTheme="majorHAnsi" w:hAnsiTheme="majorHAnsi"/>
        </w:rPr>
        <w:t>It is crucial to confirm ASD diagnostics</w:t>
      </w:r>
      <w:r w:rsidR="00E12ED7" w:rsidRPr="00406FC8">
        <w:rPr>
          <w:rFonts w:asciiTheme="majorHAnsi" w:hAnsiTheme="majorHAnsi"/>
        </w:rPr>
        <w:t xml:space="preserve"> examined</w:t>
      </w:r>
      <w:r w:rsidR="00EF7E13" w:rsidRPr="00406FC8">
        <w:rPr>
          <w:rFonts w:asciiTheme="majorHAnsi" w:hAnsiTheme="majorHAnsi"/>
        </w:rPr>
        <w:t xml:space="preserve"> carefully </w:t>
      </w:r>
      <w:r w:rsidR="00E12ED7" w:rsidRPr="00406FC8">
        <w:rPr>
          <w:rFonts w:asciiTheme="majorHAnsi" w:hAnsiTheme="majorHAnsi"/>
        </w:rPr>
        <w:t>whether</w:t>
      </w:r>
      <w:r w:rsidR="00EF7E13" w:rsidRPr="00406FC8">
        <w:rPr>
          <w:rFonts w:asciiTheme="majorHAnsi" w:hAnsiTheme="majorHAnsi"/>
        </w:rPr>
        <w:t xml:space="preserve"> incoming and recurring participants has been maintained diagnostic stability over time</w:t>
      </w:r>
      <w:r w:rsidR="00E12ED7" w:rsidRPr="00406FC8">
        <w:rPr>
          <w:rFonts w:asciiTheme="majorHAnsi" w:hAnsiTheme="majorHAnsi"/>
        </w:rPr>
        <w:t xml:space="preserve"> include increased retention rates</w:t>
      </w:r>
      <w:r w:rsidR="00EF7E13" w:rsidRPr="00406FC8">
        <w:rPr>
          <w:rFonts w:asciiTheme="majorHAnsi" w:hAnsiTheme="majorHAnsi"/>
        </w:rPr>
        <w:t xml:space="preserve">. </w:t>
      </w:r>
      <w:r w:rsidR="00392F7E" w:rsidRPr="00406FC8">
        <w:rPr>
          <w:rFonts w:asciiTheme="majorHAnsi" w:hAnsiTheme="majorHAnsi"/>
        </w:rPr>
        <w:t xml:space="preserve">The </w:t>
      </w:r>
      <w:r w:rsidR="000B613A" w:rsidRPr="00406FC8">
        <w:rPr>
          <w:rFonts w:asciiTheme="majorHAnsi" w:hAnsiTheme="majorHAnsi"/>
        </w:rPr>
        <w:t>main</w:t>
      </w:r>
      <w:r w:rsidR="00392F7E" w:rsidRPr="00406FC8">
        <w:rPr>
          <w:rFonts w:asciiTheme="majorHAnsi" w:hAnsiTheme="majorHAnsi"/>
        </w:rPr>
        <w:t xml:space="preserve"> pre-specified objective</w:t>
      </w:r>
      <w:r w:rsidR="000B613A" w:rsidRPr="00406FC8">
        <w:rPr>
          <w:rFonts w:asciiTheme="majorHAnsi" w:hAnsiTheme="majorHAnsi"/>
        </w:rPr>
        <w:t xml:space="preserve"> performing this</w:t>
      </w:r>
      <w:r w:rsidR="00392F7E" w:rsidRPr="00406FC8">
        <w:rPr>
          <w:rFonts w:asciiTheme="majorHAnsi" w:hAnsiTheme="majorHAnsi"/>
        </w:rPr>
        <w:t xml:space="preserve"> meta-analysis</w:t>
      </w:r>
      <w:r w:rsidR="00162E9C" w:rsidRPr="00406FC8">
        <w:rPr>
          <w:rFonts w:asciiTheme="majorHAnsi" w:hAnsiTheme="majorHAnsi"/>
        </w:rPr>
        <w:t xml:space="preserve"> is to measure cognitive ability and brain structure deviations in middle-to-old aged autistic adults</w:t>
      </w:r>
      <w:r w:rsidR="008E039A" w:rsidRPr="00406FC8">
        <w:rPr>
          <w:rFonts w:asciiTheme="majorHAnsi" w:hAnsiTheme="majorHAnsi"/>
        </w:rPr>
        <w:t xml:space="preserve"> individuals and neurotypical controls</w:t>
      </w:r>
      <w:r w:rsidR="00162E9C" w:rsidRPr="00406FC8">
        <w:rPr>
          <w:rFonts w:asciiTheme="majorHAnsi" w:hAnsiTheme="majorHAnsi"/>
        </w:rPr>
        <w:t>.</w:t>
      </w:r>
    </w:p>
    <w:p w14:paraId="4F81A766" w14:textId="42E61335" w:rsidR="003C056F" w:rsidRPr="00406FC8" w:rsidRDefault="00B20F84" w:rsidP="005F716E">
      <w:pPr>
        <w:rPr>
          <w:rFonts w:asciiTheme="majorHAnsi" w:hAnsiTheme="majorHAnsi"/>
        </w:rPr>
      </w:pPr>
      <w:r w:rsidRPr="00406FC8">
        <w:rPr>
          <w:rFonts w:asciiTheme="majorHAnsi" w:hAnsiTheme="majorHAnsi"/>
        </w:rPr>
        <w:t xml:space="preserve">The claimed key findings from </w:t>
      </w:r>
      <w:r w:rsidR="00740B03" w:rsidRPr="00406FC8">
        <w:rPr>
          <w:rFonts w:asciiTheme="majorHAnsi" w:hAnsiTheme="majorHAnsi"/>
        </w:rPr>
        <w:t>existing</w:t>
      </w:r>
      <w:r w:rsidR="001F12A4" w:rsidRPr="00406FC8">
        <w:rPr>
          <w:rFonts w:asciiTheme="majorHAnsi" w:hAnsiTheme="majorHAnsi"/>
        </w:rPr>
        <w:t xml:space="preserve"> claims</w:t>
      </w:r>
      <w:r w:rsidR="00B76DC5" w:rsidRPr="00406FC8">
        <w:rPr>
          <w:rFonts w:asciiTheme="majorHAnsi" w:hAnsiTheme="majorHAnsi"/>
        </w:rPr>
        <w:t xml:space="preserve"> </w:t>
      </w:r>
      <w:r w:rsidR="00FA6FF3" w:rsidRPr="00406FC8">
        <w:rPr>
          <w:rFonts w:asciiTheme="majorHAnsi" w:hAnsiTheme="majorHAnsi"/>
        </w:rPr>
        <w:t>that</w:t>
      </w:r>
      <w:r w:rsidR="001D53C0" w:rsidRPr="00406FC8">
        <w:rPr>
          <w:rFonts w:asciiTheme="majorHAnsi" w:hAnsiTheme="majorHAnsi"/>
        </w:rPr>
        <w:t xml:space="preserve"> autistic </w:t>
      </w:r>
      <w:r w:rsidR="00671E76" w:rsidRPr="00406FC8">
        <w:rPr>
          <w:rFonts w:asciiTheme="majorHAnsi" w:hAnsiTheme="majorHAnsi"/>
        </w:rPr>
        <w:t>adults’</w:t>
      </w:r>
      <w:r w:rsidR="001D53C0" w:rsidRPr="00406FC8">
        <w:rPr>
          <w:rFonts w:asciiTheme="majorHAnsi" w:hAnsiTheme="majorHAnsi"/>
        </w:rPr>
        <w:t xml:space="preserve"> manifest deviations in cognitive and brain domains</w:t>
      </w:r>
      <w:r w:rsidR="00FA6FF3" w:rsidRPr="00406FC8">
        <w:rPr>
          <w:rFonts w:asciiTheme="majorHAnsi" w:hAnsiTheme="majorHAnsi"/>
        </w:rPr>
        <w:t xml:space="preserve"> </w:t>
      </w:r>
      <w:r w:rsidR="000A142B" w:rsidRPr="00406FC8">
        <w:rPr>
          <w:rFonts w:asciiTheme="majorHAnsi" w:hAnsiTheme="majorHAnsi"/>
        </w:rPr>
        <w:t>associated</w:t>
      </w:r>
      <w:r w:rsidR="001D53C0" w:rsidRPr="00406FC8">
        <w:rPr>
          <w:rFonts w:asciiTheme="majorHAnsi" w:hAnsiTheme="majorHAnsi"/>
        </w:rPr>
        <w:t xml:space="preserve"> with neurotypical controls</w:t>
      </w:r>
      <w:r w:rsidR="008E4988" w:rsidRPr="00406FC8">
        <w:rPr>
          <w:rFonts w:asciiTheme="majorHAnsi" w:hAnsiTheme="majorHAnsi"/>
        </w:rPr>
        <w:t>, and that direct implications they are more vulnerable to early cognitive impairments or pathological aging associated conditions compared to neurotypical controls</w:t>
      </w:r>
      <w:r w:rsidR="003E6524" w:rsidRPr="00406FC8">
        <w:rPr>
          <w:rFonts w:asciiTheme="majorHAnsi" w:hAnsiTheme="majorHAnsi"/>
        </w:rPr>
        <w:t>. The suggested</w:t>
      </w:r>
      <w:r w:rsidR="00846EE8" w:rsidRPr="00406FC8">
        <w:rPr>
          <w:rFonts w:asciiTheme="majorHAnsi" w:hAnsiTheme="majorHAnsi"/>
        </w:rPr>
        <w:t xml:space="preserve"> implications that </w:t>
      </w:r>
      <w:r w:rsidR="00B153C8" w:rsidRPr="00406FC8">
        <w:rPr>
          <w:rFonts w:asciiTheme="majorHAnsi" w:hAnsiTheme="majorHAnsi"/>
        </w:rPr>
        <w:t xml:space="preserve">should be taken consideration to </w:t>
      </w:r>
      <w:r w:rsidR="00502664" w:rsidRPr="00406FC8">
        <w:rPr>
          <w:rFonts w:asciiTheme="majorHAnsi" w:hAnsiTheme="majorHAnsi"/>
        </w:rPr>
        <w:t>enhanced</w:t>
      </w:r>
      <w:r w:rsidR="00846EE8" w:rsidRPr="00406FC8">
        <w:rPr>
          <w:rFonts w:asciiTheme="majorHAnsi" w:hAnsiTheme="majorHAnsi"/>
        </w:rPr>
        <w:t xml:space="preserve"> further </w:t>
      </w:r>
      <w:r w:rsidR="00B153C8" w:rsidRPr="00406FC8">
        <w:rPr>
          <w:rFonts w:asciiTheme="majorHAnsi" w:hAnsiTheme="majorHAnsi"/>
        </w:rPr>
        <w:t xml:space="preserve">by </w:t>
      </w:r>
      <w:r w:rsidR="00502664" w:rsidRPr="00406FC8">
        <w:rPr>
          <w:rFonts w:asciiTheme="majorHAnsi" w:hAnsiTheme="majorHAnsi"/>
        </w:rPr>
        <w:t xml:space="preserve">their cognitive process and assessments to determine </w:t>
      </w:r>
      <w:r w:rsidR="00473675" w:rsidRPr="00406FC8">
        <w:rPr>
          <w:rFonts w:asciiTheme="majorHAnsi" w:hAnsiTheme="majorHAnsi"/>
        </w:rPr>
        <w:t xml:space="preserve">based on </w:t>
      </w:r>
      <w:r w:rsidR="00502664" w:rsidRPr="00406FC8">
        <w:rPr>
          <w:rFonts w:asciiTheme="majorHAnsi" w:hAnsiTheme="majorHAnsi"/>
        </w:rPr>
        <w:t>their cognitive ability</w:t>
      </w:r>
      <w:r w:rsidR="00D72973" w:rsidRPr="00406FC8">
        <w:rPr>
          <w:rFonts w:asciiTheme="majorHAnsi" w:hAnsiTheme="majorHAnsi"/>
        </w:rPr>
        <w:t xml:space="preserve"> </w:t>
      </w:r>
      <w:r w:rsidR="009467F4" w:rsidRPr="00406FC8">
        <w:rPr>
          <w:rFonts w:asciiTheme="majorHAnsi" w:hAnsiTheme="majorHAnsi"/>
        </w:rPr>
        <w:t>and</w:t>
      </w:r>
      <w:r w:rsidR="00D72973" w:rsidRPr="00406FC8">
        <w:rPr>
          <w:rFonts w:asciiTheme="majorHAnsi" w:hAnsiTheme="majorHAnsi"/>
        </w:rPr>
        <w:t xml:space="preserve"> stability over time</w:t>
      </w:r>
      <w:r w:rsidR="00502664" w:rsidRPr="00406FC8">
        <w:rPr>
          <w:rFonts w:asciiTheme="majorHAnsi" w:hAnsiTheme="majorHAnsi"/>
        </w:rPr>
        <w:t>.</w:t>
      </w:r>
    </w:p>
    <w:p w14:paraId="00EFEE0A" w14:textId="533709A2" w:rsidR="00875EB7" w:rsidRPr="00406FC8" w:rsidRDefault="00875EB7" w:rsidP="00EF7E13"/>
    <w:p w14:paraId="73E54A7B" w14:textId="77777777" w:rsidR="00392F7E" w:rsidRPr="00406FC8" w:rsidRDefault="00392F7E" w:rsidP="006054BB"/>
    <w:p w14:paraId="79C32916" w14:textId="77777777" w:rsidR="001017EE" w:rsidRPr="00406FC8" w:rsidRDefault="001017EE" w:rsidP="006054BB"/>
    <w:p w14:paraId="1F4719AE" w14:textId="77777777" w:rsidR="001017EE" w:rsidRPr="00406FC8" w:rsidRDefault="001017EE" w:rsidP="006054BB"/>
    <w:p w14:paraId="6C95645B" w14:textId="77777777" w:rsidR="001017EE" w:rsidRPr="00406FC8" w:rsidRDefault="001017EE" w:rsidP="006054BB"/>
    <w:p w14:paraId="10ADF029" w14:textId="77777777" w:rsidR="001017EE" w:rsidRPr="00406FC8" w:rsidRDefault="001017EE" w:rsidP="006054BB"/>
    <w:p w14:paraId="1B07581E" w14:textId="77777777" w:rsidR="00392F7E" w:rsidRPr="00406FC8" w:rsidRDefault="00392F7E" w:rsidP="006054BB"/>
    <w:p w14:paraId="4E91E1D8" w14:textId="4AF63912" w:rsidR="007042E6" w:rsidRPr="00406FC8" w:rsidRDefault="00875EB7">
      <w:r w:rsidRPr="00406FC8">
        <w:t xml:space="preserve"> </w:t>
      </w:r>
    </w:p>
    <w:p w14:paraId="72077D8F" w14:textId="77777777" w:rsidR="00753BC7" w:rsidRPr="00406FC8" w:rsidRDefault="00753BC7"/>
    <w:p w14:paraId="42A255E1" w14:textId="77777777" w:rsidR="00451C2A" w:rsidRPr="00406FC8" w:rsidRDefault="00451C2A"/>
    <w:p w14:paraId="772307F5" w14:textId="77777777" w:rsidR="00451C2A" w:rsidRPr="00406FC8" w:rsidRDefault="00451C2A"/>
    <w:p w14:paraId="792E28B6" w14:textId="77777777" w:rsidR="00451C2A" w:rsidRPr="00406FC8" w:rsidRDefault="00451C2A"/>
    <w:p w14:paraId="7144A83D" w14:textId="77777777" w:rsidR="00630BD1" w:rsidRPr="00406FC8" w:rsidRDefault="00630BD1"/>
    <w:p w14:paraId="00E473FF" w14:textId="77777777" w:rsidR="00451C2A" w:rsidRPr="00406FC8" w:rsidRDefault="00451C2A"/>
    <w:p w14:paraId="749C1C70" w14:textId="1C9CB21B" w:rsidR="007042E6" w:rsidRPr="00406FC8" w:rsidRDefault="007042E6">
      <w:pPr>
        <w:rPr>
          <w:b/>
          <w:bCs/>
          <w:sz w:val="32"/>
          <w:szCs w:val="32"/>
        </w:rPr>
      </w:pPr>
      <w:r w:rsidRPr="00406FC8">
        <w:rPr>
          <w:b/>
          <w:bCs/>
          <w:sz w:val="32"/>
          <w:szCs w:val="32"/>
        </w:rPr>
        <w:t>Method</w:t>
      </w:r>
      <w:r w:rsidR="006E67F8" w:rsidRPr="00406FC8">
        <w:rPr>
          <w:b/>
          <w:bCs/>
          <w:sz w:val="32"/>
          <w:szCs w:val="32"/>
        </w:rPr>
        <w:t>s</w:t>
      </w:r>
    </w:p>
    <w:p w14:paraId="49C597DA" w14:textId="608EF41A" w:rsidR="00B40620" w:rsidRPr="00406FC8" w:rsidRDefault="00A96E56" w:rsidP="00DB3837">
      <w:pPr>
        <w:rPr>
          <w:rFonts w:asciiTheme="majorHAnsi" w:eastAsia="Times New Roman" w:hAnsiTheme="majorHAnsi" w:cs="Times New Roman"/>
          <w:color w:val="242424"/>
          <w:kern w:val="0"/>
          <w14:ligatures w14:val="none"/>
        </w:rPr>
      </w:pP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The authors provide a </w:t>
      </w:r>
      <w:r w:rsidR="00195AC7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quality assessment of selected articles for </w:t>
      </w:r>
      <w:r w:rsidR="00B81E8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Cognitive dysfunctions and brain morphological changes in middle-to-old aged autistic adults: A systematic review and meta-analysis </w:t>
      </w:r>
      <w:r w:rsidR="00E35083" w:rsidRPr="00406FC8"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  <w:t>[2]</w:t>
      </w:r>
      <w:r w:rsidR="00E3508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6C578A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statement</w:t>
      </w:r>
      <w:r w:rsidR="00DB383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;</w:t>
      </w:r>
      <w:r w:rsidR="001606A4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1B3D5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details further implications</w:t>
      </w:r>
      <w:r w:rsidR="00337D1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and conventions</w:t>
      </w:r>
      <w:r w:rsidR="001B3D5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on cognitive changes and structural brain changes</w:t>
      </w:r>
      <w:r w:rsidR="00337D1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4A702D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are </w:t>
      </w:r>
      <w:r w:rsidR="00337D1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included</w:t>
      </w: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. </w:t>
      </w:r>
    </w:p>
    <w:p w14:paraId="0AC0D0DD" w14:textId="388E18E5" w:rsidR="00515FCD" w:rsidRPr="00406FC8" w:rsidRDefault="00A96E56" w:rsidP="00515FCD">
      <w:pPr>
        <w:rPr>
          <w:rFonts w:asciiTheme="majorHAnsi" w:eastAsia="Times New Roman" w:hAnsiTheme="majorHAnsi" w:cs="Times New Roman"/>
          <w:color w:val="242424"/>
          <w:kern w:val="0"/>
          <w14:ligatures w14:val="none"/>
        </w:rPr>
      </w:pP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The outcome of interest was </w:t>
      </w:r>
      <w:r w:rsidR="002D029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assessing aging-related cognitive and/or brain variations </w:t>
      </w:r>
      <w:r w:rsidR="00F05D00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were assessed by </w:t>
      </w:r>
      <w:r w:rsidR="00AE1C3A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three different categories of cognitive </w:t>
      </w:r>
      <w:r w:rsidR="00B4418C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domains</w:t>
      </w:r>
      <w:r w:rsidR="00AE1C3A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, </w:t>
      </w:r>
      <w:r w:rsidR="00B87A01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global cognitive function, executive function and episodic memory</w:t>
      </w:r>
      <w:r w:rsidR="00DE0B7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8B7290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were applied for this analysis</w:t>
      </w:r>
      <w:r w:rsidR="00DE0B7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, r</w:t>
      </w:r>
      <w:r w:rsidR="008E72A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eported as</w:t>
      </w: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estimated Standardised Mean Differences (SMDs) </w:t>
      </w:r>
      <w:r w:rsidR="003630B5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in Cognitive deviations in middle to old aged autistic adults</w:t>
      </w: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. The authors report the SMDs were estimated using Hedge’s g </w:t>
      </w:r>
      <w:r w:rsidR="00A161D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re</w:t>
      </w:r>
      <w:r w:rsidR="0029548A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presents the effect size derived from the meta-analysis.</w:t>
      </w:r>
      <w:r w:rsidR="008D0564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A positive Hedges’ g indicated that the control group had a better performance than the autistic group </w:t>
      </w:r>
      <w:r w:rsidR="008D0564" w:rsidRPr="00406FC8"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  <w:t>[1</w:t>
      </w:r>
      <w:r w:rsidR="00E62D69" w:rsidRPr="00406FC8"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  <w:t>].</w:t>
      </w:r>
      <w:r w:rsidR="00E62D69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These</w:t>
      </w: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estimates and their associated 95% Confidence Intervals (CIs) were calculated using </w:t>
      </w:r>
      <w:r w:rsidR="00E0077B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R a statistical</w:t>
      </w: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software </w:t>
      </w:r>
      <w:r w:rsidR="00E0077B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programming language is practical for creating meta-analysis and regressions</w:t>
      </w:r>
      <w:r w:rsidR="00157040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, despite it has not been mentioned on paper</w:t>
      </w:r>
      <w:r w:rsidRPr="00406FC8"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  <w:t xml:space="preserve">. </w:t>
      </w:r>
      <w:r w:rsidR="00D35D27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It can allow to </w:t>
      </w:r>
      <w:r w:rsidR="00157040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perform</w:t>
      </w:r>
      <w:r w:rsidR="00157040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;</w:t>
      </w: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meta-analytic estimates and forest plots were produced </w:t>
      </w:r>
      <w:r w:rsidR="00744DD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taken </w:t>
      </w: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Random Effects Model (REM)</w:t>
      </w:r>
      <w:r w:rsidR="00744DD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was</w:t>
      </w:r>
      <w:r w:rsidR="00D35D27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used</w:t>
      </w:r>
      <w:r w:rsidR="00157040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in the paper</w:t>
      </w:r>
      <w:r w:rsidR="00744DD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during the </w:t>
      </w:r>
      <w:r w:rsidR="00157040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analysis.</w:t>
      </w:r>
    </w:p>
    <w:p w14:paraId="68EE8380" w14:textId="0A2A1052" w:rsidR="00010F9D" w:rsidRPr="00406FC8" w:rsidRDefault="00B40620" w:rsidP="00515FCD">
      <w:pPr>
        <w:rPr>
          <w:rFonts w:asciiTheme="majorHAnsi" w:eastAsia="Times New Roman" w:hAnsiTheme="majorHAnsi" w:cs="Times New Roman"/>
          <w:color w:val="242424"/>
          <w:kern w:val="0"/>
          <w14:ligatures w14:val="none"/>
        </w:rPr>
      </w:pP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A</w:t>
      </w:r>
      <w:r w:rsidR="00A96E56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side from the overall estimate from all </w:t>
      </w:r>
      <w:r w:rsidR="008E5ECC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30</w:t>
      </w:r>
      <w:r w:rsidR="00A96E56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interventions, 3 subgroup analyses (</w:t>
      </w:r>
      <w:r w:rsidR="00966531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A,</w:t>
      </w:r>
      <w:r w:rsidR="009D02EE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966531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B and C</w:t>
      </w:r>
      <w:r w:rsidR="00A96E56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) were conducted</w:t>
      </w:r>
      <w:r w:rsidR="0056335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on cognitive domain</w:t>
      </w:r>
      <w:r w:rsidR="00A96E56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. The</w:t>
      </w:r>
      <w:r w:rsidR="00C45E4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following</w:t>
      </w:r>
      <w:r w:rsidR="00A96E56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studies were partitioned by: (</w:t>
      </w:r>
      <w:r w:rsidR="000912F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A</w:t>
      </w:r>
      <w:r w:rsidR="00A96E56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) </w:t>
      </w:r>
      <w:r w:rsidR="00DE0CDA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global cognitive function</w:t>
      </w:r>
      <w:r w:rsidR="006B5C00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compressed into one stage</w:t>
      </w:r>
      <w:r w:rsidR="00A96E56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; (</w:t>
      </w:r>
      <w:r w:rsidR="000912F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B</w:t>
      </w:r>
      <w:r w:rsidR="00A96E56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) </w:t>
      </w:r>
      <w:r w:rsidR="00DE0CDA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executive function, </w:t>
      </w:r>
      <w:r w:rsidR="00A96E56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and (</w:t>
      </w:r>
      <w:r w:rsidR="000912F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C</w:t>
      </w:r>
      <w:r w:rsidR="00A96E56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) </w:t>
      </w:r>
      <w:r w:rsidR="00DE0CDA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episodic memory</w:t>
      </w:r>
      <w:r w:rsidR="006B5C00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are both compressed into two stages</w:t>
      </w:r>
      <w:r w:rsidR="00DE0CDA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.</w:t>
      </w:r>
      <w:r w:rsidR="00A96E56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</w:p>
    <w:p w14:paraId="44D2E6CF" w14:textId="2268298E" w:rsidR="00A96E56" w:rsidRPr="00406FC8" w:rsidRDefault="00535DD8" w:rsidP="00AA668C">
      <w:pPr>
        <w:rPr>
          <w:rFonts w:asciiTheme="majorHAnsi" w:eastAsia="Times New Roman" w:hAnsiTheme="majorHAnsi" w:cs="Times New Roman"/>
          <w:color w:val="242424"/>
          <w:kern w:val="0"/>
          <w14:ligatures w14:val="none"/>
        </w:rPr>
      </w:pP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The authors report using Egger’s Q test to assess the evidence of between-subgroup differences for different cognitive domains in true SMDs. </w:t>
      </w:r>
      <w:r w:rsidR="00A96E56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Risk of publication bias was assessed </w:t>
      </w:r>
      <w:r w:rsidR="006076A0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from the Supplementary Figure</w:t>
      </w:r>
      <w:r w:rsidR="00EC6C74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s </w:t>
      </w:r>
      <w:r w:rsidR="006076A0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5</w:t>
      </w:r>
      <w:r w:rsidR="00604E4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425B3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contains </w:t>
      </w:r>
      <w:r w:rsidR="00604E4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two figures (A) including studies that used MMSE as a screening tool and (B) excluding studies that used MMSE as a screening tool</w:t>
      </w:r>
      <w:r w:rsidR="00AA668C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to conclude the tests were not significant. </w:t>
      </w:r>
      <w:r w:rsidR="003079D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For Supplementary</w:t>
      </w:r>
      <w:r w:rsidR="00604E4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Figure 6 con</w:t>
      </w:r>
      <w:r w:rsidR="00425B3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tains </w:t>
      </w:r>
      <w:r w:rsidR="00604E4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our figures (A) executive function, (B) cognitive processes of flexibility, planning (C)</w:t>
      </w:r>
      <w:r w:rsidR="005F421E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604E4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and working memory (D)</w:t>
      </w:r>
      <w:r w:rsidR="009046EE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where (A) Egger’s test </w:t>
      </w:r>
      <w:r w:rsidR="0004259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was</w:t>
      </w:r>
      <w:r w:rsidR="009046EE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04259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the only group demonstrating statistical significance</w:t>
      </w:r>
      <w:r w:rsidR="003079D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. Lastly for Supplementary Figure 7</w:t>
      </w:r>
      <w:r w:rsidR="00604E4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con</w:t>
      </w:r>
      <w:r w:rsidR="003079D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tains</w:t>
      </w:r>
      <w:r w:rsidR="00604E4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three figures containing</w:t>
      </w:r>
      <w:r w:rsidR="00D26CD6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episodic memory (A), cognitive process of verbal (B) and visual memory (C)</w:t>
      </w:r>
      <w:r w:rsidR="00390FF1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0F2470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where</w:t>
      </w:r>
      <w:r w:rsidR="00390FF1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all tests were not significant</w:t>
      </w:r>
      <w:r w:rsidR="00A96E56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: A funnel plot of all </w:t>
      </w:r>
      <w:r w:rsidR="00DD0A4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30</w:t>
      </w:r>
      <w:r w:rsidR="00A96E56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B853BD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observations</w:t>
      </w:r>
      <w:r w:rsidR="00A96E56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was produced</w:t>
      </w:r>
      <w:r w:rsidR="006C77ED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,</w:t>
      </w:r>
      <w:r w:rsidR="00A96E56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DD2BEF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similarly for </w:t>
      </w:r>
      <w:r w:rsidR="00A96E56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Egger’s test for funnel plot asymmetry was conducted</w:t>
      </w:r>
      <w:r w:rsidR="00C7510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C75108" w:rsidRPr="00C75108"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  <w:t>[2]</w:t>
      </w:r>
      <w:r w:rsidR="00A96E56" w:rsidRPr="00C75108"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  <w:t>.</w:t>
      </w:r>
    </w:p>
    <w:p w14:paraId="62A42544" w14:textId="77777777" w:rsidR="007B2D65" w:rsidRPr="00406FC8" w:rsidRDefault="007B2D65">
      <w:pPr>
        <w:rPr>
          <w:b/>
          <w:bCs/>
          <w:sz w:val="32"/>
          <w:szCs w:val="32"/>
        </w:rPr>
      </w:pPr>
    </w:p>
    <w:p w14:paraId="54469DA5" w14:textId="77777777" w:rsidR="001E5D18" w:rsidRPr="00406FC8" w:rsidRDefault="001E5D18">
      <w:pPr>
        <w:rPr>
          <w:b/>
          <w:bCs/>
          <w:sz w:val="32"/>
          <w:szCs w:val="32"/>
        </w:rPr>
      </w:pPr>
    </w:p>
    <w:p w14:paraId="45B0C604" w14:textId="77777777" w:rsidR="00515FCD" w:rsidRPr="00406FC8" w:rsidRDefault="00515FCD">
      <w:pPr>
        <w:rPr>
          <w:b/>
          <w:bCs/>
          <w:sz w:val="32"/>
          <w:szCs w:val="32"/>
        </w:rPr>
      </w:pPr>
    </w:p>
    <w:p w14:paraId="62FAA0EC" w14:textId="77777777" w:rsidR="00515FCD" w:rsidRPr="00406FC8" w:rsidRDefault="00515FCD">
      <w:pPr>
        <w:rPr>
          <w:b/>
          <w:bCs/>
          <w:sz w:val="32"/>
          <w:szCs w:val="32"/>
        </w:rPr>
      </w:pPr>
    </w:p>
    <w:p w14:paraId="2F5380C3" w14:textId="43603FDA" w:rsidR="007042E6" w:rsidRPr="00406FC8" w:rsidRDefault="007042E6">
      <w:pPr>
        <w:rPr>
          <w:b/>
          <w:bCs/>
          <w:sz w:val="32"/>
          <w:szCs w:val="32"/>
        </w:rPr>
      </w:pPr>
      <w:r w:rsidRPr="00406FC8">
        <w:rPr>
          <w:b/>
          <w:bCs/>
          <w:sz w:val="32"/>
          <w:szCs w:val="32"/>
        </w:rPr>
        <w:t>Main findings</w:t>
      </w:r>
    </w:p>
    <w:p w14:paraId="30BDA636" w14:textId="6816ACFC" w:rsidR="007042E6" w:rsidRPr="00406FC8" w:rsidRDefault="00D24506" w:rsidP="006F6E69">
      <w:pPr>
        <w:rPr>
          <w:rFonts w:asciiTheme="majorHAnsi" w:eastAsia="Times New Roman" w:hAnsiTheme="majorHAnsi" w:cs="Times New Roman"/>
          <w:color w:val="242424"/>
          <w:kern w:val="0"/>
          <w14:ligatures w14:val="none"/>
        </w:rPr>
      </w:pP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Note that the </w:t>
      </w:r>
      <w:r w:rsidR="00ED33E4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positive</w:t>
      </w: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values </w:t>
      </w:r>
      <w:r w:rsidR="00DD230E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of the Hedges test </w:t>
      </w: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of the SMD indicate</w:t>
      </w:r>
      <w:r w:rsidR="00ED33E4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s that neurotypical controls had a better performance than autistic adults, determining cognitive ability</w:t>
      </w:r>
      <w:r w:rsidR="002C7ACA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and aging from different cognitive groups</w:t>
      </w:r>
      <w:r w:rsidR="00ED33E4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. </w:t>
      </w:r>
      <w:r w:rsidR="00BE68F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Assuming that all significant levels were predetermined at 5%</w:t>
      </w:r>
      <w:r w:rsidR="00C36BC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for each number of studies</w:t>
      </w:r>
      <w:r w:rsidR="00BE68F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. </w:t>
      </w:r>
      <w:r w:rsidR="00C62DE9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The authors state that the overall observations were associated for each sub-group determines where neurotypical controls had better performance than autistic adults</w:t>
      </w:r>
      <w:r w:rsidR="0066337D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. </w:t>
      </w:r>
      <w:r w:rsidR="000F2470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For</w:t>
      </w:r>
      <w:r w:rsidR="003F010C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global cognitive function (A)</w:t>
      </w:r>
      <w:r w:rsidR="00DE5354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(mean SMD = 0.505, 95% CI = [-0.404, 1.414]).</w:t>
      </w:r>
      <w:r w:rsidR="00E902E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402801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For executive function (B) (mean SMD = 0.</w:t>
      </w:r>
      <w:r w:rsidR="0058799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257</w:t>
      </w:r>
      <w:r w:rsidR="00402801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, 95% CI = [</w:t>
      </w:r>
      <w:r w:rsidR="0058799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0.031</w:t>
      </w:r>
      <w:r w:rsidR="00402801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, </w:t>
      </w:r>
      <w:r w:rsidR="0058799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0.482</w:t>
      </w:r>
      <w:r w:rsidR="00402801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]). For </w:t>
      </w:r>
      <w:r w:rsidR="00A86A2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Episodic memory</w:t>
      </w:r>
      <w:r w:rsidR="00402801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AB6B5C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(C) </w:t>
      </w:r>
      <w:r w:rsidR="00402801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(mean SMD = 0.</w:t>
      </w:r>
      <w:r w:rsidR="00A86A2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145</w:t>
      </w:r>
      <w:r w:rsidR="00402801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, 95% CI = [-0.</w:t>
      </w:r>
      <w:r w:rsidR="00A86A2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068</w:t>
      </w:r>
      <w:r w:rsidR="00402801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, </w:t>
      </w:r>
      <w:r w:rsidR="00A86A2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0.357</w:t>
      </w:r>
      <w:r w:rsidR="00402801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]). </w:t>
      </w:r>
      <w:r w:rsidR="006F6E69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Note that the diverse range of study conditions and approaches to intervention suggests that we should reasonably expect some heterogeneity to be present; and this has implications for our interpretation of the mean SMD. The main findings for subgroup analyses (A)</w:t>
      </w:r>
      <w:r w:rsidR="00DD455E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during </w:t>
      </w:r>
      <w:r w:rsidR="00B3689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the cognitive process</w:t>
      </w:r>
      <w:r w:rsidR="006F6E69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, (B)</w:t>
      </w:r>
      <w:r w:rsidR="00DD455E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6F6E69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and (C) </w:t>
      </w:r>
      <w:r w:rsidR="00EF1CE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compressed into</w:t>
      </w:r>
      <w:r w:rsidR="00DD455E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EF1CE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two stages</w:t>
      </w:r>
      <w:r w:rsidR="00B3689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(cognitive processes and assessments)</w:t>
      </w:r>
      <w:r w:rsidR="006F6E69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as follows:</w:t>
      </w:r>
    </w:p>
    <w:p w14:paraId="2D755B66" w14:textId="6EE174BD" w:rsidR="006F6E69" w:rsidRPr="00406FC8" w:rsidRDefault="006F6E69" w:rsidP="006F6E69">
      <w:pPr>
        <w:rPr>
          <w:rFonts w:asciiTheme="majorHAnsi" w:eastAsia="Times New Roman" w:hAnsiTheme="majorHAnsi" w:cs="Times New Roman"/>
          <w:color w:val="242424"/>
          <w:kern w:val="0"/>
          <w14:ligatures w14:val="none"/>
        </w:rPr>
      </w:pP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(A)</w:t>
      </w:r>
    </w:p>
    <w:p w14:paraId="24BABF70" w14:textId="629A0C0F" w:rsidR="006F6E69" w:rsidRPr="00406FC8" w:rsidRDefault="00243089" w:rsidP="00776A18">
      <w:pPr>
        <w:rPr>
          <w:rFonts w:asciiTheme="majorHAnsi" w:eastAsia="Times New Roman" w:hAnsiTheme="majorHAnsi" w:cs="Times New Roman"/>
          <w:color w:val="242424"/>
          <w:kern w:val="0"/>
          <w14:ligatures w14:val="none"/>
        </w:rPr>
      </w:pP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The estimated mean SMD for </w:t>
      </w:r>
      <w:r w:rsidR="00493F66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test for CFQ</w:t>
      </w: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was </w:t>
      </w:r>
      <w:r w:rsidR="00D005A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small</w:t>
      </w: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and significant (mean SMD = </w:t>
      </w:r>
      <w:r w:rsidR="00D005A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1.365</w:t>
      </w: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, 95% CI = </w:t>
      </w:r>
      <w:r w:rsidR="00D005A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[1.059</w:t>
      </w: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,</w:t>
      </w:r>
      <w:r w:rsidR="00D005A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1.670</w:t>
      </w: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]); while that for </w:t>
      </w:r>
      <w:r w:rsidR="008B5BC9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MMSE</w:t>
      </w:r>
      <w:r w:rsidR="00C43EB9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, MoCA</w:t>
      </w:r>
      <w:r w:rsidR="008B5BC9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was </w:t>
      </w:r>
      <w:r w:rsidR="008B5BC9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big</w:t>
      </w: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and </w:t>
      </w:r>
      <w:r w:rsidR="008B5BC9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not significant </w:t>
      </w: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(mean SMD = </w:t>
      </w:r>
      <w:r w:rsidR="0057103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-0.096</w:t>
      </w: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, 95% CI = [</w:t>
      </w:r>
      <w:r w:rsidR="00AA13E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-0.345</w:t>
      </w: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, </w:t>
      </w:r>
      <w:r w:rsidR="00AA13E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0.152</w:t>
      </w: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]))</w:t>
      </w:r>
      <w:r w:rsidR="00C43EB9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and (mean SMD = </w:t>
      </w:r>
      <w:r w:rsidR="00005AFE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0.251, 95% CI = [-0.103,0.605])))</w:t>
      </w:r>
      <w:r w:rsidR="00BC163D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were not </w:t>
      </w:r>
      <w:r w:rsidR="00AD126D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sensitive</w:t>
      </w:r>
      <w:r w:rsidR="009E36FC" w:rsidRPr="00406FC8"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  <w:t>.</w:t>
      </w:r>
      <w:r w:rsidR="0021140D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AD126D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T</w:t>
      </w:r>
      <w:r w:rsidR="0021140D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he</w:t>
      </w:r>
      <w:r w:rsidR="00AD637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CFQ exhibited a large effect size (</w:t>
      </w:r>
      <w:r w:rsidR="009C6CE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SMD</w:t>
      </w:r>
      <w:r w:rsidR="00AD637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= 1.364, 95 % CI = 1.109 – 1.619, p &lt; 0.001) compared to MoCA (</w:t>
      </w:r>
      <w:r w:rsidR="000D0CA9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SMD </w:t>
      </w:r>
      <w:r w:rsidR="00AD637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= 0.238, 95 % CI = </w:t>
      </w:r>
      <w:r w:rsidR="006E135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[</w:t>
      </w:r>
      <w:r w:rsidR="00AD637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−0.072 </w:t>
      </w:r>
      <w:r w:rsidR="006E135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,</w:t>
      </w:r>
      <w:r w:rsidR="00AD637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0.548</w:t>
      </w:r>
      <w:r w:rsidR="006E135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)</w:t>
      </w:r>
      <w:r w:rsidR="00AD637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, p = 0.132)</w:t>
      </w:r>
      <w:r w:rsidR="0080617E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1A1C08" w:rsidRPr="00406FC8"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  <w:t xml:space="preserve">[2] </w:t>
      </w:r>
      <w:r w:rsidR="0080617E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(Supplementary Figure 2)</w:t>
      </w:r>
      <w:r w:rsidR="008647E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observations</w:t>
      </w:r>
      <w:r w:rsidR="00AD637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.</w:t>
      </w:r>
      <w:r w:rsidR="0089197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There is high significant heterogeneity in effect sizes was present among </w:t>
      </w:r>
      <w:r w:rsidR="0026133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observations</w:t>
      </w:r>
      <w:r w:rsidR="0089197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(</w:t>
      </w:r>
      <w:r w:rsidR="00F7414D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I^2 = 92.687</w:t>
      </w:r>
      <w:r w:rsidR="00A70D5D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%</w:t>
      </w:r>
      <w:r w:rsidR="00FD679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)</w:t>
      </w:r>
      <w:r w:rsidR="00DC4C46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,</w:t>
      </w:r>
      <w:r w:rsidR="00FD679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although publication bias was not significant</w:t>
      </w:r>
      <w:r w:rsidR="009B15F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8970B3" w:rsidRPr="00406FC8"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  <w:t xml:space="preserve">[2] </w:t>
      </w:r>
      <w:r w:rsidR="00DC4C46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(Supplementary Figure 5)</w:t>
      </w:r>
      <w:r w:rsidR="002539BE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where the funnel plot does not any significance for asymmetry</w:t>
      </w:r>
      <w:r w:rsidR="00FD679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.</w:t>
      </w:r>
    </w:p>
    <w:p w14:paraId="0D01F25B" w14:textId="59BABBBB" w:rsidR="006F6E69" w:rsidRPr="00406FC8" w:rsidRDefault="006F6E69" w:rsidP="006F6E69">
      <w:pPr>
        <w:rPr>
          <w:rFonts w:asciiTheme="majorHAnsi" w:eastAsia="Times New Roman" w:hAnsiTheme="majorHAnsi" w:cs="Times New Roman"/>
          <w:color w:val="242424"/>
          <w:kern w:val="0"/>
          <w14:ligatures w14:val="none"/>
        </w:rPr>
      </w:pP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(B)</w:t>
      </w:r>
    </w:p>
    <w:p w14:paraId="2B6DC349" w14:textId="385F6885" w:rsidR="00F053AE" w:rsidRPr="00406FC8" w:rsidRDefault="00EA5FEE" w:rsidP="008F60A1">
      <w:pPr>
        <w:rPr>
          <w:rFonts w:asciiTheme="majorHAnsi" w:eastAsia="Times New Roman" w:hAnsiTheme="majorHAnsi" w:cs="Times New Roman"/>
          <w:color w:val="242424"/>
          <w:kern w:val="0"/>
          <w14:ligatures w14:val="none"/>
        </w:rPr>
      </w:pP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D</w:t>
      </w:r>
      <w:r w:rsidR="00B02A6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uring the cognitive process</w:t>
      </w:r>
      <w:r w:rsidR="0055799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, t</w:t>
      </w:r>
      <w:r w:rsidR="00244EF0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he </w:t>
      </w:r>
      <w:r w:rsidR="00177F5E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estimated </w:t>
      </w:r>
      <w:r w:rsidR="0015678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mean SMD for test for Working memory was significant (</w:t>
      </w:r>
      <w:r w:rsidR="00B510BC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SMD </w:t>
      </w:r>
      <w:r w:rsidR="0015678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= 0.339, 95% C</w:t>
      </w:r>
      <w:r w:rsidR="00F378CC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I</w:t>
      </w:r>
      <w:r w:rsidR="0015678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= [</w:t>
      </w:r>
      <w:r w:rsidR="009206BA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0.013,0.666</w:t>
      </w:r>
      <w:r w:rsidR="0015678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]</w:t>
      </w:r>
      <w:r w:rsidR="00650BC1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)</w:t>
      </w:r>
      <w:r w:rsidR="00D849E5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cognitive process in identifying executive control deviations in middle-to-old aged autistic adult</w:t>
      </w:r>
      <w:r w:rsidR="004B624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s</w:t>
      </w:r>
      <w:r w:rsidR="00650BC1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; </w:t>
      </w:r>
      <w:r w:rsidR="00B510BC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while Flexibility/set-shifting was not significant (SMD</w:t>
      </w:r>
      <w:r w:rsidR="00F378CC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= 0.313, 95% CI = </w:t>
      </w:r>
      <w:r w:rsidR="00755B8F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[-0.073, 0.700])</w:t>
      </w:r>
      <w:r w:rsidR="00527065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similarity for planning (SMD = 0.057, 95% CI = [-0.365,0.480]</w:t>
      </w:r>
      <w:r w:rsidR="00755B8F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.</w:t>
      </w:r>
      <w:r w:rsidR="00E875E4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There is a moderate heterogeneity for multiple cognitive processes from four imputed studies</w:t>
      </w:r>
      <w:r w:rsidR="00972335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(I^2 = 51.483%)</w:t>
      </w:r>
      <w:r w:rsidR="00E875E4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contributed to removing publication bias was significant </w:t>
      </w:r>
      <w:r w:rsidR="00B833FF" w:rsidRPr="00406FC8"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  <w:t>[2]</w:t>
      </w:r>
      <w:r w:rsidR="0071021A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(Supplementary Figure 6A)</w:t>
      </w:r>
      <w:r w:rsidR="000A27F0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where the funnel plot shows signs of asymmetry</w:t>
      </w:r>
      <w:r w:rsidR="002A130E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where (Figure 6B, 6C and 6D)</w:t>
      </w:r>
      <w:r w:rsidR="0028083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280838" w:rsidRPr="00280838"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  <w:t>[2]</w:t>
      </w:r>
      <w:r w:rsidR="002A130E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does not show</w:t>
      </w:r>
      <w:r w:rsidR="00E83B94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.</w:t>
      </w:r>
      <w:r w:rsidR="0071021A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</w:p>
    <w:p w14:paraId="48AF4606" w14:textId="77777777" w:rsidR="00446B6C" w:rsidRPr="00406FC8" w:rsidRDefault="00446B6C" w:rsidP="008F60A1">
      <w:pPr>
        <w:rPr>
          <w:rFonts w:asciiTheme="majorHAnsi" w:eastAsia="Times New Roman" w:hAnsiTheme="majorHAnsi" w:cs="Times New Roman"/>
          <w:color w:val="242424"/>
          <w:kern w:val="0"/>
          <w14:ligatures w14:val="none"/>
        </w:rPr>
      </w:pPr>
    </w:p>
    <w:p w14:paraId="6A3E45CD" w14:textId="77777777" w:rsidR="001416BC" w:rsidRPr="00406FC8" w:rsidRDefault="001416BC" w:rsidP="008F60A1">
      <w:pPr>
        <w:rPr>
          <w:rFonts w:asciiTheme="majorHAnsi" w:eastAsia="Times New Roman" w:hAnsiTheme="majorHAnsi" w:cs="Times New Roman"/>
          <w:color w:val="242424"/>
          <w:kern w:val="0"/>
          <w14:ligatures w14:val="none"/>
        </w:rPr>
      </w:pPr>
    </w:p>
    <w:p w14:paraId="602DC390" w14:textId="6656462B" w:rsidR="006F6E69" w:rsidRPr="00406FC8" w:rsidRDefault="00027F21" w:rsidP="008F60A1">
      <w:pPr>
        <w:rPr>
          <w:rFonts w:asciiTheme="majorHAnsi" w:eastAsia="Times New Roman" w:hAnsiTheme="majorHAnsi" w:cs="Times New Roman"/>
          <w:color w:val="242424"/>
          <w:kern w:val="0"/>
          <w14:ligatures w14:val="none"/>
        </w:rPr>
      </w:pP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lastRenderedPageBreak/>
        <w:t xml:space="preserve">For the </w:t>
      </w:r>
      <w:r w:rsidR="00850D2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assessment stage</w:t>
      </w:r>
      <w:r w:rsidR="00E678F1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for flexibility/set-shifting </w:t>
      </w:r>
      <w:r w:rsidR="006F697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there are </w:t>
      </w:r>
      <w:r w:rsidR="00DA324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two</w:t>
      </w:r>
      <w:r w:rsidR="006F697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trail marking tests for the </w:t>
      </w:r>
      <w:r w:rsidR="00DA324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Trail </w:t>
      </w:r>
      <w:r w:rsidR="000D11E1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M</w:t>
      </w:r>
      <w:r w:rsidR="006F697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arking test (SMD=0.615, 95% C</w:t>
      </w:r>
      <w:r w:rsidR="004A5D00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I</w:t>
      </w:r>
      <w:r w:rsidR="006F697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= [0.031,1.200])</w:t>
      </w:r>
      <w:r w:rsidR="009F7085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was significant</w:t>
      </w:r>
      <w:r w:rsidR="00DA324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, Card Sorting Tasks (SMD = 0.615, 95% CI = [0.031,1.200])</w:t>
      </w:r>
      <w:r w:rsidR="009B15F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was not significant. There is a high significant heterogeneity (I^2 = 67.689%) </w:t>
      </w:r>
      <w:r w:rsidR="007F2D0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where publication bias was non-significant</w:t>
      </w:r>
      <w:r w:rsidR="0017793A" w:rsidRPr="00406FC8"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  <w:t xml:space="preserve"> </w:t>
      </w:r>
      <w:r w:rsidR="00D46B2C" w:rsidRPr="00406FC8"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  <w:t xml:space="preserve">[2] </w:t>
      </w:r>
      <w:r w:rsidR="0017793A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(Supplementary Figure 6</w:t>
      </w:r>
      <w:r w:rsidR="002D094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B)</w:t>
      </w:r>
      <w:r w:rsidR="007F2D0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.</w:t>
      </w:r>
      <w:r w:rsidR="00E7426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For Planning </w:t>
      </w:r>
      <w:r w:rsidR="00D61DB4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contains two different tasks</w:t>
      </w:r>
      <w:r w:rsidR="00ED714C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, </w:t>
      </w:r>
      <w:r w:rsidR="000D11E1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Assess</w:t>
      </w:r>
      <w:r w:rsidR="004C2C74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ing Tower tasks</w:t>
      </w:r>
      <w:r w:rsidR="00DA627A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554D0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and BARD Zoo Map test </w:t>
      </w:r>
      <w:r w:rsidR="00DA627A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with the estimated mean SMD test (SMD = 0.228</w:t>
      </w:r>
      <w:r w:rsidR="006C78D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, </w:t>
      </w:r>
      <w:r w:rsidR="00DA627A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95% CI = [</w:t>
      </w:r>
      <w:r w:rsidR="00430834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-0.218,0.674</w:t>
      </w:r>
      <w:r w:rsidR="00DA627A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]) </w:t>
      </w:r>
      <w:r w:rsidR="00554D0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and</w:t>
      </w:r>
      <w:r w:rsidR="00DA627A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test </w:t>
      </w:r>
      <w:r w:rsidR="006C78D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(SMD=-0.073, 95% CI = [</w:t>
      </w:r>
      <w:r w:rsidR="00D6593D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-0.598,0.451</w:t>
      </w:r>
      <w:r w:rsidR="006C78D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])</w:t>
      </w:r>
      <w:r w:rsidR="00554D0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were both tests are not significant. </w:t>
      </w:r>
      <w:r w:rsidR="001059A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Conclude, t</w:t>
      </w:r>
      <w:r w:rsidR="00451446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here is a large heterogeneity (I^2 = 62.040%) </w:t>
      </w:r>
      <w:r w:rsidR="00AB12E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having</w:t>
      </w:r>
      <w:r w:rsidR="008E4F4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no publication bias. </w:t>
      </w:r>
      <w:r w:rsidR="005C364D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For working memory</w:t>
      </w:r>
      <w:r w:rsidR="00E82EC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, </w:t>
      </w:r>
      <w:r w:rsidR="003B217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the WMS assessments were more effective (</w:t>
      </w:r>
      <w:r w:rsidR="009A7A6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SMD</w:t>
      </w:r>
      <w:r w:rsidR="003B217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= 0.835, 95 % CI = </w:t>
      </w:r>
      <w:r w:rsidR="00B61A8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[</w:t>
      </w:r>
      <w:r w:rsidR="003B217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0.434</w:t>
      </w:r>
      <w:r w:rsidR="00B61A8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,</w:t>
      </w:r>
      <w:r w:rsidR="003B217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1.236</w:t>
      </w:r>
      <w:r w:rsidR="00B61A8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]</w:t>
      </w:r>
      <w:r w:rsidR="003B217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, p &lt; 0.001) </w:t>
      </w:r>
      <w:r w:rsidR="008F3775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than</w:t>
      </w:r>
      <w:r w:rsidR="003B217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WAIS tests (</w:t>
      </w:r>
      <w:r w:rsidR="00716EDD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SMD</w:t>
      </w:r>
      <w:r w:rsidR="003B217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= 0.244, 95 % CI = </w:t>
      </w:r>
      <w:r w:rsidR="00B654E4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[</w:t>
      </w:r>
      <w:r w:rsidR="003B217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−0.030</w:t>
      </w:r>
      <w:r w:rsidR="00B654E4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,</w:t>
      </w:r>
      <w:r w:rsidR="003B217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0.517</w:t>
      </w:r>
      <w:r w:rsidR="00B654E4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]</w:t>
      </w:r>
      <w:r w:rsidR="003B217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, p = 0.081;</w:t>
      </w:r>
      <w:r w:rsidR="005A428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5A428B" w:rsidRPr="00406FC8"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  <w:t>[2]</w:t>
      </w:r>
      <w:r w:rsidR="003B217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Supplementary Figure 3)</w:t>
      </w:r>
      <w:r w:rsidR="00175C29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was </w:t>
      </w:r>
      <w:r w:rsidR="00DB1F35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small and </w:t>
      </w:r>
      <w:r w:rsidR="00175C29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significant</w:t>
      </w:r>
      <w:r w:rsidR="003B217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.</w:t>
      </w:r>
      <w:r w:rsidR="00115D2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3A7F00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There is a moderate heterogeneity (I^2 = 33.352%) leads to publication bias was non-</w:t>
      </w:r>
      <w:r w:rsidR="009131F4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significant.</w:t>
      </w:r>
      <w:r w:rsidR="00082745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</w:p>
    <w:p w14:paraId="60AA8E5A" w14:textId="39D4DB79" w:rsidR="006F6E69" w:rsidRPr="00406FC8" w:rsidRDefault="006F6E69" w:rsidP="006F6E69">
      <w:pPr>
        <w:rPr>
          <w:rFonts w:asciiTheme="majorHAnsi" w:eastAsia="Times New Roman" w:hAnsiTheme="majorHAnsi" w:cs="Times New Roman"/>
          <w:color w:val="242424"/>
          <w:kern w:val="0"/>
          <w14:ligatures w14:val="none"/>
        </w:rPr>
      </w:pP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(C)</w:t>
      </w:r>
    </w:p>
    <w:p w14:paraId="7E0212F9" w14:textId="38CF0A38" w:rsidR="00D24506" w:rsidRPr="00406FC8" w:rsidRDefault="00B36898" w:rsidP="00CD7C73">
      <w:pPr>
        <w:rPr>
          <w:rFonts w:asciiTheme="majorHAnsi" w:eastAsia="Times New Roman" w:hAnsiTheme="majorHAnsi" w:cs="Times New Roman"/>
          <w:color w:val="242424"/>
          <w:kern w:val="0"/>
          <w14:ligatures w14:val="none"/>
        </w:rPr>
      </w:pP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During the cognitive process</w:t>
      </w:r>
      <w:r w:rsidR="008F35B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,</w:t>
      </w:r>
      <w:r w:rsidR="00B61A8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the estimated SMD for verbal and visual are not significant given (SMD = 0.172, 95% CI = [</w:t>
      </w:r>
      <w:r w:rsidR="00D97DB6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-0.114,0.459])</w:t>
      </w:r>
      <w:r w:rsidR="00AF67D1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and (SMD=0.111, 95% CI = [-0.204,0.427]) respectively</w:t>
      </w:r>
      <w:r w:rsidR="00777D04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99371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where </w:t>
      </w:r>
      <w:r w:rsidR="00777D04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both values are big and insignificant</w:t>
      </w:r>
      <w:r w:rsidR="00AF67D1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.</w:t>
      </w:r>
      <w:r w:rsidR="000F10D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There is a high heterogeneity (I^2=58.727%) </w:t>
      </w:r>
      <w:r w:rsidR="0018345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that publication bias was non-significant.</w:t>
      </w:r>
      <w:r w:rsidR="007713CF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For the assessment phase, </w:t>
      </w:r>
      <w:r w:rsidR="007D1190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on verbal and visual</w:t>
      </w:r>
      <w:r w:rsidR="00F60FFC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6200F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respectively </w:t>
      </w:r>
      <w:r w:rsidR="0013710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(immediate recall: SMD = 0.172, 95% CI = [− 0.189, 0.533]; delayed recall: SMD = 0.091, 95% CI = </w:t>
      </w:r>
      <w:r w:rsidR="00A854C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[</w:t>
      </w:r>
      <w:r w:rsidR="0013710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− 0.307</w:t>
      </w:r>
      <w:r w:rsidR="00A854C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,</w:t>
      </w:r>
      <w:r w:rsidR="0013710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0.490</w:t>
      </w:r>
      <w:r w:rsidR="00A854C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]</w:t>
      </w:r>
      <w:r w:rsidR="0013710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; recognition: </w:t>
      </w:r>
      <w:r w:rsidR="00A854C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SMD</w:t>
      </w:r>
      <w:r w:rsidR="0013710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=  0.130, 95%</w:t>
      </w:r>
      <w:r w:rsidR="00A854C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13710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CI =</w:t>
      </w:r>
      <w:r w:rsidR="000F3D8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[</w:t>
      </w:r>
      <w:r w:rsidR="0013710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− 0.588 </w:t>
      </w:r>
      <w:r w:rsidR="000F3D8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,</w:t>
      </w:r>
      <w:r w:rsidR="0013710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0.328</w:t>
      </w:r>
      <w:r w:rsidR="000F3D8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]</w:t>
      </w:r>
      <w:r w:rsidR="0013710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;</w:t>
      </w:r>
      <w:r w:rsidR="000710F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0710FB" w:rsidRPr="00406FC8"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  <w:t>[2]</w:t>
      </w:r>
      <w:r w:rsidR="0013710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or visual (immediate recall: </w:t>
      </w:r>
      <w:r w:rsidR="008063E6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SMD</w:t>
      </w:r>
      <w:r w:rsidR="0013710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= − 0.043, 95% CI =</w:t>
      </w:r>
      <w:r w:rsidR="00C3032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[</w:t>
      </w:r>
      <w:r w:rsidR="0013710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−0.368</w:t>
      </w:r>
      <w:r w:rsidR="00C3032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,</w:t>
      </w:r>
      <w:r w:rsidR="0013710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0.281</w:t>
      </w:r>
      <w:r w:rsidR="00C3032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]</w:t>
      </w:r>
      <w:r w:rsidR="0013710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; delayed recall: </w:t>
      </w:r>
      <w:r w:rsidR="00D73A1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SMD </w:t>
      </w:r>
      <w:r w:rsidR="0013710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= 0.033, 95 % CI = </w:t>
      </w:r>
      <w:r w:rsidR="00396F6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[</w:t>
      </w:r>
      <w:r w:rsidR="0013710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− 0.291</w:t>
      </w:r>
      <w:r w:rsidR="00396F6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,</w:t>
      </w:r>
      <w:r w:rsidR="0013710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0.357</w:t>
      </w:r>
      <w:r w:rsidR="00396F6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]</w:t>
      </w:r>
      <w:r w:rsidR="0013710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; recognition: </w:t>
      </w:r>
      <w:r w:rsidR="00E8018E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SMD</w:t>
      </w:r>
      <w:r w:rsidR="0013710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= − 0.093, 95% CI = </w:t>
      </w:r>
      <w:r w:rsidR="0018396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[</w:t>
      </w:r>
      <w:r w:rsidR="0013710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− 0.506</w:t>
      </w:r>
      <w:r w:rsidR="0018396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,</w:t>
      </w:r>
      <w:r w:rsidR="0013710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0.320</w:t>
      </w:r>
      <w:r w:rsidR="0018396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]</w:t>
      </w:r>
      <w:r w:rsidR="0013710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; </w:t>
      </w:r>
      <w:r w:rsidR="000710FB" w:rsidRPr="00406FC8"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  <w:t>[2]</w:t>
      </w:r>
      <w:r w:rsidR="000710F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13710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Supplementary Figure 4)</w:t>
      </w:r>
      <w:r w:rsidR="00211BB1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.</w:t>
      </w:r>
      <w:r w:rsidR="006C3319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There is a high heterogeneity for verbal memory (I</w:t>
      </w:r>
      <w:r w:rsidR="00EE11B0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^</w:t>
      </w:r>
      <w:r w:rsidR="006C3319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2 = 69.338 %) but moderate for visual memory (I^2 = 48.335%).</w:t>
      </w:r>
      <w:r w:rsidR="00C4606A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CD7C7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All</w:t>
      </w:r>
      <w:r w:rsidR="00C4606A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cases</w:t>
      </w:r>
      <w:r w:rsidR="001F6C4A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for </w:t>
      </w:r>
      <w:r w:rsidR="00C4606A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publication bias w</w:t>
      </w:r>
      <w:r w:rsidR="00A2780F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ere</w:t>
      </w:r>
      <w:r w:rsidR="00C4606A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non-significant; </w:t>
      </w:r>
      <w:r w:rsidR="00C4606A" w:rsidRPr="00406FC8"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  <w:t>[2]</w:t>
      </w:r>
      <w:r w:rsidR="00C4606A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Supplementary Figure 7</w:t>
      </w:r>
      <w:r w:rsidR="009A699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A, B</w:t>
      </w:r>
      <w:r w:rsidR="00CD7C7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and C</w:t>
      </w:r>
      <w:r w:rsidR="00C4606A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) and visual memory </w:t>
      </w:r>
      <w:r w:rsidR="00C4606A" w:rsidRPr="00406FC8"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  <w:t>[2]</w:t>
      </w:r>
      <w:r w:rsidR="00C4606A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ED5295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suggest that there is insignificant evidence for asymmetry</w:t>
      </w:r>
      <w:r w:rsidR="00F60FFC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. </w:t>
      </w:r>
    </w:p>
    <w:p w14:paraId="51FDE085" w14:textId="77777777" w:rsidR="0024767A" w:rsidRPr="00406FC8" w:rsidRDefault="0024767A" w:rsidP="0024767A">
      <w:pPr>
        <w:rPr>
          <w:rFonts w:asciiTheme="majorHAnsi" w:eastAsia="Times New Roman" w:hAnsiTheme="majorHAnsi" w:cs="Times New Roman"/>
          <w:color w:val="242424"/>
          <w:kern w:val="0"/>
          <w14:ligatures w14:val="none"/>
        </w:rPr>
      </w:pPr>
    </w:p>
    <w:p w14:paraId="73857594" w14:textId="77777777" w:rsidR="008E40D4" w:rsidRPr="00406FC8" w:rsidRDefault="008E40D4">
      <w:pPr>
        <w:rPr>
          <w:b/>
          <w:bCs/>
          <w:sz w:val="32"/>
          <w:szCs w:val="32"/>
        </w:rPr>
      </w:pPr>
    </w:p>
    <w:p w14:paraId="07BF3A2D" w14:textId="77777777" w:rsidR="007D1190" w:rsidRPr="00406FC8" w:rsidRDefault="007D1190">
      <w:pPr>
        <w:rPr>
          <w:b/>
          <w:bCs/>
          <w:sz w:val="32"/>
          <w:szCs w:val="32"/>
        </w:rPr>
      </w:pPr>
    </w:p>
    <w:p w14:paraId="150AEA80" w14:textId="77777777" w:rsidR="00154733" w:rsidRPr="00406FC8" w:rsidRDefault="00154733">
      <w:pPr>
        <w:rPr>
          <w:b/>
          <w:bCs/>
          <w:sz w:val="32"/>
          <w:szCs w:val="32"/>
        </w:rPr>
      </w:pPr>
    </w:p>
    <w:p w14:paraId="5C88EC5E" w14:textId="77777777" w:rsidR="007D1190" w:rsidRPr="00406FC8" w:rsidRDefault="007D1190">
      <w:pPr>
        <w:rPr>
          <w:b/>
          <w:bCs/>
          <w:sz w:val="32"/>
          <w:szCs w:val="32"/>
        </w:rPr>
      </w:pPr>
    </w:p>
    <w:p w14:paraId="1C070C60" w14:textId="77777777" w:rsidR="0045255A" w:rsidRPr="00406FC8" w:rsidRDefault="0045255A">
      <w:pPr>
        <w:rPr>
          <w:b/>
          <w:bCs/>
          <w:sz w:val="32"/>
          <w:szCs w:val="32"/>
        </w:rPr>
      </w:pPr>
    </w:p>
    <w:p w14:paraId="74C519A1" w14:textId="77777777" w:rsidR="00E621D2" w:rsidRPr="00406FC8" w:rsidRDefault="00E621D2">
      <w:pPr>
        <w:rPr>
          <w:b/>
          <w:bCs/>
          <w:sz w:val="32"/>
          <w:szCs w:val="32"/>
        </w:rPr>
      </w:pPr>
    </w:p>
    <w:p w14:paraId="0FB29EC6" w14:textId="77777777" w:rsidR="00C41E8C" w:rsidRPr="00406FC8" w:rsidRDefault="00C41E8C">
      <w:pPr>
        <w:rPr>
          <w:b/>
          <w:bCs/>
          <w:sz w:val="32"/>
          <w:szCs w:val="32"/>
        </w:rPr>
      </w:pPr>
    </w:p>
    <w:p w14:paraId="5CAF59B8" w14:textId="77777777" w:rsidR="00114E86" w:rsidRPr="00406FC8" w:rsidRDefault="00114E86">
      <w:pPr>
        <w:rPr>
          <w:b/>
          <w:bCs/>
          <w:sz w:val="32"/>
          <w:szCs w:val="32"/>
        </w:rPr>
      </w:pPr>
    </w:p>
    <w:p w14:paraId="1B00BF95" w14:textId="77777777" w:rsidR="00114E86" w:rsidRPr="00406FC8" w:rsidRDefault="00114E86">
      <w:pPr>
        <w:rPr>
          <w:b/>
          <w:bCs/>
          <w:sz w:val="32"/>
          <w:szCs w:val="32"/>
        </w:rPr>
      </w:pPr>
    </w:p>
    <w:p w14:paraId="2FEC9D91" w14:textId="1E471498" w:rsidR="007042E6" w:rsidRPr="00406FC8" w:rsidRDefault="007042E6">
      <w:pPr>
        <w:rPr>
          <w:b/>
          <w:bCs/>
          <w:sz w:val="32"/>
          <w:szCs w:val="32"/>
        </w:rPr>
      </w:pPr>
      <w:r w:rsidRPr="00406FC8">
        <w:rPr>
          <w:b/>
          <w:bCs/>
          <w:sz w:val="32"/>
          <w:szCs w:val="32"/>
        </w:rPr>
        <w:t>Replication of main finding</w:t>
      </w:r>
      <w:r w:rsidR="00524E8C" w:rsidRPr="00406FC8">
        <w:rPr>
          <w:b/>
          <w:bCs/>
          <w:sz w:val="32"/>
          <w:szCs w:val="32"/>
        </w:rPr>
        <w:t>s</w:t>
      </w:r>
      <w:r w:rsidRPr="00406FC8">
        <w:rPr>
          <w:b/>
          <w:bCs/>
          <w:sz w:val="32"/>
          <w:szCs w:val="32"/>
        </w:rPr>
        <w:t xml:space="preserve"> </w:t>
      </w:r>
    </w:p>
    <w:p w14:paraId="5B9EFF13" w14:textId="624A7E98" w:rsidR="003832EA" w:rsidRPr="00406FC8" w:rsidRDefault="008E40D4" w:rsidP="00282423">
      <w:pPr>
        <w:rPr>
          <w:rFonts w:asciiTheme="majorHAnsi" w:hAnsiTheme="majorHAnsi"/>
        </w:rPr>
      </w:pPr>
      <w:r w:rsidRPr="00406FC8">
        <w:rPr>
          <w:rFonts w:asciiTheme="majorHAnsi" w:hAnsiTheme="majorHAnsi"/>
        </w:rPr>
        <w:t>For the i</w:t>
      </w:r>
      <w:r w:rsidR="001F6C2C" w:rsidRPr="00406FC8">
        <w:rPr>
          <w:rFonts w:asciiTheme="majorHAnsi" w:hAnsiTheme="majorHAnsi"/>
        </w:rPr>
        <w:t>-</w:t>
      </w:r>
      <w:r w:rsidRPr="00406FC8">
        <w:rPr>
          <w:rFonts w:asciiTheme="majorHAnsi" w:hAnsiTheme="majorHAnsi"/>
        </w:rPr>
        <w:t xml:space="preserve">th </w:t>
      </w:r>
      <w:r w:rsidR="00AF20E5" w:rsidRPr="00406FC8">
        <w:rPr>
          <w:rFonts w:asciiTheme="majorHAnsi" w:hAnsiTheme="majorHAnsi"/>
        </w:rPr>
        <w:t>observation</w:t>
      </w:r>
      <w:r w:rsidR="00D82F29" w:rsidRPr="00406FC8">
        <w:rPr>
          <w:rFonts w:asciiTheme="majorHAnsi" w:hAnsiTheme="majorHAnsi"/>
        </w:rPr>
        <w:t>, the 95% confidence interval CI(i) used for the true SMD</w:t>
      </w:r>
      <w:r w:rsidR="00282423" w:rsidRPr="00406FC8">
        <w:rPr>
          <w:rFonts w:asciiTheme="majorHAnsi" w:hAnsiTheme="majorHAnsi"/>
        </w:rPr>
        <w:t xml:space="preserve"> </w:t>
      </w:r>
      <w:r w:rsidR="00CE422B" w:rsidRPr="00406FC8">
        <w:rPr>
          <w:rFonts w:asciiTheme="majorHAnsi" w:hAnsiTheme="majorHAnsi"/>
        </w:rPr>
        <w:t xml:space="preserve">and Standard Error </w:t>
      </w:r>
      <w:r w:rsidR="003D21B6" w:rsidRPr="00406FC8">
        <w:rPr>
          <w:rFonts w:asciiTheme="majorHAnsi" w:hAnsiTheme="majorHAnsi"/>
        </w:rPr>
        <w:t xml:space="preserve">formulas </w:t>
      </w:r>
      <w:r w:rsidR="00282423" w:rsidRPr="00406FC8">
        <w:rPr>
          <w:rFonts w:asciiTheme="majorHAnsi" w:hAnsiTheme="majorHAnsi"/>
        </w:rPr>
        <w:t>below:</w:t>
      </w:r>
    </w:p>
    <w:p w14:paraId="184C7782" w14:textId="5933E820" w:rsidR="002036FD" w:rsidRPr="00406FC8" w:rsidRDefault="002036FD" w:rsidP="00327118">
      <w:pPr>
        <w:jc w:val="center"/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CI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</m:acc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ⅈ</m:t>
              </m:r>
            </m:e>
          </m:d>
          <m:r>
            <w:rPr>
              <w:rFonts w:ascii="Cambria Math" w:hAnsi="Cambria Math"/>
            </w:rPr>
            <m:t xml:space="preserve">±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0.975</m:t>
              </m:r>
            </m:e>
          </m:d>
          <m:r>
            <w:rPr>
              <w:rFonts w:ascii="Cambria Math" w:hAnsi="Cambria Math"/>
            </w:rPr>
            <m:t>*SE(D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516CDCC3" w14:textId="690A1C01" w:rsidR="00CE422B" w:rsidRPr="00406FC8" w:rsidRDefault="00CE422B" w:rsidP="006D555C">
      <w:pPr>
        <w:jc w:val="center"/>
        <w:rPr>
          <w:rFonts w:asciiTheme="majorHAnsi" w:eastAsia="Times New Roman" w:hAnsiTheme="majorHAnsi" w:cs="Times New Roman"/>
          <w:color w:val="242424"/>
          <w:kern w:val="0"/>
          <w:sz w:val="32"/>
          <w:szCs w:val="32"/>
          <w14:ligatures w14:val="none"/>
        </w:rPr>
      </w:pPr>
      <m:oMath>
        <m:r>
          <w:rPr>
            <w:rFonts w:ascii="Cambria Math" w:hAnsi="Cambria Math"/>
            <w:sz w:val="32"/>
            <w:szCs w:val="32"/>
          </w:rPr>
          <m:t>S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ⅈ</m:t>
                </m:r>
              </m:e>
            </m:d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</m:oMath>
      <w:r w:rsidRPr="00406FC8">
        <w:rPr>
          <w:rFonts w:asciiTheme="majorHAnsi" w:eastAsia="Times New Roman" w:hAnsiTheme="majorHAnsi" w:cs="Times New Roman"/>
          <w:color w:val="242424"/>
          <w:kern w:val="0"/>
          <w:sz w:val="32"/>
          <w:szCs w:val="32"/>
          <w14:ligatures w14:val="none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42424"/>
                <w:kern w:val="0"/>
                <w:sz w:val="32"/>
                <w:szCs w:val="32"/>
                <w14:ligatures w14:val="none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42424"/>
                    <w:kern w:val="0"/>
                    <w:sz w:val="32"/>
                    <w:szCs w:val="32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42424"/>
                        <w:kern w:val="0"/>
                        <w:sz w:val="32"/>
                        <w:szCs w:val="32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42424"/>
                        <w:kern w:val="0"/>
                        <w:sz w:val="32"/>
                        <w:szCs w:val="32"/>
                        <w14:ligatures w14:val="none"/>
                      </w:rPr>
                      <m:t>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42424"/>
                        <w:kern w:val="0"/>
                        <w:sz w:val="32"/>
                        <w:szCs w:val="32"/>
                        <w14:ligatures w14:val="none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42424"/>
                    <w:kern w:val="0"/>
                    <w:sz w:val="32"/>
                    <w:szCs w:val="32"/>
                    <w14:ligatures w14:val="none"/>
                  </w:rPr>
                  <m:t>-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242424"/>
                        <w:kern w:val="0"/>
                        <w:sz w:val="32"/>
                        <w:szCs w:val="32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242424"/>
                        <w:kern w:val="0"/>
                        <w:sz w:val="32"/>
                        <w:szCs w:val="32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42424"/>
                        <w:kern w:val="0"/>
                        <w:sz w:val="32"/>
                        <w:szCs w:val="32"/>
                        <w14:ligatures w14:val="none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242424"/>
                            <w:kern w:val="0"/>
                            <w:sz w:val="32"/>
                            <w:szCs w:val="32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242424"/>
                            <w:kern w:val="0"/>
                            <w:sz w:val="32"/>
                            <w:szCs w:val="32"/>
                            <w14:ligatures w14:val="none"/>
                          </w:rPr>
                          <m:t>i</m:t>
                        </m:r>
                      </m:e>
                    </m:d>
                  </m:sup>
                </m:sSubSup>
              </m:e>
            </m:d>
            <m:r>
              <w:rPr>
                <w:rFonts w:ascii="Cambria Math" w:eastAsia="Times New Roman" w:hAnsi="Cambria Math" w:cs="Times New Roman"/>
                <w:color w:val="242424"/>
                <w:kern w:val="0"/>
                <w:sz w:val="32"/>
                <w:szCs w:val="32"/>
                <w14:ligatures w14:val="none"/>
              </w:rPr>
              <m:t>+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42424"/>
                    <w:kern w:val="0"/>
                    <w:sz w:val="32"/>
                    <w:szCs w:val="32"/>
                    <w14:ligatures w14:val="none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242424"/>
                        <w:kern w:val="0"/>
                        <w:sz w:val="32"/>
                        <w:szCs w:val="32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242424"/>
                        <w:kern w:val="0"/>
                        <w:sz w:val="32"/>
                        <w:szCs w:val="32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42424"/>
                        <w:kern w:val="0"/>
                        <w:sz w:val="32"/>
                        <w:szCs w:val="32"/>
                        <w14:ligatures w14:val="none"/>
                      </w:rPr>
                      <m:t>u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242424"/>
                            <w:kern w:val="0"/>
                            <w:sz w:val="32"/>
                            <w:szCs w:val="32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242424"/>
                            <w:kern w:val="0"/>
                            <w:sz w:val="32"/>
                            <w:szCs w:val="32"/>
                            <w14:ligatures w14:val="none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Cambria Math" w:eastAsia="Times New Roman" w:hAnsi="Cambria Math" w:cs="Times New Roman"/>
                    <w:color w:val="242424"/>
                    <w:kern w:val="0"/>
                    <w:sz w:val="32"/>
                    <w:szCs w:val="32"/>
                    <w14:ligatures w14:val="none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42424"/>
                        <w:kern w:val="0"/>
                        <w:sz w:val="32"/>
                        <w:szCs w:val="32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42424"/>
                        <w:kern w:val="0"/>
                        <w:sz w:val="32"/>
                        <w:szCs w:val="32"/>
                        <w14:ligatures w14:val="none"/>
                      </w:rPr>
                      <m:t>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42424"/>
                        <w:kern w:val="0"/>
                        <w:sz w:val="32"/>
                        <w:szCs w:val="32"/>
                        <w14:ligatures w14:val="none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color w:val="242424"/>
                <w:kern w:val="0"/>
                <w:sz w:val="32"/>
                <w:szCs w:val="32"/>
                <w14:ligatures w14:val="none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242424"/>
                    <w:kern w:val="0"/>
                    <w:sz w:val="32"/>
                    <w:szCs w:val="32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242424"/>
                    <w:kern w:val="0"/>
                    <w:sz w:val="32"/>
                    <w:szCs w:val="32"/>
                    <w14:ligatures w14:val="none"/>
                  </w:rPr>
                  <m:t>ϕ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242424"/>
                    <w:kern w:val="0"/>
                    <w:sz w:val="32"/>
                    <w:szCs w:val="32"/>
                    <w14:ligatures w14:val="none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42424"/>
                    <w:kern w:val="0"/>
                    <w:sz w:val="32"/>
                    <w:szCs w:val="32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42424"/>
                    <w:kern w:val="0"/>
                    <w:sz w:val="32"/>
                    <w:szCs w:val="32"/>
                    <w14:ligatures w14:val="none"/>
                  </w:rPr>
                  <m:t>0.975</m:t>
                </m:r>
              </m:e>
            </m:d>
          </m:den>
        </m:f>
        <m:r>
          <w:rPr>
            <w:rFonts w:ascii="Cambria Math" w:eastAsia="Times New Roman" w:hAnsi="Cambria Math" w:cs="Times New Roman"/>
            <w:color w:val="242424"/>
            <w:kern w:val="0"/>
            <w:sz w:val="32"/>
            <w:szCs w:val="32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424"/>
                <w:kern w:val="0"/>
                <w:sz w:val="32"/>
                <w:szCs w:val="32"/>
                <w14:ligatures w14:val="none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242424"/>
                    <w:kern w:val="0"/>
                    <w:sz w:val="32"/>
                    <w:szCs w:val="32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242424"/>
                    <w:kern w:val="0"/>
                    <w:sz w:val="32"/>
                    <w:szCs w:val="32"/>
                    <w14:ligatures w14:val="none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42424"/>
                    <w:kern w:val="0"/>
                    <w:sz w:val="32"/>
                    <w:szCs w:val="32"/>
                    <w14:ligatures w14:val="none"/>
                  </w:rPr>
                  <m:t>u</m:t>
                </m:r>
              </m:sub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242424"/>
                        <w:kern w:val="0"/>
                        <w:sz w:val="32"/>
                        <w:szCs w:val="32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242424"/>
                        <w:kern w:val="0"/>
                        <w:sz w:val="32"/>
                        <w:szCs w:val="32"/>
                        <w14:ligatures w14:val="none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eastAsia="Times New Roman" w:hAnsi="Cambria Math" w:cs="Times New Roman"/>
                <w:color w:val="242424"/>
                <w:kern w:val="0"/>
                <w:sz w:val="32"/>
                <w:szCs w:val="32"/>
                <w14:ligatures w14:val="none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242424"/>
                    <w:kern w:val="0"/>
                    <w:sz w:val="32"/>
                    <w:szCs w:val="32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242424"/>
                    <w:kern w:val="0"/>
                    <w:sz w:val="32"/>
                    <w:szCs w:val="32"/>
                    <w14:ligatures w14:val="none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42424"/>
                    <w:kern w:val="0"/>
                    <w:sz w:val="32"/>
                    <w:szCs w:val="32"/>
                    <w14:ligatures w14:val="none"/>
                  </w:rPr>
                  <m:t>L</m:t>
                </m:r>
              </m:sub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242424"/>
                        <w:kern w:val="0"/>
                        <w:sz w:val="32"/>
                        <w:szCs w:val="32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242424"/>
                        <w:kern w:val="0"/>
                        <w:sz w:val="32"/>
                        <w:szCs w:val="32"/>
                        <w14:ligatures w14:val="none"/>
                      </w:rPr>
                      <m:t>i</m:t>
                    </m:r>
                  </m:e>
                </m:d>
              </m:sup>
            </m:sSubSup>
          </m:num>
          <m:den>
            <m:r>
              <w:rPr>
                <w:rFonts w:ascii="Cambria Math" w:eastAsia="Times New Roman" w:hAnsi="Cambria Math" w:cs="Times New Roman"/>
                <w:color w:val="242424"/>
                <w:kern w:val="0"/>
                <w:sz w:val="32"/>
                <w:szCs w:val="32"/>
                <w14:ligatures w14:val="none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242424"/>
                    <w:kern w:val="0"/>
                    <w:sz w:val="32"/>
                    <w:szCs w:val="32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242424"/>
                    <w:kern w:val="0"/>
                    <w:sz w:val="32"/>
                    <w:szCs w:val="32"/>
                    <w14:ligatures w14:val="none"/>
                  </w:rPr>
                  <m:t>ϕ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242424"/>
                    <w:kern w:val="0"/>
                    <w:sz w:val="32"/>
                    <w:szCs w:val="32"/>
                    <w14:ligatures w14:val="none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42424"/>
                    <w:kern w:val="0"/>
                    <w:sz w:val="32"/>
                    <w:szCs w:val="32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42424"/>
                    <w:kern w:val="0"/>
                    <w:sz w:val="32"/>
                    <w:szCs w:val="32"/>
                    <w14:ligatures w14:val="none"/>
                  </w:rPr>
                  <m:t>0.975</m:t>
                </m:r>
              </m:e>
            </m:d>
          </m:den>
        </m:f>
        <m:r>
          <w:rPr>
            <w:rFonts w:ascii="Cambria Math" w:eastAsia="Times New Roman" w:hAnsi="Cambria Math" w:cs="Times New Roman"/>
            <w:color w:val="242424"/>
            <w:kern w:val="0"/>
            <w:sz w:val="32"/>
            <w:szCs w:val="32"/>
            <w14:ligatures w14:val="none"/>
          </w:rPr>
          <m:t xml:space="preserve">  </m:t>
        </m:r>
      </m:oMath>
    </w:p>
    <w:p w14:paraId="7DDAA592" w14:textId="6CB32C4F" w:rsidR="006E245D" w:rsidRPr="00406FC8" w:rsidRDefault="00B03B94" w:rsidP="003C006E">
      <w:pPr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</w:pPr>
      <w:r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Assuming it follows under a </w:t>
      </w:r>
      <w:r w:rsidR="00F43CB1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standard normal cdf</w:t>
      </w:r>
      <w:r w:rsidR="00555A0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distribution</w:t>
      </w:r>
      <w:r w:rsidR="00F43CB1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, where D(i) is the observation estimator of the true SMD, </w:t>
      </w:r>
      <w:r w:rsidR="005A4F5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a</w:t>
      </w:r>
      <w:r w:rsidR="00B9641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nd standard error </w:t>
      </w:r>
      <m:oMath>
        <m:r>
          <w:rPr>
            <w:rFonts w:ascii="Cambria Math" w:hAnsi="Cambria Math"/>
          </w:rPr>
          <m:t>SE(D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asciiTheme="majorHAnsi" w:eastAsia="Times New Roman" w:hAnsiTheme="majorHAnsi" w:cs="Times New Roman"/>
        </w:rPr>
        <w:t>. In addition,</w:t>
      </w:r>
      <w:r w:rsidR="00B96417" w:rsidRPr="00406FC8">
        <w:rPr>
          <w:rFonts w:asciiTheme="majorHAnsi" w:eastAsia="Times New Roman" w:hAnsiTheme="majorHAnsi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CL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i</m:t>
            </m:r>
          </m:e>
        </m:d>
      </m:oMath>
      <w:r w:rsidR="00353CDD" w:rsidRPr="00406FC8">
        <w:rPr>
          <w:rFonts w:asciiTheme="majorHAnsi" w:eastAsia="Times New Roman" w:hAnsiTheme="majorHAnsi" w:cs="Times New Roman"/>
        </w:rPr>
        <w:t xml:space="preserve"> and </w:t>
      </w:r>
      <m:oMath>
        <m:r>
          <w:rPr>
            <w:rFonts w:ascii="Cambria Math" w:eastAsia="Times New Roman" w:hAnsi="Cambria Math" w:cs="Times New Roman"/>
          </w:rPr>
          <m:t>CU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i</m:t>
            </m:r>
          </m:e>
        </m:d>
      </m:oMath>
      <w:r w:rsidR="00353CDD" w:rsidRPr="00406FC8">
        <w:rPr>
          <w:rFonts w:asciiTheme="majorHAnsi" w:eastAsia="Times New Roman" w:hAnsiTheme="majorHAnsi" w:cs="Times New Roman"/>
        </w:rPr>
        <w:t xml:space="preserve"> represent lower and upper limits for the confidence interval. </w:t>
      </w:r>
      <w:r w:rsidR="001B3804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Containing all meta-estimated SMDs, associated confidence intervals and I^2 values this can be achieved </w:t>
      </w:r>
      <w:r w:rsidR="001E5D1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by applying similar meta-analysis methods such as </w:t>
      </w:r>
      <w:r w:rsidR="00610BC1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the metafor package in R to determine the </w:t>
      </w:r>
      <w:r w:rsidR="001E5D1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study effects</w:t>
      </w:r>
      <w:r w:rsidR="0082081A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using</w:t>
      </w:r>
      <w:r w:rsidR="001E5D1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7B6B05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Hedges </w:t>
      </w:r>
      <w:r w:rsidR="001E5D1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estimator</w:t>
      </w:r>
      <w:r w:rsidR="000004AA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242424"/>
                <w:kern w:val="0"/>
                <w14:ligatures w14:val="none"/>
              </w:rPr>
            </m:ctrlPr>
          </m:sSubSup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242424"/>
                    <w:kern w:val="0"/>
                    <w14:ligatures w14:val="none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242424"/>
                    <w:kern w:val="0"/>
                    <w14:ligatures w14:val="none"/>
                  </w:rPr>
                  <m:t>τ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242424"/>
                <w:kern w:val="0"/>
                <w14:ligatures w14:val="none"/>
              </w:rPr>
              <m:t>HE</m:t>
            </m:r>
          </m:sub>
          <m:sup>
            <m:r>
              <w:rPr>
                <w:rFonts w:ascii="Cambria Math" w:eastAsia="Times New Roman" w:hAnsi="Cambria Math" w:cs="Times New Roman"/>
                <w:color w:val="242424"/>
                <w:kern w:val="0"/>
                <w14:ligatures w14:val="none"/>
              </w:rPr>
              <m:t>2</m:t>
            </m:r>
          </m:sup>
        </m:sSubSup>
      </m:oMath>
      <w:r w:rsidR="001E5D1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0004AA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,</w:t>
      </w:r>
      <w:r w:rsidR="00610BC1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1E5D1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between study variance</w:t>
      </w:r>
      <w:r w:rsidR="00610BC1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s</w:t>
      </w:r>
      <w:r w:rsidR="001E5D1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1E5D18" w:rsidRPr="00406FC8"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  <w:t xml:space="preserve">[4] </w:t>
      </w:r>
      <w:r w:rsidR="00B93DA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assuming</w:t>
      </w:r>
      <w:r w:rsidR="00610BC1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they are</w:t>
      </w:r>
      <w:r w:rsidR="001E5D1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equal and inverse variance weights</w:t>
      </w:r>
      <w:r w:rsidR="00610BC1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, thus, we use</w:t>
      </w:r>
      <w:r w:rsidR="00660B8E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610BC1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SMD</w:t>
      </w:r>
      <w:r w:rsidR="0033444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. A</w:t>
      </w:r>
      <w:r w:rsidR="009145AC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sso</w:t>
      </w:r>
      <w:r w:rsidR="004926E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c</w:t>
      </w:r>
      <w:r w:rsidR="009145AC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iated</w:t>
      </w:r>
      <w:r w:rsidR="00515FCD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I^2 statistic</w:t>
      </w:r>
      <w:r w:rsidR="008810B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using the rma function; where the ith observation of the argument </w:t>
      </w:r>
      <w:r w:rsidR="008810B7" w:rsidRPr="008E63FC"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  <w:t>vi</w:t>
      </w:r>
      <w:r w:rsidR="008810B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was set to </w:t>
      </w:r>
      <m:oMath>
        <m:r>
          <w:rPr>
            <w:rFonts w:ascii="Cambria Math" w:hAnsi="Cambria Math"/>
          </w:rPr>
          <m:t>S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ⅈ</m:t>
                </m:r>
              </m:e>
            </m:d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8810B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,</w:t>
      </w:r>
      <w:r w:rsidR="00EC6CC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and that </w:t>
      </w:r>
      <w:r w:rsidR="00EC6CC8" w:rsidRPr="00406FC8">
        <w:rPr>
          <w:rFonts w:asciiTheme="majorHAnsi" w:eastAsia="Times New Roman" w:hAnsiTheme="majorHAnsi" w:cs="Times New Roman"/>
          <w:b/>
          <w:bCs/>
          <w:i/>
          <w:iCs/>
          <w:color w:val="242424"/>
          <w:kern w:val="0"/>
          <w14:ligatures w14:val="none"/>
        </w:rPr>
        <w:t>yi</w:t>
      </w:r>
      <w:r w:rsidR="00EC6CC8" w:rsidRPr="00406FC8">
        <w:rPr>
          <w:rFonts w:asciiTheme="majorHAnsi" w:eastAsia="Times New Roman" w:hAnsiTheme="majorHAnsi" w:cs="Times New Roman"/>
          <w:i/>
          <w:iCs/>
          <w:color w:val="242424"/>
          <w:kern w:val="0"/>
          <w14:ligatures w14:val="none"/>
        </w:rPr>
        <w:t xml:space="preserve"> </w:t>
      </w:r>
      <w:r w:rsidR="00EC6CC8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is equal to </w:t>
      </w:r>
      <w:r w:rsidR="00EC6CC8" w:rsidRPr="00406FC8">
        <w:rPr>
          <w:rFonts w:asciiTheme="majorHAnsi" w:eastAsia="Times New Roman" w:hAnsiTheme="majorHAnsi" w:cs="Times New Roman"/>
          <w:b/>
          <w:bCs/>
          <w:i/>
          <w:iCs/>
          <w:color w:val="242424"/>
          <w:kern w:val="0"/>
          <w14:ligatures w14:val="none"/>
        </w:rPr>
        <w:t>d(i)</w:t>
      </w:r>
      <w:r w:rsidR="00841F0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. </w:t>
      </w:r>
      <w:r w:rsidR="002F764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Using the funnel plot and Egger’s test p-value were executed using funnel and regression test</w:t>
      </w:r>
      <w:r w:rsidR="006E245D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.</w:t>
      </w:r>
      <w:r w:rsidR="003C006E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To observe c</w:t>
      </w:r>
      <w:r w:rsidR="006E245D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omparisons of each of the study weights demonstrated with the observations reported </w:t>
      </w:r>
      <w:r w:rsidR="00B00E3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rough estimates </w:t>
      </w:r>
      <w:r w:rsidR="006E245D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during the 4</w:t>
      </w:r>
      <w:r w:rsidR="006E245D" w:rsidRPr="00406FC8">
        <w:rPr>
          <w:rFonts w:asciiTheme="majorHAnsi" w:eastAsia="Times New Roman" w:hAnsiTheme="majorHAnsi" w:cs="Times New Roman"/>
          <w:color w:val="242424"/>
          <w:kern w:val="0"/>
          <w:vertAlign w:val="superscript"/>
          <w14:ligatures w14:val="none"/>
        </w:rPr>
        <w:t>th</w:t>
      </w:r>
      <w:r w:rsidR="006E245D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Quiz given the standard error as rough </w:t>
      </w:r>
      <w:r w:rsidR="00185FE5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method to perform these metrics to test out any significance for different cognitive domains for autistic adults</w:t>
      </w:r>
      <w:r w:rsidR="0098775F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.</w:t>
      </w:r>
      <w:r w:rsidR="004811DB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It</w:t>
      </w:r>
      <w:r w:rsidR="006E245D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was unclear which command was used to provide 95% CIs for I^2 under random effects model</w:t>
      </w:r>
      <w:r w:rsidR="001F081A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, this can be achieved</w:t>
      </w:r>
      <w:r w:rsidR="00FF7BBF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manually</w:t>
      </w:r>
      <w:r w:rsidR="0074362D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1F081A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using only the metafor package to </w:t>
      </w:r>
      <w:r w:rsidR="0074362D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match from the paper</w:t>
      </w:r>
      <w:r w:rsidR="006E245D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. In all relevant tests from all unique cognitive groups and studies the significance level was prespecified at 5%</w:t>
      </w:r>
      <w:r w:rsidR="00F175F5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, see figures 1,2 and 3</w:t>
      </w:r>
      <w:r w:rsidR="004811DB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below</w:t>
      </w:r>
      <w:r w:rsidR="00F175F5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.</w:t>
      </w:r>
      <w:r w:rsidR="00BD5A83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8B0C00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</w:p>
    <w:p w14:paraId="6531845A" w14:textId="20E7514A" w:rsidR="00E571CA" w:rsidRPr="00406FC8" w:rsidRDefault="00E571CA" w:rsidP="00CE422B">
      <w:pPr>
        <w:rPr>
          <w:rFonts w:asciiTheme="majorHAnsi" w:eastAsia="Times New Roman" w:hAnsiTheme="majorHAnsi" w:cs="Times New Roman"/>
          <w:color w:val="242424"/>
          <w:kern w:val="0"/>
          <w14:ligatures w14:val="none"/>
        </w:rPr>
      </w:pPr>
    </w:p>
    <w:p w14:paraId="3C6D1AB0" w14:textId="77777777" w:rsidR="002D2008" w:rsidRPr="00406FC8" w:rsidRDefault="002D2008" w:rsidP="00CE422B">
      <w:pPr>
        <w:rPr>
          <w:rFonts w:asciiTheme="majorHAnsi" w:eastAsia="Times New Roman" w:hAnsiTheme="majorHAnsi" w:cs="Times New Roman"/>
          <w:color w:val="242424"/>
          <w:kern w:val="0"/>
          <w14:ligatures w14:val="none"/>
        </w:rPr>
      </w:pPr>
    </w:p>
    <w:p w14:paraId="5CEA82FF" w14:textId="77777777" w:rsidR="00E571CA" w:rsidRPr="00406FC8" w:rsidRDefault="00E571CA" w:rsidP="00CE422B">
      <w:pPr>
        <w:rPr>
          <w:rFonts w:asciiTheme="majorHAnsi" w:eastAsia="Times New Roman" w:hAnsiTheme="majorHAnsi" w:cs="Times New Roman"/>
          <w:color w:val="242424"/>
          <w:kern w:val="0"/>
          <w14:ligatures w14:val="none"/>
        </w:rPr>
      </w:pPr>
    </w:p>
    <w:p w14:paraId="088C527D" w14:textId="60DF837E" w:rsidR="00515FCD" w:rsidRPr="00406FC8" w:rsidRDefault="001E54B0" w:rsidP="00CE422B">
      <w:pPr>
        <w:rPr>
          <w:rFonts w:asciiTheme="majorHAnsi" w:eastAsia="Times New Roman" w:hAnsiTheme="majorHAnsi" w:cs="Times New Roman"/>
          <w:color w:val="242424"/>
          <w:kern w:val="0"/>
          <w14:ligatures w14:val="none"/>
        </w:rPr>
      </w:pPr>
      <w:r w:rsidRPr="00406FC8">
        <w:rPr>
          <w:rFonts w:asciiTheme="majorHAnsi" w:eastAsia="Times New Roman" w:hAnsiTheme="majorHAnsi" w:cs="Times New Roman"/>
          <w:noProof/>
          <w:color w:val="242424"/>
          <w:kern w:val="0"/>
          <w14:ligatures w14:val="none"/>
        </w:rPr>
        <w:lastRenderedPageBreak/>
        <w:drawing>
          <wp:inline distT="0" distB="0" distL="0" distR="0" wp14:anchorId="396A32A2" wp14:editId="79C472C1">
            <wp:extent cx="5724525" cy="3838575"/>
            <wp:effectExtent l="0" t="0" r="9525" b="9525"/>
            <wp:docPr id="677088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6EE9A" w14:textId="60D41CEB" w:rsidR="00E571CA" w:rsidRPr="00406FC8" w:rsidRDefault="00E571CA" w:rsidP="004575D4">
      <w:pPr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</w:pPr>
      <w:r w:rsidRPr="00406FC8"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  <w:t>Figure 1. Forest Plot Random Effects using Hedges estimator,</w:t>
      </w:r>
      <w:r w:rsidR="00193D23" w:rsidRPr="00406FC8"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  <w:t xml:space="preserve"> using forest function </w:t>
      </w:r>
      <w:r w:rsidR="00C2425E" w:rsidRPr="00406FC8"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  <w:t xml:space="preserve">for 30 observations </w:t>
      </w:r>
      <w:r w:rsidR="00193D23" w:rsidRPr="00406FC8"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  <w:t>produced using the metafor package.</w:t>
      </w:r>
      <w:r w:rsidRPr="00406FC8"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  <w:t xml:space="preserve"> </w:t>
      </w:r>
    </w:p>
    <w:p w14:paraId="13000DB6" w14:textId="77777777" w:rsidR="000A470E" w:rsidRPr="00406FC8" w:rsidRDefault="000A470E">
      <w:pPr>
        <w:rPr>
          <w:rFonts w:asciiTheme="majorHAnsi" w:hAnsiTheme="majorHAnsi"/>
        </w:rPr>
      </w:pPr>
    </w:p>
    <w:p w14:paraId="54CC09DF" w14:textId="3D0E12DE" w:rsidR="000A470E" w:rsidRPr="00406FC8" w:rsidRDefault="00D66628" w:rsidP="000A470E">
      <w:pPr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</w:pPr>
      <w:r w:rsidRPr="00406FC8">
        <w:rPr>
          <w:rFonts w:asciiTheme="majorHAnsi" w:eastAsia="Times New Roman" w:hAnsiTheme="majorHAnsi" w:cs="Times New Roman"/>
          <w:noProof/>
          <w:color w:val="242424"/>
          <w:kern w:val="0"/>
          <w14:ligatures w14:val="none"/>
        </w:rPr>
        <w:lastRenderedPageBreak/>
        <w:drawing>
          <wp:inline distT="0" distB="0" distL="0" distR="0" wp14:anchorId="1CD4F016" wp14:editId="526F316B">
            <wp:extent cx="5724525" cy="3811772"/>
            <wp:effectExtent l="0" t="0" r="0" b="0"/>
            <wp:docPr id="214598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088" cy="381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70E" w:rsidRPr="00406FC8"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  <w:t xml:space="preserve">Figure 2. Forest Plot Random Effects using Hedges estimator, using forest function for different cognitive domains. </w:t>
      </w:r>
    </w:p>
    <w:p w14:paraId="72622952" w14:textId="1203A57B" w:rsidR="00BD5A83" w:rsidRPr="00406FC8" w:rsidRDefault="00BD5A83" w:rsidP="00BD5A83">
      <w:pPr>
        <w:rPr>
          <w:rFonts w:asciiTheme="majorHAnsi" w:eastAsia="Times New Roman" w:hAnsiTheme="majorHAnsi" w:cs="Times New Roman"/>
          <w:color w:val="242424"/>
          <w:kern w:val="0"/>
          <w14:ligatures w14:val="none"/>
        </w:rPr>
      </w:pPr>
    </w:p>
    <w:p w14:paraId="07B99F70" w14:textId="77777777" w:rsidR="007E090E" w:rsidRPr="00406FC8" w:rsidRDefault="007E090E" w:rsidP="00BD5A83">
      <w:pPr>
        <w:rPr>
          <w:rFonts w:asciiTheme="majorHAnsi" w:eastAsia="Times New Roman" w:hAnsiTheme="majorHAnsi" w:cs="Times New Roman"/>
          <w:color w:val="242424"/>
          <w:kern w:val="0"/>
          <w14:ligatures w14:val="none"/>
        </w:rPr>
      </w:pPr>
    </w:p>
    <w:p w14:paraId="1115A2A6" w14:textId="77777777" w:rsidR="007E090E" w:rsidRPr="00406FC8" w:rsidRDefault="007E090E" w:rsidP="00BD5A83">
      <w:pPr>
        <w:rPr>
          <w:rFonts w:asciiTheme="majorHAnsi" w:eastAsia="Times New Roman" w:hAnsiTheme="majorHAnsi" w:cs="Times New Roman"/>
          <w:color w:val="242424"/>
          <w:kern w:val="0"/>
          <w14:ligatures w14:val="none"/>
        </w:rPr>
      </w:pPr>
    </w:p>
    <w:p w14:paraId="4DA39308" w14:textId="77777777" w:rsidR="007E090E" w:rsidRPr="00406FC8" w:rsidRDefault="007E090E" w:rsidP="00BD5A83">
      <w:pPr>
        <w:rPr>
          <w:rFonts w:asciiTheme="majorHAnsi" w:eastAsia="Times New Roman" w:hAnsiTheme="majorHAnsi" w:cs="Times New Roman"/>
          <w:color w:val="242424"/>
          <w:kern w:val="0"/>
          <w14:ligatures w14:val="none"/>
        </w:rPr>
      </w:pPr>
    </w:p>
    <w:p w14:paraId="6D9C1A0D" w14:textId="77777777" w:rsidR="007E090E" w:rsidRPr="00406FC8" w:rsidRDefault="007E090E" w:rsidP="00BD5A83">
      <w:pPr>
        <w:rPr>
          <w:rFonts w:asciiTheme="majorHAnsi" w:eastAsia="Times New Roman" w:hAnsiTheme="majorHAnsi" w:cs="Times New Roman"/>
          <w:color w:val="242424"/>
          <w:kern w:val="0"/>
          <w14:ligatures w14:val="none"/>
        </w:rPr>
      </w:pPr>
    </w:p>
    <w:p w14:paraId="5CAE6572" w14:textId="1759E41A" w:rsidR="007E090E" w:rsidRPr="00406FC8" w:rsidRDefault="00491F81" w:rsidP="00BD5A83">
      <w:pPr>
        <w:rPr>
          <w:rFonts w:asciiTheme="majorHAnsi" w:eastAsia="Times New Roman" w:hAnsiTheme="majorHAnsi" w:cs="Times New Roman"/>
          <w:color w:val="242424"/>
          <w:kern w:val="0"/>
          <w14:ligatures w14:val="none"/>
        </w:rPr>
      </w:pPr>
      <w:r w:rsidRPr="00406FC8">
        <w:rPr>
          <w:rFonts w:asciiTheme="majorHAnsi" w:eastAsia="Times New Roman" w:hAnsiTheme="majorHAnsi" w:cs="Times New Roman"/>
          <w:noProof/>
          <w:color w:val="242424"/>
          <w:kern w:val="0"/>
          <w14:ligatures w14:val="none"/>
        </w:rPr>
        <w:lastRenderedPageBreak/>
        <w:drawing>
          <wp:inline distT="0" distB="0" distL="0" distR="0" wp14:anchorId="271A57C6" wp14:editId="208B5C86">
            <wp:extent cx="5724525" cy="2962275"/>
            <wp:effectExtent l="0" t="0" r="9525" b="9525"/>
            <wp:docPr id="9771743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4A045" w14:textId="12018855" w:rsidR="000A470E" w:rsidRPr="00406FC8" w:rsidRDefault="000A470E" w:rsidP="000A470E">
      <w:pPr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</w:pPr>
      <w:r w:rsidRPr="00406FC8"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  <w:t xml:space="preserve">Figure 3. </w:t>
      </w:r>
      <w:r w:rsidR="000E109B" w:rsidRPr="00406FC8"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  <w:t>Funnel Plot for all 30 observations</w:t>
      </w:r>
      <w:r w:rsidRPr="00406FC8"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  <w:t xml:space="preserve">. </w:t>
      </w:r>
    </w:p>
    <w:p w14:paraId="3525719D" w14:textId="35E7A59A" w:rsidR="00491F81" w:rsidRPr="00406FC8" w:rsidRDefault="00491F81" w:rsidP="000A470E">
      <w:pPr>
        <w:rPr>
          <w:rFonts w:asciiTheme="majorHAnsi" w:eastAsia="Times New Roman" w:hAnsiTheme="majorHAnsi" w:cs="Times New Roman"/>
          <w:color w:val="242424"/>
          <w:kern w:val="0"/>
          <w14:ligatures w14:val="none"/>
        </w:rPr>
      </w:pP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(Egger’s test for funnel plot asymmetry: z = </w:t>
      </w:r>
      <w:r w:rsidR="00540FBC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1.4209,</w:t>
      </w: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p=0.1553)</w:t>
      </w:r>
    </w:p>
    <w:p w14:paraId="470060F6" w14:textId="77777777" w:rsidR="000A470E" w:rsidRPr="00406FC8" w:rsidRDefault="000A470E">
      <w:pPr>
        <w:rPr>
          <w:rFonts w:asciiTheme="majorHAnsi" w:hAnsiTheme="majorHAnsi"/>
          <w:b/>
          <w:bCs/>
        </w:rPr>
      </w:pPr>
    </w:p>
    <w:p w14:paraId="3272196D" w14:textId="77777777" w:rsidR="00DB6C5F" w:rsidRPr="00406FC8" w:rsidRDefault="00DB6C5F">
      <w:pPr>
        <w:rPr>
          <w:rFonts w:asciiTheme="majorHAnsi" w:hAnsiTheme="majorHAnsi"/>
        </w:rPr>
      </w:pPr>
    </w:p>
    <w:p w14:paraId="46102D24" w14:textId="77777777" w:rsidR="00DB6C5F" w:rsidRPr="00406FC8" w:rsidRDefault="00DB6C5F">
      <w:pPr>
        <w:rPr>
          <w:b/>
          <w:bCs/>
          <w:sz w:val="32"/>
          <w:szCs w:val="32"/>
        </w:rPr>
      </w:pPr>
    </w:p>
    <w:p w14:paraId="6C6A0E36" w14:textId="13CBC789" w:rsidR="00A274F3" w:rsidRPr="00406FC8" w:rsidRDefault="00A274F3">
      <w:pPr>
        <w:rPr>
          <w:b/>
          <w:bCs/>
          <w:sz w:val="32"/>
          <w:szCs w:val="32"/>
        </w:rPr>
      </w:pPr>
    </w:p>
    <w:p w14:paraId="5B7E88ED" w14:textId="77777777" w:rsidR="005A4420" w:rsidRPr="00406FC8" w:rsidRDefault="005A4420">
      <w:pPr>
        <w:rPr>
          <w:b/>
          <w:bCs/>
          <w:sz w:val="32"/>
          <w:szCs w:val="32"/>
        </w:rPr>
      </w:pPr>
    </w:p>
    <w:p w14:paraId="660E8ECB" w14:textId="77777777" w:rsidR="005A4420" w:rsidRPr="00406FC8" w:rsidRDefault="005A4420">
      <w:pPr>
        <w:rPr>
          <w:b/>
          <w:bCs/>
          <w:sz w:val="32"/>
          <w:szCs w:val="32"/>
        </w:rPr>
      </w:pPr>
    </w:p>
    <w:p w14:paraId="399BECCF" w14:textId="77777777" w:rsidR="005A4420" w:rsidRPr="00406FC8" w:rsidRDefault="005A4420">
      <w:pPr>
        <w:rPr>
          <w:b/>
          <w:bCs/>
          <w:sz w:val="32"/>
          <w:szCs w:val="32"/>
        </w:rPr>
      </w:pPr>
    </w:p>
    <w:p w14:paraId="6A1F7C09" w14:textId="77777777" w:rsidR="005A4420" w:rsidRPr="00406FC8" w:rsidRDefault="005A4420">
      <w:pPr>
        <w:rPr>
          <w:b/>
          <w:bCs/>
          <w:sz w:val="32"/>
          <w:szCs w:val="32"/>
        </w:rPr>
      </w:pPr>
    </w:p>
    <w:p w14:paraId="6F4B14EF" w14:textId="77777777" w:rsidR="00A274F3" w:rsidRPr="00406FC8" w:rsidRDefault="00A274F3">
      <w:pPr>
        <w:rPr>
          <w:b/>
          <w:bCs/>
          <w:sz w:val="32"/>
          <w:szCs w:val="32"/>
        </w:rPr>
      </w:pPr>
    </w:p>
    <w:p w14:paraId="7610A4AA" w14:textId="77777777" w:rsidR="00A274F3" w:rsidRPr="00406FC8" w:rsidRDefault="00A274F3">
      <w:pPr>
        <w:rPr>
          <w:b/>
          <w:bCs/>
          <w:sz w:val="32"/>
          <w:szCs w:val="32"/>
        </w:rPr>
      </w:pPr>
    </w:p>
    <w:p w14:paraId="04DF185C" w14:textId="77777777" w:rsidR="00A274F3" w:rsidRPr="00406FC8" w:rsidRDefault="00A274F3">
      <w:pPr>
        <w:rPr>
          <w:b/>
          <w:bCs/>
          <w:sz w:val="32"/>
          <w:szCs w:val="32"/>
        </w:rPr>
      </w:pPr>
    </w:p>
    <w:p w14:paraId="50D63BB6" w14:textId="77777777" w:rsidR="00A274F3" w:rsidRPr="00406FC8" w:rsidRDefault="00A274F3">
      <w:pPr>
        <w:rPr>
          <w:b/>
          <w:bCs/>
          <w:sz w:val="32"/>
          <w:szCs w:val="32"/>
        </w:rPr>
      </w:pPr>
    </w:p>
    <w:p w14:paraId="14449D20" w14:textId="77777777" w:rsidR="00A274F3" w:rsidRPr="00406FC8" w:rsidRDefault="00A274F3">
      <w:pPr>
        <w:rPr>
          <w:b/>
          <w:bCs/>
          <w:sz w:val="32"/>
          <w:szCs w:val="32"/>
        </w:rPr>
      </w:pPr>
    </w:p>
    <w:p w14:paraId="25AF4D79" w14:textId="45BD8FDB" w:rsidR="007042E6" w:rsidRPr="00406FC8" w:rsidRDefault="007042E6">
      <w:pPr>
        <w:rPr>
          <w:b/>
          <w:bCs/>
          <w:sz w:val="32"/>
          <w:szCs w:val="32"/>
        </w:rPr>
      </w:pPr>
      <w:r w:rsidRPr="00406FC8">
        <w:rPr>
          <w:b/>
          <w:bCs/>
          <w:sz w:val="32"/>
          <w:szCs w:val="32"/>
        </w:rPr>
        <w:lastRenderedPageBreak/>
        <w:t xml:space="preserve">Limitations </w:t>
      </w:r>
    </w:p>
    <w:p w14:paraId="50E01C09" w14:textId="6520A2F1" w:rsidR="00671324" w:rsidRPr="00B0042C" w:rsidRDefault="0075633F" w:rsidP="00B0042C">
      <w:pPr>
        <w:rPr>
          <w:rFonts w:asciiTheme="majorHAnsi" w:hAnsiTheme="majorHAnsi"/>
        </w:rPr>
      </w:pPr>
      <w:r w:rsidRPr="00517E6F">
        <w:rPr>
          <w:rFonts w:asciiTheme="majorHAnsi" w:hAnsiTheme="majorHAnsi"/>
        </w:rPr>
        <w:t>L</w:t>
      </w:r>
      <w:r w:rsidR="00C56CB3" w:rsidRPr="00517E6F">
        <w:rPr>
          <w:rFonts w:asciiTheme="majorHAnsi" w:hAnsiTheme="majorHAnsi"/>
        </w:rPr>
        <w:t xml:space="preserve">imitations </w:t>
      </w:r>
      <w:r w:rsidR="00CD013A" w:rsidRPr="00517E6F">
        <w:rPr>
          <w:rFonts w:asciiTheme="majorHAnsi" w:hAnsiTheme="majorHAnsi"/>
        </w:rPr>
        <w:t>for SMD is used compared to MD (mean differences), allows results on different scales. Recall that SMD assumes on equal variances</w:t>
      </w:r>
      <w:r w:rsidR="00283A52" w:rsidRPr="00517E6F">
        <w:rPr>
          <w:rFonts w:asciiTheme="majorHAnsi" w:hAnsiTheme="majorHAnsi"/>
        </w:rPr>
        <w:t xml:space="preserve"> on</w:t>
      </w:r>
      <w:r w:rsidR="00CD013A" w:rsidRPr="00517E6F">
        <w:rPr>
          <w:rFonts w:asciiTheme="majorHAnsi" w:hAnsiTheme="majorHAnsi"/>
        </w:rPr>
        <w:t xml:space="preserve"> </w:t>
      </w:r>
      <w:r w:rsidR="00283A52" w:rsidRPr="00517E6F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neurotypical controls had a better performance than autistic adults</w:t>
      </w:r>
      <w:r w:rsidR="00CD013A" w:rsidRPr="00517E6F">
        <w:rPr>
          <w:rFonts w:asciiTheme="majorHAnsi" w:hAnsiTheme="majorHAnsi"/>
        </w:rPr>
        <w:t xml:space="preserve"> for each observation share common variances.</w:t>
      </w:r>
      <w:r w:rsidR="00625D17" w:rsidRPr="00517E6F">
        <w:rPr>
          <w:rFonts w:asciiTheme="majorHAnsi" w:hAnsiTheme="majorHAnsi"/>
        </w:rPr>
        <w:t xml:space="preserve"> For example</w:t>
      </w:r>
      <w:r w:rsidR="00B36966" w:rsidRPr="00517E6F">
        <w:rPr>
          <w:rFonts w:asciiTheme="majorHAnsi" w:hAnsiTheme="majorHAnsi"/>
        </w:rPr>
        <w:t xml:space="preserve">, taken account or assume that </w:t>
      </w:r>
      <w:r w:rsidR="00463C8B" w:rsidRPr="00517E6F">
        <w:rPr>
          <w:rFonts w:asciiTheme="majorHAnsi" w:hAnsiTheme="majorHAnsi"/>
        </w:rPr>
        <w:t xml:space="preserve">fact that </w:t>
      </w:r>
      <w:r w:rsidR="001A2885" w:rsidRPr="00517E6F">
        <w:rPr>
          <w:rFonts w:asciiTheme="majorHAnsi" w:hAnsiTheme="majorHAnsi"/>
        </w:rPr>
        <w:t>observations differ from cognitive domains during each stage.</w:t>
      </w:r>
      <w:r w:rsidR="00A274F3" w:rsidRPr="00517E6F">
        <w:rPr>
          <w:rFonts w:asciiTheme="majorHAnsi" w:hAnsiTheme="majorHAnsi"/>
        </w:rPr>
        <w:t xml:space="preserve"> The authors note that</w:t>
      </w:r>
      <w:r w:rsidR="00C1560F" w:rsidRPr="00517E6F">
        <w:rPr>
          <w:rFonts w:asciiTheme="majorHAnsi" w:hAnsiTheme="majorHAnsi"/>
        </w:rPr>
        <w:t xml:space="preserve"> </w:t>
      </w:r>
      <w:r w:rsidR="008F439C" w:rsidRPr="00517E6F">
        <w:rPr>
          <w:rFonts w:asciiTheme="majorHAnsi" w:hAnsiTheme="majorHAnsi"/>
        </w:rPr>
        <w:t xml:space="preserve">out of the 30 observations </w:t>
      </w:r>
      <w:r w:rsidR="00C1560F" w:rsidRPr="00517E6F">
        <w:rPr>
          <w:rFonts w:asciiTheme="majorHAnsi" w:hAnsiTheme="majorHAnsi"/>
        </w:rPr>
        <w:t>there are 22 observations are assessed for eligibility are included (15 were included in the review, 7 were expert opinion)</w:t>
      </w:r>
      <w:r w:rsidR="002E5EF0" w:rsidRPr="00517E6F">
        <w:rPr>
          <w:rFonts w:asciiTheme="majorHAnsi" w:hAnsiTheme="majorHAnsi"/>
        </w:rPr>
        <w:t xml:space="preserve"> </w:t>
      </w:r>
      <w:r w:rsidR="002E5EF0" w:rsidRPr="00517E6F">
        <w:rPr>
          <w:rFonts w:asciiTheme="majorHAnsi" w:hAnsiTheme="majorHAnsi"/>
          <w:b/>
          <w:bCs/>
        </w:rPr>
        <w:t>[2]</w:t>
      </w:r>
      <w:r w:rsidR="005F2BD1" w:rsidRPr="00517E6F">
        <w:rPr>
          <w:rFonts w:asciiTheme="majorHAnsi" w:hAnsiTheme="majorHAnsi"/>
          <w:b/>
          <w:bCs/>
        </w:rPr>
        <w:t>.</w:t>
      </w:r>
      <w:r w:rsidR="00412F79" w:rsidRPr="00517E6F">
        <w:rPr>
          <w:rFonts w:asciiTheme="majorHAnsi" w:hAnsiTheme="majorHAnsi"/>
          <w:b/>
          <w:bCs/>
        </w:rPr>
        <w:t xml:space="preserve"> </w:t>
      </w:r>
      <w:r w:rsidR="00412F79" w:rsidRPr="00517E6F">
        <w:rPr>
          <w:rFonts w:asciiTheme="majorHAnsi" w:hAnsiTheme="majorHAnsi"/>
        </w:rPr>
        <w:t>There are few observations</w:t>
      </w:r>
      <w:r w:rsidR="005F2BD1" w:rsidRPr="00517E6F">
        <w:rPr>
          <w:rFonts w:asciiTheme="majorHAnsi" w:hAnsiTheme="majorHAnsi"/>
        </w:rPr>
        <w:t xml:space="preserve"> </w:t>
      </w:r>
      <w:r w:rsidR="00412F79" w:rsidRPr="00517E6F">
        <w:rPr>
          <w:rFonts w:asciiTheme="majorHAnsi" w:hAnsiTheme="majorHAnsi"/>
        </w:rPr>
        <w:t>on cognitive and structural brain changes in middle-to-old aged autistic adults. Primarily focusing on autistic adults without intellectual disability and dementia compared to typical controls</w:t>
      </w:r>
      <w:r w:rsidR="00913320" w:rsidRPr="00517E6F">
        <w:rPr>
          <w:rFonts w:asciiTheme="majorHAnsi" w:hAnsiTheme="majorHAnsi"/>
        </w:rPr>
        <w:t xml:space="preserve">. </w:t>
      </w:r>
      <w:r w:rsidR="00B56F4C" w:rsidRPr="00517E6F">
        <w:rPr>
          <w:rFonts w:asciiTheme="majorHAnsi" w:hAnsiTheme="majorHAnsi"/>
        </w:rPr>
        <w:t xml:space="preserve">In </w:t>
      </w:r>
      <w:r w:rsidR="00F57744" w:rsidRPr="00517E6F">
        <w:rPr>
          <w:rFonts w:asciiTheme="majorHAnsi" w:hAnsiTheme="majorHAnsi"/>
        </w:rPr>
        <w:t>addition,</w:t>
      </w:r>
      <w:r w:rsidR="00B56F4C" w:rsidRPr="00517E6F">
        <w:rPr>
          <w:rFonts w:asciiTheme="majorHAnsi" w:hAnsiTheme="majorHAnsi"/>
        </w:rPr>
        <w:t xml:space="preserve"> there are interferences related to aging-related cognitive and brain changes</w:t>
      </w:r>
      <w:r w:rsidR="00913320" w:rsidRPr="00517E6F">
        <w:rPr>
          <w:rFonts w:asciiTheme="majorHAnsi" w:hAnsiTheme="majorHAnsi"/>
        </w:rPr>
        <w:t xml:space="preserve"> </w:t>
      </w:r>
      <w:r w:rsidR="00B56F4C" w:rsidRPr="00517E6F">
        <w:rPr>
          <w:rFonts w:asciiTheme="majorHAnsi" w:hAnsiTheme="majorHAnsi"/>
        </w:rPr>
        <w:t>that can be quantified through inter-individual variations at baseline.</w:t>
      </w:r>
      <w:r w:rsidR="00DA1864" w:rsidRPr="00517E6F">
        <w:rPr>
          <w:rFonts w:asciiTheme="majorHAnsi" w:hAnsiTheme="majorHAnsi"/>
        </w:rPr>
        <w:t xml:space="preserve"> Only </w:t>
      </w:r>
      <w:r w:rsidR="000B6F9A" w:rsidRPr="00517E6F">
        <w:rPr>
          <w:rFonts w:asciiTheme="majorHAnsi" w:hAnsiTheme="majorHAnsi"/>
        </w:rPr>
        <w:t>three</w:t>
      </w:r>
      <w:r w:rsidR="00F57744" w:rsidRPr="00517E6F">
        <w:rPr>
          <w:rFonts w:asciiTheme="majorHAnsi" w:hAnsiTheme="majorHAnsi"/>
        </w:rPr>
        <w:t xml:space="preserve"> observations</w:t>
      </w:r>
      <w:r w:rsidR="00DA1864" w:rsidRPr="00517E6F">
        <w:rPr>
          <w:rFonts w:asciiTheme="majorHAnsi" w:hAnsiTheme="majorHAnsi"/>
        </w:rPr>
        <w:t xml:space="preserve"> </w:t>
      </w:r>
      <w:r w:rsidR="00F57744" w:rsidRPr="00517E6F">
        <w:rPr>
          <w:rFonts w:asciiTheme="majorHAnsi" w:hAnsiTheme="majorHAnsi"/>
        </w:rPr>
        <w:t xml:space="preserve">were assed </w:t>
      </w:r>
      <w:r w:rsidR="00A31AB0">
        <w:rPr>
          <w:rFonts w:asciiTheme="majorHAnsi" w:hAnsiTheme="majorHAnsi"/>
        </w:rPr>
        <w:t>either through</w:t>
      </w:r>
      <w:r w:rsidR="00F57744" w:rsidRPr="00517E6F">
        <w:rPr>
          <w:rFonts w:asciiTheme="majorHAnsi" w:hAnsiTheme="majorHAnsi"/>
        </w:rPr>
        <w:t xml:space="preserve"> longitudinal or mixed designs for middle-to-</w:t>
      </w:r>
      <w:r w:rsidR="002C549D" w:rsidRPr="00517E6F">
        <w:rPr>
          <w:rFonts w:asciiTheme="majorHAnsi" w:hAnsiTheme="majorHAnsi"/>
        </w:rPr>
        <w:t>old, aged</w:t>
      </w:r>
      <w:r w:rsidR="00F57744" w:rsidRPr="00517E6F">
        <w:rPr>
          <w:rFonts w:asciiTheme="majorHAnsi" w:hAnsiTheme="majorHAnsi"/>
        </w:rPr>
        <w:t xml:space="preserve"> </w:t>
      </w:r>
      <w:r w:rsidR="001376AF">
        <w:rPr>
          <w:rFonts w:asciiTheme="majorHAnsi" w:hAnsiTheme="majorHAnsi"/>
        </w:rPr>
        <w:t xml:space="preserve">autistic </w:t>
      </w:r>
      <w:r w:rsidR="00F57744" w:rsidRPr="00517E6F">
        <w:rPr>
          <w:rFonts w:asciiTheme="majorHAnsi" w:hAnsiTheme="majorHAnsi"/>
        </w:rPr>
        <w:t>adults</w:t>
      </w:r>
      <w:r w:rsidR="002A18F7" w:rsidRPr="00517E6F">
        <w:rPr>
          <w:rFonts w:asciiTheme="majorHAnsi" w:hAnsiTheme="majorHAnsi"/>
        </w:rPr>
        <w:t xml:space="preserve"> </w:t>
      </w:r>
      <w:r w:rsidR="004E0A6E">
        <w:rPr>
          <w:rFonts w:asciiTheme="majorHAnsi" w:hAnsiTheme="majorHAnsi"/>
        </w:rPr>
        <w:t>to determine the decline of cognitive ability as aging becomes a problem</w:t>
      </w:r>
      <w:r w:rsidR="004E0A6E" w:rsidRPr="00517E6F">
        <w:rPr>
          <w:rFonts w:asciiTheme="majorHAnsi" w:hAnsiTheme="majorHAnsi"/>
          <w:b/>
          <w:bCs/>
        </w:rPr>
        <w:t xml:space="preserve"> [</w:t>
      </w:r>
      <w:r w:rsidR="002A18F7" w:rsidRPr="00517E6F">
        <w:rPr>
          <w:rFonts w:asciiTheme="majorHAnsi" w:hAnsiTheme="majorHAnsi"/>
          <w:b/>
          <w:bCs/>
        </w:rPr>
        <w:t>1]</w:t>
      </w:r>
      <w:r w:rsidR="00F57744" w:rsidRPr="00517E6F">
        <w:rPr>
          <w:rFonts w:asciiTheme="majorHAnsi" w:hAnsiTheme="majorHAnsi"/>
        </w:rPr>
        <w:t>.</w:t>
      </w:r>
      <w:r w:rsidR="008C4DE5" w:rsidRPr="00517E6F">
        <w:rPr>
          <w:rFonts w:asciiTheme="majorHAnsi" w:hAnsiTheme="majorHAnsi"/>
        </w:rPr>
        <w:t xml:space="preserve"> </w:t>
      </w:r>
      <w:r w:rsidR="004E0A6E">
        <w:rPr>
          <w:rFonts w:asciiTheme="majorHAnsi" w:hAnsiTheme="majorHAnsi"/>
        </w:rPr>
        <w:t>This was likely due to</w:t>
      </w:r>
      <w:r w:rsidR="00276E57" w:rsidRPr="00517E6F">
        <w:rPr>
          <w:rFonts w:asciiTheme="majorHAnsi" w:hAnsiTheme="majorHAnsi"/>
        </w:rPr>
        <w:t xml:space="preserve"> inappropriate meta-analyses can either lead to false negative or results from small observations</w:t>
      </w:r>
      <w:r w:rsidR="004E0A6E">
        <w:rPr>
          <w:rFonts w:asciiTheme="majorHAnsi" w:hAnsiTheme="majorHAnsi"/>
        </w:rPr>
        <w:t xml:space="preserve"> </w:t>
      </w:r>
      <w:r w:rsidR="004E0A6E" w:rsidRPr="004E0A6E">
        <w:rPr>
          <w:rFonts w:asciiTheme="majorHAnsi" w:hAnsiTheme="majorHAnsi"/>
          <w:b/>
          <w:bCs/>
        </w:rPr>
        <w:t>[5]</w:t>
      </w:r>
      <w:r w:rsidR="00D46AA3" w:rsidRPr="004E0A6E">
        <w:rPr>
          <w:rFonts w:asciiTheme="majorHAnsi" w:hAnsiTheme="majorHAnsi"/>
          <w:b/>
          <w:bCs/>
        </w:rPr>
        <w:t xml:space="preserve"> </w:t>
      </w:r>
      <w:r w:rsidR="004E0A6E" w:rsidRPr="004E0A6E">
        <w:rPr>
          <w:rFonts w:asciiTheme="majorHAnsi" w:hAnsiTheme="majorHAnsi"/>
        </w:rPr>
        <w:t>that could lead to</w:t>
      </w:r>
      <w:r w:rsidR="00276E57" w:rsidRPr="004E0A6E">
        <w:rPr>
          <w:rFonts w:asciiTheme="majorHAnsi" w:hAnsiTheme="majorHAnsi"/>
        </w:rPr>
        <w:t xml:space="preserve"> </w:t>
      </w:r>
      <w:r w:rsidR="004E0A6E" w:rsidRPr="004E0A6E">
        <w:rPr>
          <w:rFonts w:asciiTheme="majorHAnsi" w:hAnsiTheme="majorHAnsi"/>
        </w:rPr>
        <w:t>H</w:t>
      </w:r>
      <w:r w:rsidR="009E1C36" w:rsidRPr="004E0A6E">
        <w:rPr>
          <w:rFonts w:asciiTheme="majorHAnsi" w:hAnsiTheme="majorHAnsi"/>
        </w:rPr>
        <w:t>eterogeneity</w:t>
      </w:r>
      <w:r w:rsidR="009E1C36" w:rsidRPr="00517E6F">
        <w:rPr>
          <w:rFonts w:asciiTheme="majorHAnsi" w:hAnsiTheme="majorHAnsi"/>
        </w:rPr>
        <w:t xml:space="preserve"> of study results</w:t>
      </w:r>
      <w:r w:rsidR="004065F3" w:rsidRPr="00517E6F">
        <w:rPr>
          <w:rFonts w:asciiTheme="majorHAnsi" w:hAnsiTheme="majorHAnsi"/>
        </w:rPr>
        <w:t xml:space="preserve"> a</w:t>
      </w:r>
      <w:r w:rsidR="009E1C36" w:rsidRPr="00517E6F">
        <w:rPr>
          <w:rFonts w:asciiTheme="majorHAnsi" w:hAnsiTheme="majorHAnsi"/>
        </w:rPr>
        <w:t xml:space="preserve">nd metabias. </w:t>
      </w:r>
      <w:r w:rsidR="00C9428D" w:rsidRPr="00517E6F">
        <w:rPr>
          <w:rFonts w:asciiTheme="majorHAnsi" w:hAnsiTheme="majorHAnsi"/>
        </w:rPr>
        <w:t>Another limitation was considering demographic covariates such as age, sex, IQ, ASD severity, clinical comorbidities and long-term medication effect).</w:t>
      </w:r>
      <w:r w:rsidR="00406FC8" w:rsidRPr="00517E6F">
        <w:rPr>
          <w:rFonts w:asciiTheme="majorHAnsi" w:hAnsiTheme="majorHAnsi"/>
        </w:rPr>
        <w:t xml:space="preserve"> Where recent</w:t>
      </w:r>
      <w:r w:rsidR="00C9428D" w:rsidRPr="00517E6F">
        <w:rPr>
          <w:rFonts w:asciiTheme="majorHAnsi" w:hAnsiTheme="majorHAnsi"/>
        </w:rPr>
        <w:t xml:space="preserve"> </w:t>
      </w:r>
      <w:r w:rsidR="00406FC8" w:rsidRPr="00517E6F">
        <w:rPr>
          <w:rFonts w:asciiTheme="majorHAnsi" w:hAnsiTheme="majorHAnsi"/>
        </w:rPr>
        <w:t xml:space="preserve">studies (Pagni et al., 2022; McQuaid et al., 2023; Harker et al., 2023; Torenvliet et al., 2024) are confounding variables </w:t>
      </w:r>
      <w:r w:rsidR="00E05430" w:rsidRPr="00517E6F">
        <w:rPr>
          <w:rFonts w:asciiTheme="majorHAnsi" w:hAnsiTheme="majorHAnsi"/>
        </w:rPr>
        <w:t>are the reason the increase of heterogeneity in the meta-analysis through different cognitive domains.</w:t>
      </w:r>
      <w:r w:rsidR="00287223" w:rsidRPr="00517E6F">
        <w:rPr>
          <w:rFonts w:asciiTheme="majorHAnsi" w:hAnsiTheme="majorHAnsi"/>
        </w:rPr>
        <w:t xml:space="preserve"> However, (Higgins et al., 2020) study does not have </w:t>
      </w:r>
      <w:r w:rsidR="00517E6F" w:rsidRPr="00517E6F">
        <w:rPr>
          <w:rFonts w:asciiTheme="majorHAnsi" w:hAnsiTheme="majorHAnsi"/>
        </w:rPr>
        <w:t>enough</w:t>
      </w:r>
      <w:r w:rsidR="00287223" w:rsidRPr="00517E6F">
        <w:rPr>
          <w:rFonts w:asciiTheme="majorHAnsi" w:hAnsiTheme="majorHAnsi"/>
        </w:rPr>
        <w:t xml:space="preserve"> observations available to determine </w:t>
      </w:r>
      <w:r w:rsidR="00EC5EE6">
        <w:rPr>
          <w:rFonts w:asciiTheme="majorHAnsi" w:hAnsiTheme="majorHAnsi"/>
        </w:rPr>
        <w:t xml:space="preserve">factors that slowly or accelerate pathological aging. </w:t>
      </w:r>
      <w:r w:rsidR="002B719D">
        <w:rPr>
          <w:rFonts w:asciiTheme="majorHAnsi" w:hAnsiTheme="majorHAnsi"/>
        </w:rPr>
        <w:t>Overall</w:t>
      </w:r>
      <w:r w:rsidR="00671324" w:rsidRPr="00B0042C">
        <w:rPr>
          <w:rFonts w:asciiTheme="majorHAnsi" w:hAnsiTheme="majorHAnsi"/>
        </w:rPr>
        <w:t>, we should avoid interpreting an insignificant test result as evidence against publication bias</w:t>
      </w:r>
      <w:r w:rsidR="002B719D">
        <w:rPr>
          <w:rFonts w:asciiTheme="majorHAnsi" w:hAnsiTheme="majorHAnsi"/>
        </w:rPr>
        <w:t xml:space="preserve"> </w:t>
      </w:r>
      <w:r w:rsidR="004E0A6E">
        <w:rPr>
          <w:rFonts w:asciiTheme="majorHAnsi" w:hAnsiTheme="majorHAnsi"/>
        </w:rPr>
        <w:t>can be challenging</w:t>
      </w:r>
      <w:r w:rsidR="0090314F">
        <w:rPr>
          <w:rFonts w:asciiTheme="majorHAnsi" w:hAnsiTheme="majorHAnsi"/>
        </w:rPr>
        <w:t xml:space="preserve"> to re-examine the observations thoroughly from Supplementary Document </w:t>
      </w:r>
      <w:r w:rsidR="0090314F" w:rsidRPr="008C23C9">
        <w:rPr>
          <w:rFonts w:asciiTheme="majorHAnsi" w:hAnsiTheme="majorHAnsi"/>
          <w:b/>
          <w:bCs/>
        </w:rPr>
        <w:t>[2]</w:t>
      </w:r>
      <w:r w:rsidR="0090314F">
        <w:rPr>
          <w:rFonts w:asciiTheme="majorHAnsi" w:hAnsiTheme="majorHAnsi"/>
        </w:rPr>
        <w:t xml:space="preserve"> that have meet the criteria. </w:t>
      </w:r>
    </w:p>
    <w:p w14:paraId="5ECF0248" w14:textId="7889932D" w:rsidR="007D668D" w:rsidRPr="00406FC8" w:rsidRDefault="007D668D" w:rsidP="007D668D">
      <w:pPr>
        <w:rPr>
          <w:b/>
          <w:bCs/>
        </w:rPr>
      </w:pPr>
    </w:p>
    <w:p w14:paraId="599ACD4A" w14:textId="77777777" w:rsidR="007513ED" w:rsidRPr="00406FC8" w:rsidRDefault="007513ED" w:rsidP="007D668D"/>
    <w:p w14:paraId="2E51EF0E" w14:textId="77777777" w:rsidR="007042E6" w:rsidRPr="00406FC8" w:rsidRDefault="007042E6">
      <w:pPr>
        <w:rPr>
          <w:b/>
          <w:bCs/>
          <w:sz w:val="32"/>
          <w:szCs w:val="32"/>
        </w:rPr>
      </w:pPr>
    </w:p>
    <w:p w14:paraId="32ECD22F" w14:textId="77777777" w:rsidR="007D668D" w:rsidRPr="00406FC8" w:rsidRDefault="007D668D">
      <w:pPr>
        <w:rPr>
          <w:b/>
          <w:bCs/>
          <w:sz w:val="32"/>
          <w:szCs w:val="32"/>
        </w:rPr>
      </w:pPr>
    </w:p>
    <w:p w14:paraId="11D73224" w14:textId="77777777" w:rsidR="0006331F" w:rsidRPr="00406FC8" w:rsidRDefault="0006331F">
      <w:pPr>
        <w:rPr>
          <w:b/>
          <w:bCs/>
          <w:sz w:val="32"/>
          <w:szCs w:val="32"/>
        </w:rPr>
      </w:pPr>
    </w:p>
    <w:p w14:paraId="50BA8C88" w14:textId="77777777" w:rsidR="0006331F" w:rsidRPr="00406FC8" w:rsidRDefault="0006331F">
      <w:pPr>
        <w:rPr>
          <w:b/>
          <w:bCs/>
          <w:sz w:val="32"/>
          <w:szCs w:val="32"/>
        </w:rPr>
      </w:pPr>
    </w:p>
    <w:p w14:paraId="43080CEB" w14:textId="77777777" w:rsidR="0085758D" w:rsidRPr="00406FC8" w:rsidRDefault="0085758D">
      <w:pPr>
        <w:rPr>
          <w:b/>
          <w:bCs/>
          <w:sz w:val="32"/>
          <w:szCs w:val="32"/>
        </w:rPr>
      </w:pPr>
    </w:p>
    <w:p w14:paraId="21AC3FE8" w14:textId="77777777" w:rsidR="0085758D" w:rsidRPr="00406FC8" w:rsidRDefault="0085758D">
      <w:pPr>
        <w:rPr>
          <w:b/>
          <w:bCs/>
          <w:sz w:val="32"/>
          <w:szCs w:val="32"/>
        </w:rPr>
      </w:pPr>
    </w:p>
    <w:p w14:paraId="770EC2EA" w14:textId="77777777" w:rsidR="0006331F" w:rsidRPr="00406FC8" w:rsidRDefault="0006331F">
      <w:pPr>
        <w:rPr>
          <w:b/>
          <w:bCs/>
          <w:sz w:val="32"/>
          <w:szCs w:val="32"/>
        </w:rPr>
      </w:pPr>
    </w:p>
    <w:p w14:paraId="4F313876" w14:textId="77777777" w:rsidR="008A1D61" w:rsidRDefault="008A1D61">
      <w:pPr>
        <w:rPr>
          <w:b/>
          <w:bCs/>
          <w:sz w:val="32"/>
          <w:szCs w:val="32"/>
        </w:rPr>
      </w:pPr>
    </w:p>
    <w:p w14:paraId="4F753EC4" w14:textId="387A8446" w:rsidR="007042E6" w:rsidRPr="00406FC8" w:rsidRDefault="007042E6">
      <w:pPr>
        <w:rPr>
          <w:b/>
          <w:bCs/>
          <w:sz w:val="32"/>
          <w:szCs w:val="32"/>
        </w:rPr>
      </w:pPr>
      <w:r w:rsidRPr="00406FC8">
        <w:rPr>
          <w:b/>
          <w:bCs/>
          <w:sz w:val="32"/>
          <w:szCs w:val="32"/>
        </w:rPr>
        <w:t xml:space="preserve">Extensions </w:t>
      </w:r>
    </w:p>
    <w:p w14:paraId="478BD8B1" w14:textId="3F24B1BF" w:rsidR="000D1BEB" w:rsidRDefault="008E0E59" w:rsidP="008B1DD3">
      <w:r w:rsidRPr="008A1D61">
        <w:rPr>
          <w:rFonts w:asciiTheme="majorHAnsi" w:hAnsiTheme="majorHAnsi"/>
        </w:rPr>
        <w:t xml:space="preserve">It is worth </w:t>
      </w:r>
      <w:r w:rsidR="00BC6F33" w:rsidRPr="008A1D61">
        <w:rPr>
          <w:rFonts w:asciiTheme="majorHAnsi" w:hAnsiTheme="majorHAnsi"/>
        </w:rPr>
        <w:t>investigating</w:t>
      </w:r>
      <w:r w:rsidRPr="008A1D61">
        <w:rPr>
          <w:rFonts w:asciiTheme="majorHAnsi" w:hAnsiTheme="majorHAnsi"/>
        </w:rPr>
        <w:t xml:space="preserve"> other estimators than </w:t>
      </w:r>
      <w:r w:rsidR="00BC6F33" w:rsidRPr="008A1D61">
        <w:rPr>
          <w:rFonts w:asciiTheme="majorHAnsi" w:hAnsiTheme="majorHAnsi"/>
        </w:rPr>
        <w:t>Hedges</w:t>
      </w:r>
      <w:r w:rsidRPr="008A1D61">
        <w:rPr>
          <w:rFonts w:asciiTheme="majorHAnsi" w:hAnsiTheme="majorHAnsi"/>
        </w:rPr>
        <w:t xml:space="preserve"> </w:t>
      </w:r>
      <w:r w:rsidR="006E0BBB" w:rsidRPr="008A1D61">
        <w:rPr>
          <w:rFonts w:asciiTheme="majorHAnsi" w:hAnsiTheme="majorHAnsi"/>
        </w:rPr>
        <w:t xml:space="preserve">as our only model </w:t>
      </w:r>
      <w:r w:rsidRPr="008A1D61">
        <w:rPr>
          <w:rFonts w:asciiTheme="majorHAnsi" w:hAnsiTheme="majorHAnsi"/>
        </w:rPr>
        <w:t>as a limitation</w:t>
      </w:r>
      <w:r w:rsidR="002907BC">
        <w:rPr>
          <w:rFonts w:asciiTheme="majorHAnsi" w:hAnsiTheme="majorHAnsi"/>
        </w:rPr>
        <w:t xml:space="preserve"> for the random effects model</w:t>
      </w:r>
      <w:r w:rsidR="006E0BBB" w:rsidRPr="008A1D61">
        <w:rPr>
          <w:rFonts w:asciiTheme="majorHAnsi" w:hAnsiTheme="majorHAnsi"/>
        </w:rPr>
        <w:t>. After applying the replication of main findings during the analysis.</w:t>
      </w:r>
      <w:r w:rsidR="008B1DD3" w:rsidRPr="008A1D61">
        <w:rPr>
          <w:rFonts w:asciiTheme="majorHAnsi" w:hAnsiTheme="majorHAnsi"/>
        </w:rPr>
        <w:t xml:space="preserve"> </w:t>
      </w:r>
      <w:r w:rsidR="00BC6F33" w:rsidRPr="008A1D61">
        <w:rPr>
          <w:rFonts w:asciiTheme="majorHAnsi" w:hAnsiTheme="majorHAnsi"/>
        </w:rPr>
        <w:t xml:space="preserve">Proper examples that can be appliable here such </w:t>
      </w:r>
      <w:r w:rsidR="00F37AA8" w:rsidRPr="008A1D61">
        <w:rPr>
          <w:rFonts w:asciiTheme="majorHAnsi" w:hAnsiTheme="majorHAnsi"/>
        </w:rPr>
        <w:t>as DL</w:t>
      </w:r>
      <w:r w:rsidR="00BC6F33" w:rsidRPr="008A1D61">
        <w:rPr>
          <w:rFonts w:asciiTheme="majorHAnsi" w:hAnsiTheme="majorHAnsi"/>
        </w:rPr>
        <w:t>, Maximum Likelihood, Restricted Maximum Likelihood, Hunter Schmidt and Hedge’s estimators</w:t>
      </w:r>
      <w:r w:rsidR="00663C93">
        <w:rPr>
          <w:rFonts w:asciiTheme="majorHAnsi" w:hAnsiTheme="majorHAnsi"/>
        </w:rPr>
        <w:t xml:space="preserve">, </w:t>
      </w:r>
      <w:r w:rsidR="00BC6F33" w:rsidRPr="008A1D61">
        <w:rPr>
          <w:rFonts w:asciiTheme="majorHAnsi" w:hAnsiTheme="majorHAnsi"/>
        </w:rPr>
        <w:t>was observed in the meta-estimate nor the associated upper and lower confidence limits.</w:t>
      </w:r>
      <w:r w:rsidR="00A1352B" w:rsidRPr="00406FC8">
        <w:t xml:space="preserve"> Though I</w:t>
      </w:r>
      <w:r w:rsidR="00A1352B">
        <w:t>^2</w:t>
      </w:r>
      <w:r w:rsidR="00A1352B" w:rsidRPr="00406FC8">
        <w:t xml:space="preserve"> varied between </w:t>
      </w:r>
      <w:r w:rsidR="00A4034F">
        <w:t>79.02</w:t>
      </w:r>
      <w:r w:rsidR="00A1352B" w:rsidRPr="00406FC8">
        <w:t>% (</w:t>
      </w:r>
      <w:r w:rsidR="00A4034F">
        <w:t>D</w:t>
      </w:r>
      <w:r w:rsidR="00A1352B" w:rsidRPr="00406FC8">
        <w:t>L)</w:t>
      </w:r>
      <w:r w:rsidR="00BB6AF2">
        <w:t xml:space="preserve">, </w:t>
      </w:r>
      <w:r w:rsidR="00A1352B">
        <w:t>7</w:t>
      </w:r>
      <w:r w:rsidR="00A4034F">
        <w:t>6</w:t>
      </w:r>
      <w:r w:rsidR="00A1352B">
        <w:t>.02</w:t>
      </w:r>
      <w:r w:rsidR="00A1352B" w:rsidRPr="00406FC8">
        <w:t>% (HE)</w:t>
      </w:r>
      <w:r w:rsidR="00BB6AF2">
        <w:t xml:space="preserve">, 77.89% (REML), </w:t>
      </w:r>
      <w:r w:rsidR="006D22A6">
        <w:t>76.12%(HS), 77.85%(SJ),</w:t>
      </w:r>
      <w:r w:rsidR="004249C4">
        <w:t xml:space="preserve"> 75.48% (ML)</w:t>
      </w:r>
      <w:r w:rsidR="00300479">
        <w:t>, 77.06% (EB)</w:t>
      </w:r>
      <w:r w:rsidR="00516A01">
        <w:t xml:space="preserve"> and 77.06% (PM)</w:t>
      </w:r>
      <w:r w:rsidR="00663C93">
        <w:t xml:space="preserve"> </w:t>
      </w:r>
      <w:r w:rsidR="00663C93" w:rsidRPr="00A63ADC">
        <w:rPr>
          <w:rFonts w:asciiTheme="majorHAnsi" w:hAnsiTheme="majorHAnsi"/>
          <w:b/>
          <w:bCs/>
        </w:rPr>
        <w:t>[4]</w:t>
      </w:r>
      <w:r w:rsidR="00421F8A">
        <w:rPr>
          <w:rFonts w:asciiTheme="majorHAnsi" w:hAnsiTheme="majorHAnsi"/>
          <w:b/>
          <w:bCs/>
        </w:rPr>
        <w:t xml:space="preserve"> (see Figures 5-11 in the </w:t>
      </w:r>
      <w:r w:rsidR="00C86CDC">
        <w:rPr>
          <w:rFonts w:asciiTheme="majorHAnsi" w:hAnsiTheme="majorHAnsi"/>
          <w:b/>
          <w:bCs/>
        </w:rPr>
        <w:t>R-</w:t>
      </w:r>
      <w:r w:rsidR="00421F8A">
        <w:rPr>
          <w:rFonts w:asciiTheme="majorHAnsi" w:hAnsiTheme="majorHAnsi"/>
          <w:b/>
          <w:bCs/>
        </w:rPr>
        <w:t>Code)</w:t>
      </w:r>
      <w:r w:rsidR="006C3067">
        <w:t xml:space="preserve">. The authors did not mention the method </w:t>
      </w:r>
      <w:r w:rsidR="001B73C2">
        <w:t>behind</w:t>
      </w:r>
      <w:r w:rsidR="006C3067">
        <w:t xml:space="preserve"> Q-</w:t>
      </w:r>
      <w:r w:rsidR="00B342CF">
        <w:t>test</w:t>
      </w:r>
      <w:r w:rsidR="00502ABC">
        <w:t xml:space="preserve"> in the paper, </w:t>
      </w:r>
      <w:r w:rsidR="00B342CF">
        <w:t>but</w:t>
      </w:r>
      <w:r w:rsidR="006C3067">
        <w:t xml:space="preserve"> </w:t>
      </w:r>
      <w:r w:rsidR="00502ABC">
        <w:t>it is worth mentioning that can</w:t>
      </w:r>
      <w:r w:rsidR="006C3067">
        <w:t xml:space="preserve"> be achieved using </w:t>
      </w:r>
      <w:r w:rsidR="002E54C3">
        <w:t>summary</w:t>
      </w:r>
      <w:r w:rsidR="00EC51D8">
        <w:t xml:space="preserve"> function</w:t>
      </w:r>
      <w:r w:rsidR="00355044">
        <w:t xml:space="preserve"> from the metafor package</w:t>
      </w:r>
      <w:r w:rsidR="00756F07">
        <w:t>. W</w:t>
      </w:r>
      <w:r w:rsidR="006C3067">
        <w:t xml:space="preserve">here </w:t>
      </w:r>
      <w:r w:rsidR="00A1352B" w:rsidRPr="00406FC8">
        <w:t xml:space="preserve">the Q-test for heterogeneity remained </w:t>
      </w:r>
      <w:r w:rsidR="00BD6998">
        <w:t>in</w:t>
      </w:r>
      <w:r w:rsidR="00A1352B" w:rsidRPr="00406FC8">
        <w:t>significant at the 5% level</w:t>
      </w:r>
      <w:r w:rsidR="002A27E6">
        <w:t xml:space="preserve"> for </w:t>
      </w:r>
      <w:r w:rsidR="005119E5">
        <w:t>throughout</w:t>
      </w:r>
      <w:r w:rsidR="007608A9">
        <w:t xml:space="preserve"> </w:t>
      </w:r>
      <w:r w:rsidR="007608A9" w:rsidRPr="007608A9">
        <w:rPr>
          <w:b/>
          <w:bCs/>
        </w:rPr>
        <w:t>see Figure 4</w:t>
      </w:r>
      <w:r w:rsidR="008B01A3">
        <w:rPr>
          <w:b/>
          <w:bCs/>
        </w:rPr>
        <w:t xml:space="preserve"> </w:t>
      </w:r>
      <w:r w:rsidR="00C77B7F" w:rsidRPr="00C77B7F">
        <w:t>assuming we not take account of any moderators</w:t>
      </w:r>
      <w:r w:rsidR="00A1352B" w:rsidRPr="00C77B7F">
        <w:t>.</w:t>
      </w:r>
      <w:r w:rsidR="00721C3B" w:rsidRPr="00721C3B">
        <w:t xml:space="preserve"> </w:t>
      </w:r>
      <w:r w:rsidR="00721C3B" w:rsidRPr="00406FC8">
        <w:t xml:space="preserve">Hence the choice of estimator did not impact the conclusions of the main analysis. </w:t>
      </w:r>
    </w:p>
    <w:p w14:paraId="2DD0F9AE" w14:textId="446690E6" w:rsidR="0022268B" w:rsidRDefault="00721C3B" w:rsidP="00A401A4">
      <w:r w:rsidRPr="00406FC8">
        <w:t xml:space="preserve">Rather than extend the sensitivity analysis to subgroupings, we conducted </w:t>
      </w:r>
      <w:r w:rsidR="004F03C0">
        <w:t>3</w:t>
      </w:r>
      <w:r w:rsidR="000D1BEB">
        <w:t xml:space="preserve"> </w:t>
      </w:r>
      <w:r w:rsidRPr="00406FC8">
        <w:t>meta-regressions using the categories in subgroupings (</w:t>
      </w:r>
      <w:r w:rsidR="004F03C0">
        <w:t>A</w:t>
      </w:r>
      <w:r w:rsidRPr="00406FC8">
        <w:t>), (</w:t>
      </w:r>
      <w:r w:rsidR="004F03C0">
        <w:t>B</w:t>
      </w:r>
      <w:r w:rsidRPr="00406FC8">
        <w:t>) and (</w:t>
      </w:r>
      <w:r w:rsidR="004F03C0">
        <w:t>C</w:t>
      </w:r>
      <w:r w:rsidRPr="00406FC8">
        <w:t>) as moderators</w:t>
      </w:r>
      <w:r w:rsidR="001060D1">
        <w:t xml:space="preserve"> evaluated individually</w:t>
      </w:r>
      <w:r w:rsidRPr="00406FC8">
        <w:t>. While our meta-regressions assume that the subgroups share a common heterogeneity parameter, they have the advantage of being able to investigate the amount of heterogeneity explained by the moderators, and the magnitude of the associated effect</w:t>
      </w:r>
      <w:r w:rsidR="006D22A6">
        <w:t xml:space="preserve"> </w:t>
      </w:r>
      <w:r w:rsidR="002B10ED">
        <w:t xml:space="preserve">shown </w:t>
      </w:r>
      <w:r w:rsidR="006D22A6">
        <w:t xml:space="preserve">in </w:t>
      </w:r>
      <w:r w:rsidR="006D22A6" w:rsidRPr="00A42A08">
        <w:rPr>
          <w:b/>
          <w:bCs/>
        </w:rPr>
        <w:t>Figures</w:t>
      </w:r>
      <w:r w:rsidR="002B10ED" w:rsidRPr="00A42A08">
        <w:rPr>
          <w:b/>
          <w:bCs/>
        </w:rPr>
        <w:t xml:space="preserve"> </w:t>
      </w:r>
      <w:r w:rsidR="00F524B4">
        <w:rPr>
          <w:b/>
          <w:bCs/>
        </w:rPr>
        <w:t>4</w:t>
      </w:r>
      <w:r w:rsidR="00A42A08" w:rsidRPr="00A42A08">
        <w:rPr>
          <w:b/>
          <w:bCs/>
        </w:rPr>
        <w:t>A,</w:t>
      </w:r>
      <w:r w:rsidR="00BD6998">
        <w:rPr>
          <w:b/>
          <w:bCs/>
        </w:rPr>
        <w:t xml:space="preserve"> </w:t>
      </w:r>
      <w:r w:rsidR="00F524B4">
        <w:rPr>
          <w:b/>
          <w:bCs/>
        </w:rPr>
        <w:t>4</w:t>
      </w:r>
      <w:r w:rsidR="00A42A08" w:rsidRPr="00A42A08">
        <w:rPr>
          <w:b/>
          <w:bCs/>
        </w:rPr>
        <w:t xml:space="preserve">B and </w:t>
      </w:r>
      <w:r w:rsidR="00F524B4">
        <w:rPr>
          <w:b/>
          <w:bCs/>
        </w:rPr>
        <w:t>4</w:t>
      </w:r>
      <w:r w:rsidR="00A42A08" w:rsidRPr="00A42A08">
        <w:rPr>
          <w:b/>
          <w:bCs/>
        </w:rPr>
        <w:t>C</w:t>
      </w:r>
      <w:r w:rsidR="002B10ED">
        <w:t>.</w:t>
      </w:r>
      <w:r w:rsidR="006D22A6">
        <w:t xml:space="preserve"> </w:t>
      </w:r>
      <w:r w:rsidR="00AB2806">
        <w:t>The H</w:t>
      </w:r>
      <w:r w:rsidR="00870CF9">
        <w:t>edges</w:t>
      </w:r>
      <w:r w:rsidR="00AB2806">
        <w:t xml:space="preserve"> estimator was used for consistency with the original paper. </w:t>
      </w:r>
      <w:r w:rsidR="00971BC6" w:rsidRPr="00406FC8">
        <w:t>For (</w:t>
      </w:r>
      <w:r w:rsidR="000B7405">
        <w:t>A</w:t>
      </w:r>
      <w:r w:rsidR="00971BC6" w:rsidRPr="00406FC8">
        <w:t>) we found significant evidence at the 5% level that</w:t>
      </w:r>
      <w:r w:rsidR="000B7405">
        <w:t xml:space="preserve"> global</w:t>
      </w:r>
      <w:r w:rsidR="00971BC6" w:rsidRPr="00406FC8">
        <w:t xml:space="preserve"> </w:t>
      </w:r>
      <w:r w:rsidR="000B7405">
        <w:t>cognitive function</w:t>
      </w:r>
      <w:r w:rsidR="00EC51D8">
        <w:t xml:space="preserve"> on </w:t>
      </w:r>
      <w:r w:rsidR="00EC51D8" w:rsidRPr="00517E6F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neurotypical controls</w:t>
      </w:r>
      <w:r w:rsidR="00762154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were less effective</w:t>
      </w:r>
      <w:r w:rsidR="00EC51D8" w:rsidRPr="00517E6F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had a better performance than autistic adults</w:t>
      </w:r>
      <w:r w:rsidR="000B7405">
        <w:t xml:space="preserve"> </w:t>
      </w:r>
      <w:r w:rsidR="00971BC6" w:rsidRPr="00406FC8">
        <w:t>on average, and we estimate the average difference in SMD (est. SMD change = 0.</w:t>
      </w:r>
      <w:r w:rsidR="00095F96">
        <w:t>2646</w:t>
      </w:r>
      <w:r w:rsidR="00516C0E">
        <w:t xml:space="preserve"> </w:t>
      </w:r>
      <w:r w:rsidR="00516C0E" w:rsidRPr="00516C0E">
        <w:rPr>
          <w:i/>
          <w:iCs/>
        </w:rPr>
        <w:t>(Full Model in Figure 4)</w:t>
      </w:r>
      <w:r w:rsidR="00516C0E">
        <w:t>-</w:t>
      </w:r>
      <w:r w:rsidR="00095F96">
        <w:t xml:space="preserve"> </w:t>
      </w:r>
      <w:r w:rsidR="00BD6998">
        <w:t xml:space="preserve">0.4155 </w:t>
      </w:r>
      <w:r w:rsidR="00516C0E" w:rsidRPr="00516C0E">
        <w:rPr>
          <w:i/>
          <w:iCs/>
        </w:rPr>
        <w:t>(estimator from Figure 4A)</w:t>
      </w:r>
      <w:r w:rsidR="00BD6998">
        <w:t>= -0.1509</w:t>
      </w:r>
      <w:r w:rsidR="00971BC6" w:rsidRPr="00406FC8">
        <w:t>, 0.95% CI = [</w:t>
      </w:r>
      <w:r w:rsidR="008D2CE3">
        <w:t>-0.1105</w:t>
      </w:r>
      <w:r w:rsidR="00971BC6" w:rsidRPr="00406FC8">
        <w:t>, 0.</w:t>
      </w:r>
      <w:r w:rsidR="008D2CE3">
        <w:t>9415</w:t>
      </w:r>
      <w:r w:rsidR="00971BC6" w:rsidRPr="00406FC8">
        <w:t>], p = 0.</w:t>
      </w:r>
      <w:r w:rsidR="0027332C">
        <w:t>1316</w:t>
      </w:r>
      <w:r w:rsidR="00971BC6" w:rsidRPr="00406FC8">
        <w:t>). We also saw a</w:t>
      </w:r>
      <w:r w:rsidR="0027332C">
        <w:t>n increase</w:t>
      </w:r>
      <w:r w:rsidR="00971BC6" w:rsidRPr="00406FC8">
        <w:t xml:space="preserve"> in I</w:t>
      </w:r>
      <w:r w:rsidR="0027332C">
        <w:t>^</w:t>
      </w:r>
      <w:r w:rsidR="00971BC6" w:rsidRPr="00406FC8">
        <w:t xml:space="preserve">2 </w:t>
      </w:r>
      <w:r w:rsidR="009C29DE" w:rsidRPr="00406FC8">
        <w:t>(I</w:t>
      </w:r>
      <w:r w:rsidR="009C29DE">
        <w:t>^</w:t>
      </w:r>
      <w:r w:rsidR="009C29DE" w:rsidRPr="00406FC8">
        <w:t xml:space="preserve">2 = </w:t>
      </w:r>
      <w:r w:rsidR="009C29DE">
        <w:t>92.56</w:t>
      </w:r>
      <w:r w:rsidR="009C29DE" w:rsidRPr="00406FC8">
        <w:t>%</w:t>
      </w:r>
      <w:r w:rsidR="009C29DE">
        <w:t xml:space="preserve">) </w:t>
      </w:r>
      <w:r w:rsidR="00971BC6" w:rsidRPr="00406FC8">
        <w:t>compared to the full REM meta-analysis, (I</w:t>
      </w:r>
      <w:r w:rsidR="00971BC6">
        <w:t>^</w:t>
      </w:r>
      <w:r w:rsidR="00971BC6" w:rsidRPr="00406FC8">
        <w:t xml:space="preserve">2 = </w:t>
      </w:r>
      <w:r w:rsidR="009D3355">
        <w:t>75</w:t>
      </w:r>
      <w:r w:rsidR="00924DE7">
        <w:t>.</w:t>
      </w:r>
      <w:r w:rsidR="009D3355">
        <w:t>82</w:t>
      </w:r>
      <w:r w:rsidR="00971BC6" w:rsidRPr="00406FC8">
        <w:t>%</w:t>
      </w:r>
      <w:r w:rsidR="00197772">
        <w:t>)</w:t>
      </w:r>
      <w:r w:rsidR="00971BC6" w:rsidRPr="00406FC8">
        <w:t xml:space="preserve">, which is an indicator that the </w:t>
      </w:r>
      <w:r w:rsidR="00D017C0">
        <w:t>(A)</w:t>
      </w:r>
      <w:r w:rsidR="00971BC6" w:rsidRPr="00406FC8">
        <w:t xml:space="preserve"> moderator may explain some of the between-study variability</w:t>
      </w:r>
      <w:r w:rsidR="00971BC6" w:rsidRPr="002508FD">
        <w:t xml:space="preserve">. </w:t>
      </w:r>
      <w:r w:rsidR="00971BC6" w:rsidRPr="00406FC8">
        <w:t>The rma function’s Q</w:t>
      </w:r>
      <w:r w:rsidR="00227E28">
        <w:t>-</w:t>
      </w:r>
      <w:r w:rsidR="00971BC6" w:rsidRPr="00406FC8">
        <w:t xml:space="preserve">test did detect significant residual heterogeneity (QE = </w:t>
      </w:r>
      <w:r w:rsidR="00D017C0">
        <w:t>81.7560</w:t>
      </w:r>
      <w:r w:rsidR="00971BC6" w:rsidRPr="00406FC8">
        <w:t xml:space="preserve">, p = </w:t>
      </w:r>
      <w:r w:rsidR="00D017C0">
        <w:t>&lt; .0001</w:t>
      </w:r>
      <w:r w:rsidR="00971BC6" w:rsidRPr="00406FC8">
        <w:t>)</w:t>
      </w:r>
      <w:r w:rsidR="002508FD">
        <w:t>.</w:t>
      </w:r>
    </w:p>
    <w:p w14:paraId="711B77C1" w14:textId="13B55029" w:rsidR="006F1579" w:rsidRDefault="0022268B" w:rsidP="00A401A4">
      <w:r>
        <w:rPr>
          <w:noProof/>
        </w:rPr>
        <w:lastRenderedPageBreak/>
        <w:drawing>
          <wp:inline distT="0" distB="0" distL="0" distR="0" wp14:anchorId="762F4E0D" wp14:editId="06ADF950">
            <wp:extent cx="5574030" cy="4993640"/>
            <wp:effectExtent l="0" t="0" r="7620" b="0"/>
            <wp:docPr id="1699025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49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937F" w14:textId="05FED95F" w:rsidR="0022268B" w:rsidRPr="00C26745" w:rsidRDefault="0022268B" w:rsidP="0022268B">
      <w:pPr>
        <w:rPr>
          <w:b/>
          <w:bCs/>
        </w:rPr>
      </w:pPr>
      <w:r w:rsidRPr="00C26745">
        <w:rPr>
          <w:b/>
          <w:bCs/>
        </w:rPr>
        <w:t>Figure 4. Summary meta-regression findings using Hedges estimator</w:t>
      </w:r>
      <w:r>
        <w:rPr>
          <w:b/>
          <w:bCs/>
        </w:rPr>
        <w:t xml:space="preserve"> assume no moderators were considered.</w:t>
      </w:r>
    </w:p>
    <w:p w14:paraId="64F55C4B" w14:textId="77777777" w:rsidR="0022268B" w:rsidRDefault="0022268B" w:rsidP="00A401A4"/>
    <w:p w14:paraId="539CAB1E" w14:textId="6A7A4E51" w:rsidR="00971BC6" w:rsidRDefault="006F1579" w:rsidP="00A401A4">
      <w:r>
        <w:rPr>
          <w:noProof/>
        </w:rPr>
        <w:lastRenderedPageBreak/>
        <w:drawing>
          <wp:inline distT="0" distB="0" distL="0" distR="0" wp14:anchorId="289AA5A3" wp14:editId="36CF5CED">
            <wp:extent cx="5705475" cy="4476750"/>
            <wp:effectExtent l="0" t="0" r="9525" b="0"/>
            <wp:docPr id="25013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9219" w14:textId="2A6B9E43" w:rsidR="006F1579" w:rsidRPr="00C26745" w:rsidRDefault="006F1579" w:rsidP="00A401A4">
      <w:pPr>
        <w:rPr>
          <w:b/>
          <w:bCs/>
        </w:rPr>
      </w:pPr>
      <w:r w:rsidRPr="00C26745">
        <w:rPr>
          <w:b/>
          <w:bCs/>
        </w:rPr>
        <w:t>Figure 4</w:t>
      </w:r>
      <w:r w:rsidR="008A31E0">
        <w:rPr>
          <w:b/>
          <w:bCs/>
        </w:rPr>
        <w:t>A</w:t>
      </w:r>
      <w:r w:rsidRPr="00C26745">
        <w:rPr>
          <w:b/>
          <w:bCs/>
        </w:rPr>
        <w:t>. Summary meta-regression findings on Type (A) moderator</w:t>
      </w:r>
      <w:r w:rsidR="00C26745" w:rsidRPr="00C26745">
        <w:rPr>
          <w:b/>
          <w:bCs/>
        </w:rPr>
        <w:t xml:space="preserve"> using Hedges estimator.</w:t>
      </w:r>
    </w:p>
    <w:p w14:paraId="0A14BDB3" w14:textId="77777777" w:rsidR="00046A9D" w:rsidRDefault="00046A9D">
      <w:pPr>
        <w:rPr>
          <w:b/>
          <w:bCs/>
        </w:rPr>
      </w:pPr>
    </w:p>
    <w:p w14:paraId="69263B10" w14:textId="77777777" w:rsidR="00971BC6" w:rsidRDefault="00971BC6">
      <w:pPr>
        <w:rPr>
          <w:b/>
          <w:bCs/>
        </w:rPr>
      </w:pPr>
    </w:p>
    <w:p w14:paraId="032990FD" w14:textId="77777777" w:rsidR="00971BC6" w:rsidRDefault="00971BC6">
      <w:pPr>
        <w:rPr>
          <w:b/>
          <w:bCs/>
        </w:rPr>
      </w:pPr>
    </w:p>
    <w:p w14:paraId="187A1AC4" w14:textId="77777777" w:rsidR="00971BC6" w:rsidRDefault="00971BC6">
      <w:pPr>
        <w:rPr>
          <w:b/>
          <w:bCs/>
        </w:rPr>
      </w:pPr>
    </w:p>
    <w:p w14:paraId="7CD545BD" w14:textId="77777777" w:rsidR="00971BC6" w:rsidRDefault="00971BC6">
      <w:pPr>
        <w:rPr>
          <w:b/>
          <w:bCs/>
        </w:rPr>
      </w:pPr>
    </w:p>
    <w:p w14:paraId="0E452116" w14:textId="77777777" w:rsidR="00971BC6" w:rsidRDefault="00971BC6">
      <w:pPr>
        <w:rPr>
          <w:b/>
          <w:bCs/>
        </w:rPr>
      </w:pPr>
    </w:p>
    <w:p w14:paraId="2DBCAA23" w14:textId="77777777" w:rsidR="00971BC6" w:rsidRDefault="00971BC6">
      <w:pPr>
        <w:rPr>
          <w:b/>
          <w:bCs/>
        </w:rPr>
      </w:pPr>
    </w:p>
    <w:p w14:paraId="67BF332E" w14:textId="77777777" w:rsidR="00161006" w:rsidRDefault="00161006">
      <w:pPr>
        <w:rPr>
          <w:b/>
          <w:bCs/>
        </w:rPr>
      </w:pPr>
    </w:p>
    <w:p w14:paraId="259291AB" w14:textId="77777777" w:rsidR="00971BC6" w:rsidRDefault="00971BC6">
      <w:pPr>
        <w:rPr>
          <w:b/>
          <w:bCs/>
        </w:rPr>
      </w:pPr>
    </w:p>
    <w:p w14:paraId="11A46428" w14:textId="77777777" w:rsidR="00971BC6" w:rsidRDefault="00971BC6"/>
    <w:p w14:paraId="1EB67093" w14:textId="77777777" w:rsidR="007917A9" w:rsidRDefault="007917A9"/>
    <w:p w14:paraId="00BFB897" w14:textId="77777777" w:rsidR="007917A9" w:rsidRPr="00406FC8" w:rsidRDefault="007917A9"/>
    <w:p w14:paraId="0A9F6C3B" w14:textId="2EBC0162" w:rsidR="007829F8" w:rsidRPr="00406FC8" w:rsidRDefault="007829F8" w:rsidP="007829F8">
      <w:pPr>
        <w:rPr>
          <w:b/>
          <w:bCs/>
        </w:rPr>
      </w:pPr>
    </w:p>
    <w:p w14:paraId="158CDE61" w14:textId="37B70943" w:rsidR="00046A9D" w:rsidRPr="00406FC8" w:rsidRDefault="00135823" w:rsidP="00275D4F">
      <w:r w:rsidRPr="00406FC8">
        <w:t>For meta-regression (</w:t>
      </w:r>
      <w:r w:rsidR="00E77217">
        <w:t>B</w:t>
      </w:r>
      <w:r w:rsidRPr="00406FC8">
        <w:t>) we found significant evidence for a change in the true average SMD going from ‘low’ to ‘high</w:t>
      </w:r>
      <w:r w:rsidR="0057479A" w:rsidRPr="00406FC8">
        <w:t xml:space="preserve">’ </w:t>
      </w:r>
      <w:r w:rsidR="0057479A">
        <w:t>for</w:t>
      </w:r>
      <w:r w:rsidR="00CE58C2">
        <w:t xml:space="preserve"> </w:t>
      </w:r>
      <w:r w:rsidR="00CE58C2" w:rsidRPr="00517E6F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neurotypical controls</w:t>
      </w:r>
      <w:r w:rsidR="00CE58C2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were effective</w:t>
      </w:r>
      <w:r w:rsidR="00CE58C2" w:rsidRPr="00517E6F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than autistic adults</w:t>
      </w:r>
      <w:r w:rsidR="00CE58C2">
        <w:t xml:space="preserve"> </w:t>
      </w:r>
      <w:r w:rsidR="00CE58C2" w:rsidRPr="00406FC8">
        <w:t xml:space="preserve">on average </w:t>
      </w:r>
      <w:r w:rsidRPr="00406FC8">
        <w:t xml:space="preserve">(est. </w:t>
      </w:r>
      <w:r w:rsidR="00DC5CE4" w:rsidRPr="00406FC8">
        <w:t>SMD change = 0.</w:t>
      </w:r>
      <w:r w:rsidR="00DC5CE4">
        <w:t xml:space="preserve">2646 </w:t>
      </w:r>
      <w:r w:rsidR="00DC5CE4" w:rsidRPr="00516C0E">
        <w:rPr>
          <w:i/>
          <w:iCs/>
        </w:rPr>
        <w:t>(Full Model in Figure 4)</w:t>
      </w:r>
      <w:r w:rsidR="00DC5CE4">
        <w:t xml:space="preserve">- 0.2522 </w:t>
      </w:r>
      <w:r w:rsidR="00DC5CE4" w:rsidRPr="00516C0E">
        <w:rPr>
          <w:i/>
          <w:iCs/>
        </w:rPr>
        <w:t>(estimator from Figure 4</w:t>
      </w:r>
      <w:r w:rsidR="00DC5CE4">
        <w:rPr>
          <w:i/>
          <w:iCs/>
        </w:rPr>
        <w:t>B</w:t>
      </w:r>
      <w:r w:rsidR="00DC5CE4" w:rsidRPr="00516C0E">
        <w:rPr>
          <w:i/>
          <w:iCs/>
        </w:rPr>
        <w:t>)</w:t>
      </w:r>
      <w:r w:rsidR="00944C79">
        <w:rPr>
          <w:i/>
          <w:iCs/>
        </w:rPr>
        <w:t xml:space="preserve"> </w:t>
      </w:r>
      <w:r w:rsidR="00DC5CE4">
        <w:t>= 0.0124</w:t>
      </w:r>
      <w:r w:rsidRPr="00406FC8">
        <w:t>, 95% CI = [</w:t>
      </w:r>
      <w:r w:rsidR="0057479A">
        <w:t>0.0529</w:t>
      </w:r>
      <w:r w:rsidRPr="00406FC8">
        <w:t>, 0.</w:t>
      </w:r>
      <w:r w:rsidR="0057479A">
        <w:t>4515</w:t>
      </w:r>
      <w:r w:rsidRPr="00406FC8">
        <w:t>], p = 0.</w:t>
      </w:r>
      <w:r w:rsidR="0057479A">
        <w:t>0131</w:t>
      </w:r>
      <w:r w:rsidRPr="00406FC8">
        <w:t xml:space="preserve">). Significant residual heterogeneity was detected at the 5% level (Q = </w:t>
      </w:r>
      <w:r w:rsidR="007F71D0">
        <w:t>22.6707</w:t>
      </w:r>
      <w:r w:rsidRPr="00406FC8">
        <w:t>, p = 0.0</w:t>
      </w:r>
      <w:r w:rsidR="007F71D0">
        <w:t>197</w:t>
      </w:r>
      <w:r w:rsidRPr="00406FC8">
        <w:t>, I</w:t>
      </w:r>
      <w:r w:rsidR="00944C79">
        <w:t>^</w:t>
      </w:r>
      <w:r w:rsidRPr="00406FC8">
        <w:t xml:space="preserve">2 = </w:t>
      </w:r>
      <w:r w:rsidR="007F71D0">
        <w:t>52.79</w:t>
      </w:r>
      <w:r w:rsidRPr="00406FC8">
        <w:t>%). For (</w:t>
      </w:r>
      <w:r w:rsidR="00194D95">
        <w:t>C</w:t>
      </w:r>
      <w:r w:rsidRPr="00406FC8">
        <w:t xml:space="preserve">) we found significant evidence for a change in the true SMD </w:t>
      </w:r>
      <w:r w:rsidR="007934B9" w:rsidRPr="00406FC8">
        <w:t>(est. SMD change = 0.</w:t>
      </w:r>
      <w:r w:rsidR="007934B9">
        <w:t xml:space="preserve">2646 </w:t>
      </w:r>
      <w:r w:rsidR="007934B9" w:rsidRPr="00516C0E">
        <w:rPr>
          <w:i/>
          <w:iCs/>
        </w:rPr>
        <w:t>(Full Model in Figure 4)</w:t>
      </w:r>
      <w:r w:rsidR="007934B9">
        <w:t>- 0.</w:t>
      </w:r>
      <w:r w:rsidR="00F04DC4">
        <w:t>1411</w:t>
      </w:r>
      <w:r w:rsidR="007934B9">
        <w:t xml:space="preserve"> </w:t>
      </w:r>
      <w:r w:rsidR="007934B9" w:rsidRPr="00516C0E">
        <w:rPr>
          <w:i/>
          <w:iCs/>
        </w:rPr>
        <w:t>(estimator from Figure 4</w:t>
      </w:r>
      <w:r w:rsidR="0069050F">
        <w:rPr>
          <w:i/>
          <w:iCs/>
        </w:rPr>
        <w:t>C</w:t>
      </w:r>
      <w:r w:rsidR="007934B9" w:rsidRPr="00516C0E">
        <w:rPr>
          <w:i/>
          <w:iCs/>
        </w:rPr>
        <w:t>)</w:t>
      </w:r>
      <w:r w:rsidR="007934B9">
        <w:rPr>
          <w:i/>
          <w:iCs/>
        </w:rPr>
        <w:t xml:space="preserve"> </w:t>
      </w:r>
      <w:r w:rsidR="007934B9">
        <w:t>= 0.</w:t>
      </w:r>
      <w:r w:rsidR="00F04DC4">
        <w:t>1235</w:t>
      </w:r>
      <w:r w:rsidR="007934B9" w:rsidRPr="00406FC8">
        <w:t>, 95% CI = [</w:t>
      </w:r>
      <w:r w:rsidR="00F04DC4">
        <w:t>-0.0552</w:t>
      </w:r>
      <w:r w:rsidR="007934B9" w:rsidRPr="00406FC8">
        <w:t>, 0.</w:t>
      </w:r>
      <w:r w:rsidR="00F04DC4">
        <w:t>3374</w:t>
      </w:r>
      <w:r w:rsidR="007934B9" w:rsidRPr="00406FC8">
        <w:t>], p = 0.</w:t>
      </w:r>
      <w:r w:rsidR="00F04DC4">
        <w:t>1590</w:t>
      </w:r>
      <w:r w:rsidR="007934B9" w:rsidRPr="00406FC8">
        <w:t xml:space="preserve">). </w:t>
      </w:r>
      <w:r w:rsidR="000419E5">
        <w:t xml:space="preserve">There is </w:t>
      </w:r>
      <w:r w:rsidR="00B163DF">
        <w:t>significant evidence of residual heterogeneity</w:t>
      </w:r>
      <w:r w:rsidRPr="00406FC8">
        <w:t xml:space="preserve"> was detected (Q = 2</w:t>
      </w:r>
      <w:r w:rsidR="000419E5">
        <w:t>4.2420</w:t>
      </w:r>
      <w:r w:rsidRPr="00406FC8">
        <w:t>, p = 0.</w:t>
      </w:r>
      <w:r w:rsidR="000419E5">
        <w:t>0070</w:t>
      </w:r>
      <w:r w:rsidRPr="00406FC8">
        <w:t>, I</w:t>
      </w:r>
      <w:r w:rsidR="000419E5">
        <w:t>^</w:t>
      </w:r>
      <w:r w:rsidRPr="00406FC8">
        <w:t xml:space="preserve">2 = </w:t>
      </w:r>
      <w:r w:rsidR="000419E5">
        <w:t>55.30</w:t>
      </w:r>
      <w:r w:rsidRPr="00406FC8">
        <w:t xml:space="preserve">%). </w:t>
      </w:r>
    </w:p>
    <w:p w14:paraId="348E9228" w14:textId="77777777" w:rsidR="00135823" w:rsidRPr="00406FC8" w:rsidRDefault="00135823" w:rsidP="00135823"/>
    <w:p w14:paraId="580853DB" w14:textId="5BB7F42B" w:rsidR="00B303AC" w:rsidRDefault="00927749" w:rsidP="00B303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1EF47B" wp14:editId="4CC6A5D5">
            <wp:extent cx="5316220" cy="4625340"/>
            <wp:effectExtent l="0" t="0" r="0" b="3810"/>
            <wp:docPr id="3164703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703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03AC" w:rsidRPr="00C26745">
        <w:rPr>
          <w:b/>
          <w:bCs/>
        </w:rPr>
        <w:t xml:space="preserve">Figure </w:t>
      </w:r>
      <w:r w:rsidR="00C20BE3">
        <w:rPr>
          <w:b/>
          <w:bCs/>
        </w:rPr>
        <w:t>4B</w:t>
      </w:r>
      <w:r w:rsidR="00B303AC" w:rsidRPr="00C26745">
        <w:rPr>
          <w:b/>
          <w:bCs/>
        </w:rPr>
        <w:t>. Summary meta-regression findings on Type (</w:t>
      </w:r>
      <w:r w:rsidR="00B303AC">
        <w:rPr>
          <w:b/>
          <w:bCs/>
        </w:rPr>
        <w:t>B</w:t>
      </w:r>
      <w:r w:rsidR="00B303AC" w:rsidRPr="00C26745">
        <w:rPr>
          <w:b/>
          <w:bCs/>
        </w:rPr>
        <w:t>) moderator using Hedges estimator.</w:t>
      </w:r>
    </w:p>
    <w:p w14:paraId="1B04CD2C" w14:textId="77777777" w:rsidR="004E31E8" w:rsidRDefault="004E31E8" w:rsidP="00B303AC">
      <w:pPr>
        <w:rPr>
          <w:b/>
          <w:bCs/>
        </w:rPr>
      </w:pPr>
    </w:p>
    <w:p w14:paraId="06AAEEA6" w14:textId="77777777" w:rsidR="004E31E8" w:rsidRDefault="004E31E8" w:rsidP="00B303AC">
      <w:pPr>
        <w:rPr>
          <w:b/>
          <w:bCs/>
        </w:rPr>
      </w:pPr>
    </w:p>
    <w:p w14:paraId="0E820D52" w14:textId="77777777" w:rsidR="004E31E8" w:rsidRDefault="004E31E8" w:rsidP="00B303AC">
      <w:pPr>
        <w:rPr>
          <w:b/>
          <w:bCs/>
        </w:rPr>
      </w:pPr>
    </w:p>
    <w:p w14:paraId="41EA11D6" w14:textId="5B21557F" w:rsidR="004E31E8" w:rsidRDefault="004E31E8" w:rsidP="00B303A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E1BC009" wp14:editId="2B89A8E6">
            <wp:extent cx="5699125" cy="4572000"/>
            <wp:effectExtent l="0" t="0" r="0" b="0"/>
            <wp:docPr id="6586891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6246B" w14:textId="77777777" w:rsidR="00C20BE3" w:rsidRDefault="00C20BE3" w:rsidP="00B303AC">
      <w:pPr>
        <w:rPr>
          <w:b/>
          <w:bCs/>
        </w:rPr>
      </w:pPr>
    </w:p>
    <w:p w14:paraId="2B9BCC0C" w14:textId="5DC55DBA" w:rsidR="00C20BE3" w:rsidRPr="00C26745" w:rsidRDefault="00C20BE3" w:rsidP="00C20BE3">
      <w:pPr>
        <w:rPr>
          <w:b/>
          <w:bCs/>
        </w:rPr>
      </w:pPr>
      <w:r w:rsidRPr="00C26745">
        <w:rPr>
          <w:b/>
          <w:bCs/>
        </w:rPr>
        <w:t xml:space="preserve">Figure </w:t>
      </w:r>
      <w:r>
        <w:rPr>
          <w:b/>
          <w:bCs/>
        </w:rPr>
        <w:t>4C</w:t>
      </w:r>
      <w:r w:rsidRPr="00C26745">
        <w:rPr>
          <w:b/>
          <w:bCs/>
        </w:rPr>
        <w:t>. Summary meta-regression findings on Type (</w:t>
      </w:r>
      <w:r>
        <w:rPr>
          <w:b/>
          <w:bCs/>
        </w:rPr>
        <w:t>C</w:t>
      </w:r>
      <w:r w:rsidRPr="00C26745">
        <w:rPr>
          <w:b/>
          <w:bCs/>
        </w:rPr>
        <w:t>) moderator using Hedges estimator.</w:t>
      </w:r>
    </w:p>
    <w:p w14:paraId="2DDA5280" w14:textId="792B54FE" w:rsidR="00C20BE3" w:rsidRDefault="00C20BE3" w:rsidP="00B303AC">
      <w:pPr>
        <w:rPr>
          <w:b/>
          <w:bCs/>
        </w:rPr>
      </w:pPr>
    </w:p>
    <w:p w14:paraId="4710CBDC" w14:textId="77777777" w:rsidR="004E31E8" w:rsidRDefault="004E31E8" w:rsidP="00B303AC">
      <w:pPr>
        <w:rPr>
          <w:b/>
          <w:bCs/>
        </w:rPr>
      </w:pPr>
    </w:p>
    <w:p w14:paraId="6FFA2DF7" w14:textId="77777777" w:rsidR="004E31E8" w:rsidRDefault="004E31E8" w:rsidP="00B303AC">
      <w:pPr>
        <w:rPr>
          <w:b/>
          <w:bCs/>
        </w:rPr>
      </w:pPr>
    </w:p>
    <w:p w14:paraId="17F8CB3B" w14:textId="77777777" w:rsidR="004E31E8" w:rsidRDefault="004E31E8" w:rsidP="00B303AC">
      <w:pPr>
        <w:rPr>
          <w:b/>
          <w:bCs/>
        </w:rPr>
      </w:pPr>
    </w:p>
    <w:p w14:paraId="1A3F3B1D" w14:textId="77777777" w:rsidR="004E31E8" w:rsidRDefault="004E31E8" w:rsidP="00B303AC">
      <w:pPr>
        <w:rPr>
          <w:b/>
          <w:bCs/>
        </w:rPr>
      </w:pPr>
    </w:p>
    <w:p w14:paraId="4643BEE2" w14:textId="77777777" w:rsidR="004E31E8" w:rsidRDefault="004E31E8" w:rsidP="00B303AC">
      <w:pPr>
        <w:rPr>
          <w:b/>
          <w:bCs/>
        </w:rPr>
      </w:pPr>
    </w:p>
    <w:p w14:paraId="5C170938" w14:textId="77777777" w:rsidR="004E31E8" w:rsidRPr="00C26745" w:rsidRDefault="004E31E8" w:rsidP="00B303AC">
      <w:pPr>
        <w:rPr>
          <w:b/>
          <w:bCs/>
        </w:rPr>
      </w:pPr>
    </w:p>
    <w:p w14:paraId="5D5CCC4A" w14:textId="77777777" w:rsidR="007829F8" w:rsidRPr="00406FC8" w:rsidRDefault="007829F8" w:rsidP="00135823"/>
    <w:p w14:paraId="0EEDBBB4" w14:textId="77777777" w:rsidR="00046A9D" w:rsidRPr="00406FC8" w:rsidRDefault="00046A9D"/>
    <w:p w14:paraId="4B1A6028" w14:textId="77777777" w:rsidR="000471EC" w:rsidRPr="00406FC8" w:rsidRDefault="000471EC"/>
    <w:p w14:paraId="5DEB2AC9" w14:textId="29007BCB" w:rsidR="007042E6" w:rsidRPr="00406FC8" w:rsidRDefault="007042E6">
      <w:pPr>
        <w:rPr>
          <w:b/>
          <w:bCs/>
          <w:sz w:val="32"/>
          <w:szCs w:val="32"/>
        </w:rPr>
      </w:pPr>
      <w:r w:rsidRPr="00406FC8">
        <w:rPr>
          <w:b/>
          <w:bCs/>
          <w:sz w:val="32"/>
          <w:szCs w:val="32"/>
        </w:rPr>
        <w:lastRenderedPageBreak/>
        <w:t>Conclusion</w:t>
      </w:r>
    </w:p>
    <w:p w14:paraId="79EDFBB4" w14:textId="05DD0370" w:rsidR="00F51A1A" w:rsidRPr="00406FC8" w:rsidRDefault="00046A9D" w:rsidP="00A274F3">
      <w:pPr>
        <w:rPr>
          <w:rFonts w:asciiTheme="majorHAnsi" w:eastAsia="Times New Roman" w:hAnsiTheme="majorHAnsi" w:cs="Times New Roman"/>
          <w:color w:val="242424"/>
          <w:kern w:val="0"/>
          <w14:ligatures w14:val="none"/>
        </w:rPr>
      </w:pP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We were able to replicate </w:t>
      </w:r>
      <w:r w:rsidR="00296A4F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partially</w:t>
      </w:r>
      <w:r w:rsidR="001A313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of the</w:t>
      </w: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1A3137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essential </w:t>
      </w: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results </w:t>
      </w:r>
      <w:r w:rsidR="00292291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for the</w:t>
      </w: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meta-analysis. Our additional investigations</w:t>
      </w:r>
      <w:r w:rsidR="00F24DC1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evidence in favour from the authors conclusion regarding middle-aged autistic adults have a steady decline in cognitive control </w:t>
      </w:r>
      <w:r w:rsidR="00F50D6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similarly </w:t>
      </w:r>
      <w:r w:rsidR="00F24DC1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compared to neurotypical behaviour</w:t>
      </w:r>
      <w:r w:rsidR="00F50D6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due to aging</w:t>
      </w: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. </w:t>
      </w:r>
      <w:r w:rsidR="00F24DC1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According to t</w:t>
      </w:r>
      <w:r w:rsidR="00A05F1C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he paper is </w:t>
      </w: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unable to find evidence to suggest </w:t>
      </w:r>
      <w:r w:rsidR="00F24DC1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neurotypical controls had better performance than autistic adults</w:t>
      </w:r>
      <w:r w:rsidR="0001513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in all categories</w:t>
      </w: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. While we support the authors’ conclusions, we caution that statements about the mean SMD should generally not be applied to study-level SMDs. Furthermore, meta-regressions typically suffer from a high risk of confounding, </w:t>
      </w:r>
      <w:r w:rsidR="00EB7A0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due</w:t>
      </w: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to small sample sizes and the fact that the data does not form a controlled sample. These facts suggest that we interpret any indicators of causality</w:t>
      </w:r>
      <w:r w:rsidRPr="00406FC8"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  <w:t xml:space="preserve">. </w:t>
      </w:r>
      <w:r w:rsidR="0073580E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The</w:t>
      </w: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results </w:t>
      </w:r>
      <w:r w:rsidR="0073580E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hints</w:t>
      </w: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</w:t>
      </w:r>
      <w:r w:rsidR="00B83AB3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for </w:t>
      </w:r>
      <w:r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informative designs for future </w:t>
      </w:r>
      <w:r w:rsidR="00EB7A02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observations</w:t>
      </w:r>
      <w:r w:rsidR="0084771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through extensive research</w:t>
      </w:r>
      <w:r w:rsidR="00A826D5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and evidence</w:t>
      </w:r>
      <w:r w:rsidR="00F50D6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 xml:space="preserve"> are concise </w:t>
      </w:r>
      <w:r w:rsidR="00803326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enough to support the authors claim</w:t>
      </w:r>
      <w:r w:rsidR="00463C8B" w:rsidRPr="00406FC8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.</w:t>
      </w:r>
    </w:p>
    <w:p w14:paraId="0C7ED222" w14:textId="77777777" w:rsidR="00BD4FC8" w:rsidRPr="00406FC8" w:rsidRDefault="00BD4FC8">
      <w:pPr>
        <w:rPr>
          <w:rFonts w:ascii="DM Sans" w:eastAsia="Times New Roman" w:hAnsi="DM Sans" w:cs="Times New Roman"/>
          <w:color w:val="242424"/>
          <w:kern w:val="0"/>
          <w14:ligatures w14:val="none"/>
        </w:rPr>
      </w:pPr>
    </w:p>
    <w:p w14:paraId="136A4B9A" w14:textId="77777777" w:rsidR="00B7787B" w:rsidRPr="00406FC8" w:rsidRDefault="00B7787B">
      <w:pPr>
        <w:rPr>
          <w:b/>
          <w:bCs/>
          <w:sz w:val="32"/>
          <w:szCs w:val="32"/>
        </w:rPr>
      </w:pPr>
    </w:p>
    <w:p w14:paraId="4C1F5D65" w14:textId="0F67B63E" w:rsidR="006505B5" w:rsidRPr="00406FC8" w:rsidRDefault="00055EB7" w:rsidP="00347BCF">
      <w:pPr>
        <w:rPr>
          <w:b/>
          <w:bCs/>
          <w:sz w:val="32"/>
          <w:szCs w:val="32"/>
        </w:rPr>
      </w:pPr>
      <w:r w:rsidRPr="00406FC8">
        <w:rPr>
          <w:b/>
          <w:bCs/>
          <w:sz w:val="32"/>
          <w:szCs w:val="32"/>
        </w:rPr>
        <w:t xml:space="preserve">References </w:t>
      </w:r>
    </w:p>
    <w:p w14:paraId="0BC51396" w14:textId="77777777" w:rsidR="004A275E" w:rsidRDefault="004A275E" w:rsidP="004A275E">
      <w:pPr>
        <w:pStyle w:val="NormalWeb"/>
        <w:numPr>
          <w:ilvl w:val="0"/>
          <w:numId w:val="2"/>
        </w:numPr>
        <w:spacing w:before="0" w:beforeAutospacing="0" w:after="0" w:afterAutospacing="0" w:line="55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[1] Wang, J., Christensen, D., Coombes, S., &amp; When, Z. (2024, July 4). </w:t>
      </w:r>
      <w:r>
        <w:rPr>
          <w:rStyle w:val="Emphasis"/>
          <w:rFonts w:ascii="Calibri" w:hAnsi="Calibri" w:cs="Calibri"/>
          <w:sz w:val="22"/>
          <w:szCs w:val="22"/>
        </w:rPr>
        <w:t>Cognitive and brain morphological deviations in middle-to-old aged autistic adults: A systematic review and meta-analysis</w:t>
      </w:r>
      <w:r>
        <w:rPr>
          <w:rFonts w:ascii="Calibri" w:hAnsi="Calibri" w:cs="Calibri"/>
          <w:sz w:val="22"/>
          <w:szCs w:val="22"/>
        </w:rPr>
        <w:t xml:space="preserve">. ScienceDirect. </w:t>
      </w:r>
      <w:hyperlink r:id="rId16" w:anchor="bib75" w:history="1">
        <w:r>
          <w:rPr>
            <w:rStyle w:val="Hyperlink"/>
            <w:rFonts w:ascii="Calibri" w:hAnsi="Calibri" w:cs="Calibri"/>
            <w:sz w:val="22"/>
            <w:szCs w:val="22"/>
          </w:rPr>
          <w:t>https://www.sciencedirect.com/science/article/pii/S0149763424002513?ref=pdf_download&amp;fr=RR-2&amp;rr=8dc3ce496a882eb2#bib75</w:t>
        </w:r>
      </w:hyperlink>
    </w:p>
    <w:p w14:paraId="156982A1" w14:textId="146A8DAF" w:rsidR="004A275E" w:rsidRPr="004A275E" w:rsidRDefault="004A275E" w:rsidP="004A275E">
      <w:pPr>
        <w:pStyle w:val="NormalWeb"/>
        <w:numPr>
          <w:ilvl w:val="0"/>
          <w:numId w:val="2"/>
        </w:numPr>
        <w:spacing w:before="0" w:beforeAutospacing="0" w:after="0" w:afterAutospacing="0" w:line="55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[2] Wang, Z. (2024, February 27). </w:t>
      </w:r>
      <w:r>
        <w:rPr>
          <w:rStyle w:val="Emphasis"/>
          <w:rFonts w:ascii="Calibri" w:hAnsi="Calibri" w:cs="Calibri"/>
          <w:sz w:val="22"/>
          <w:szCs w:val="22"/>
        </w:rPr>
        <w:t>Cognitive and brain morphological deviations in middle-to-old aged autistic adults: A systematic review and meta-analysis: Appendix A. Supplementary Material</w:t>
      </w:r>
      <w:r>
        <w:rPr>
          <w:rFonts w:ascii="Calibri" w:hAnsi="Calibri" w:cs="Calibri"/>
          <w:sz w:val="22"/>
          <w:szCs w:val="22"/>
        </w:rPr>
        <w:t xml:space="preserve">. ScienceDirect. </w:t>
      </w:r>
      <w:hyperlink r:id="rId17" w:history="1">
        <w:r>
          <w:rPr>
            <w:rStyle w:val="Hyperlink"/>
            <w:rFonts w:ascii="Calibri" w:hAnsi="Calibri" w:cs="Calibri"/>
            <w:sz w:val="22"/>
            <w:szCs w:val="22"/>
          </w:rPr>
          <w:t>https://www.sciencedirect.com/science/article/pii/S0149763424002513?ref=pdf_download&amp;fr=RR-2&amp;rr=8de3d3a84ad62e94</w:t>
        </w:r>
      </w:hyperlink>
    </w:p>
    <w:p w14:paraId="5A6F70D5" w14:textId="62313921" w:rsidR="004A275E" w:rsidRPr="004A275E" w:rsidRDefault="004A275E" w:rsidP="004A275E">
      <w:pPr>
        <w:pStyle w:val="NormalWeb"/>
        <w:numPr>
          <w:ilvl w:val="0"/>
          <w:numId w:val="2"/>
        </w:numPr>
        <w:spacing w:before="0" w:beforeAutospacing="0" w:after="0" w:afterAutospacing="0" w:line="55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[3] Higgins, J. P., &amp; Thompson, S. G. (2002, May 21). </w:t>
      </w:r>
      <w:r>
        <w:rPr>
          <w:rStyle w:val="Emphasis"/>
          <w:rFonts w:ascii="Calibri" w:hAnsi="Calibri" w:cs="Calibri"/>
          <w:sz w:val="22"/>
          <w:szCs w:val="22"/>
        </w:rPr>
        <w:t>Quantifying heterogeneity in a meta-analysis</w:t>
      </w:r>
      <w:r>
        <w:rPr>
          <w:rFonts w:ascii="Calibri" w:hAnsi="Calibri" w:cs="Calibri"/>
          <w:sz w:val="22"/>
          <w:szCs w:val="22"/>
        </w:rPr>
        <w:t xml:space="preserve">. Wiley Online Library. </w:t>
      </w:r>
      <w:hyperlink r:id="rId18" w:history="1">
        <w:r>
          <w:rPr>
            <w:rStyle w:val="Hyperlink"/>
            <w:rFonts w:ascii="Calibri" w:hAnsi="Calibri" w:cs="Calibri"/>
            <w:sz w:val="22"/>
            <w:szCs w:val="22"/>
          </w:rPr>
          <w:t>https://onlinelibrary.wiley.com/doi/10.1002/sim.1186</w:t>
        </w:r>
      </w:hyperlink>
    </w:p>
    <w:p w14:paraId="35A023DA" w14:textId="46C04DA4" w:rsidR="00C429BD" w:rsidRDefault="00C429BD" w:rsidP="00C429BD">
      <w:pPr>
        <w:pStyle w:val="NormalWeb"/>
        <w:numPr>
          <w:ilvl w:val="0"/>
          <w:numId w:val="2"/>
        </w:numPr>
        <w:spacing w:before="0" w:beforeAutospacing="0" w:after="0" w:afterAutospacing="0" w:line="55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[4] DataCamp. (n.d.). </w:t>
      </w:r>
      <w:r>
        <w:rPr>
          <w:rStyle w:val="Emphasis"/>
          <w:rFonts w:ascii="Calibri" w:hAnsi="Calibri" w:cs="Calibri"/>
          <w:sz w:val="22"/>
          <w:szCs w:val="22"/>
        </w:rPr>
        <w:t>rma.uni: Meta-Analysis via Linear (Mixed-Effects) Models</w:t>
      </w:r>
      <w:r>
        <w:rPr>
          <w:rFonts w:ascii="Calibri" w:hAnsi="Calibri" w:cs="Calibri"/>
          <w:sz w:val="22"/>
          <w:szCs w:val="22"/>
        </w:rPr>
        <w:t xml:space="preserve">. </w:t>
      </w:r>
      <w:hyperlink r:id="rId19" w:history="1">
        <w:r>
          <w:rPr>
            <w:rStyle w:val="Hyperlink"/>
            <w:rFonts w:ascii="Calibri" w:hAnsi="Calibri" w:cs="Calibri"/>
            <w:sz w:val="22"/>
            <w:szCs w:val="22"/>
          </w:rPr>
          <w:t>https://www.rdocumentation.org/packages/metafor/versions/2.4-0/topics/rma.uni</w:t>
        </w:r>
      </w:hyperlink>
    </w:p>
    <w:p w14:paraId="2F01AA45" w14:textId="745EC470" w:rsidR="00C429BD" w:rsidRDefault="0096592A" w:rsidP="00C429BD">
      <w:pPr>
        <w:pStyle w:val="NormalWeb"/>
        <w:numPr>
          <w:ilvl w:val="0"/>
          <w:numId w:val="2"/>
        </w:numPr>
        <w:spacing w:before="0" w:beforeAutospacing="0" w:after="0" w:afterAutospacing="0" w:line="55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ES"/>
        </w:rPr>
        <w:lastRenderedPageBreak/>
        <w:t>[5]</w:t>
      </w:r>
      <w:r w:rsidR="00C429BD" w:rsidRPr="00C429BD">
        <w:rPr>
          <w:rFonts w:ascii="Calibri" w:hAnsi="Calibri" w:cs="Calibri"/>
          <w:sz w:val="22"/>
          <w:szCs w:val="22"/>
          <w:lang w:val="es-ES"/>
        </w:rPr>
        <w:t xml:space="preserve">Nordmann, A. J., Kasenda, B., &amp; Briel, M. (n.d.). </w:t>
      </w:r>
      <w:r w:rsidR="00C429BD">
        <w:rPr>
          <w:rStyle w:val="Emphasis"/>
          <w:rFonts w:ascii="Calibri" w:hAnsi="Calibri" w:cs="Calibri"/>
          <w:sz w:val="22"/>
          <w:szCs w:val="22"/>
        </w:rPr>
        <w:t>Meta-analyses: What they can and cannot do</w:t>
      </w:r>
      <w:r w:rsidR="00C429BD">
        <w:rPr>
          <w:rFonts w:ascii="Calibri" w:hAnsi="Calibri" w:cs="Calibri"/>
          <w:sz w:val="22"/>
          <w:szCs w:val="22"/>
        </w:rPr>
        <w:t xml:space="preserve">. Swiss Medical Weekly. </w:t>
      </w:r>
      <w:hyperlink r:id="rId20" w:history="1">
        <w:r w:rsidR="00C429BD">
          <w:rPr>
            <w:rStyle w:val="Hyperlink"/>
            <w:rFonts w:ascii="Calibri" w:hAnsi="Calibri" w:cs="Calibri"/>
            <w:sz w:val="22"/>
            <w:szCs w:val="22"/>
          </w:rPr>
          <w:t>https://smw.ch/index.php/smw/article/download/1434/1753?inline=1</w:t>
        </w:r>
      </w:hyperlink>
    </w:p>
    <w:p w14:paraId="0FFD2316" w14:textId="77777777" w:rsidR="00C429BD" w:rsidRPr="00406FC8" w:rsidRDefault="00C429BD" w:rsidP="00C429BD">
      <w:pPr>
        <w:pStyle w:val="ListParagraph"/>
        <w:rPr>
          <w:rStyle w:val="Hyperlink"/>
          <w:color w:val="auto"/>
          <w:u w:val="none"/>
        </w:rPr>
      </w:pPr>
    </w:p>
    <w:p w14:paraId="69C6520B" w14:textId="77777777" w:rsidR="006505B5" w:rsidRPr="00406FC8" w:rsidRDefault="006505B5" w:rsidP="00055EB7">
      <w:pPr>
        <w:rPr>
          <w:b/>
          <w:bCs/>
          <w:sz w:val="32"/>
          <w:szCs w:val="32"/>
        </w:rPr>
      </w:pPr>
    </w:p>
    <w:p w14:paraId="70D44292" w14:textId="77777777" w:rsidR="007042E6" w:rsidRPr="00406FC8" w:rsidRDefault="007042E6">
      <w:pPr>
        <w:rPr>
          <w:b/>
          <w:bCs/>
        </w:rPr>
      </w:pPr>
    </w:p>
    <w:p w14:paraId="02F407D8" w14:textId="77777777" w:rsidR="007042E6" w:rsidRPr="00D4029C" w:rsidRDefault="007042E6">
      <w:pPr>
        <w:rPr>
          <w:b/>
          <w:bCs/>
          <w:lang w:val="en-US"/>
        </w:rPr>
      </w:pPr>
    </w:p>
    <w:sectPr w:rsidR="007042E6" w:rsidRPr="00D4029C" w:rsidSect="003B023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B47DB" w14:textId="77777777" w:rsidR="00252A5C" w:rsidRPr="00406FC8" w:rsidRDefault="00252A5C" w:rsidP="00B40620">
      <w:pPr>
        <w:spacing w:after="0" w:line="240" w:lineRule="auto"/>
      </w:pPr>
      <w:r w:rsidRPr="00406FC8">
        <w:separator/>
      </w:r>
    </w:p>
  </w:endnote>
  <w:endnote w:type="continuationSeparator" w:id="0">
    <w:p w14:paraId="5FAC8EF8" w14:textId="77777777" w:rsidR="00252A5C" w:rsidRPr="00406FC8" w:rsidRDefault="00252A5C" w:rsidP="00B40620">
      <w:pPr>
        <w:spacing w:after="0" w:line="240" w:lineRule="auto"/>
      </w:pPr>
      <w:r w:rsidRPr="00406FC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996C8F" w14:textId="77777777" w:rsidR="00252A5C" w:rsidRPr="00406FC8" w:rsidRDefault="00252A5C" w:rsidP="00B40620">
      <w:pPr>
        <w:spacing w:after="0" w:line="240" w:lineRule="auto"/>
      </w:pPr>
      <w:r w:rsidRPr="00406FC8">
        <w:separator/>
      </w:r>
    </w:p>
  </w:footnote>
  <w:footnote w:type="continuationSeparator" w:id="0">
    <w:p w14:paraId="41FBD253" w14:textId="77777777" w:rsidR="00252A5C" w:rsidRPr="00406FC8" w:rsidRDefault="00252A5C" w:rsidP="00B40620">
      <w:pPr>
        <w:spacing w:after="0" w:line="240" w:lineRule="auto"/>
      </w:pPr>
      <w:r w:rsidRPr="00406FC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20310"/>
    <w:multiLevelType w:val="hybridMultilevel"/>
    <w:tmpl w:val="00D08866"/>
    <w:lvl w:ilvl="0" w:tplc="51C2DBB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74C5A"/>
    <w:multiLevelType w:val="hybridMultilevel"/>
    <w:tmpl w:val="C7CA4C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30F6E"/>
    <w:multiLevelType w:val="hybridMultilevel"/>
    <w:tmpl w:val="346A48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95C77"/>
    <w:multiLevelType w:val="multilevel"/>
    <w:tmpl w:val="3674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508930">
    <w:abstractNumId w:val="3"/>
  </w:num>
  <w:num w:numId="2" w16cid:durableId="538125083">
    <w:abstractNumId w:val="1"/>
  </w:num>
  <w:num w:numId="3" w16cid:durableId="1324118114">
    <w:abstractNumId w:val="0"/>
  </w:num>
  <w:num w:numId="4" w16cid:durableId="1648171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67"/>
    <w:rsid w:val="000004AA"/>
    <w:rsid w:val="00001622"/>
    <w:rsid w:val="00001E2A"/>
    <w:rsid w:val="00001EA9"/>
    <w:rsid w:val="00005AFE"/>
    <w:rsid w:val="00010F9D"/>
    <w:rsid w:val="00012A94"/>
    <w:rsid w:val="00015138"/>
    <w:rsid w:val="000177F7"/>
    <w:rsid w:val="00024B98"/>
    <w:rsid w:val="00026AE7"/>
    <w:rsid w:val="00027183"/>
    <w:rsid w:val="00027F21"/>
    <w:rsid w:val="00041331"/>
    <w:rsid w:val="000419E5"/>
    <w:rsid w:val="00042597"/>
    <w:rsid w:val="00044CEF"/>
    <w:rsid w:val="00046A9D"/>
    <w:rsid w:val="000471EC"/>
    <w:rsid w:val="00054658"/>
    <w:rsid w:val="00055EB7"/>
    <w:rsid w:val="00057AD0"/>
    <w:rsid w:val="0006331F"/>
    <w:rsid w:val="00065B28"/>
    <w:rsid w:val="000668B9"/>
    <w:rsid w:val="000710FB"/>
    <w:rsid w:val="0007558E"/>
    <w:rsid w:val="00080ADB"/>
    <w:rsid w:val="00082745"/>
    <w:rsid w:val="00082BF0"/>
    <w:rsid w:val="000912F3"/>
    <w:rsid w:val="000929C9"/>
    <w:rsid w:val="00095F96"/>
    <w:rsid w:val="000A0797"/>
    <w:rsid w:val="000A142B"/>
    <w:rsid w:val="000A27F0"/>
    <w:rsid w:val="000A470E"/>
    <w:rsid w:val="000B2BFA"/>
    <w:rsid w:val="000B4E4B"/>
    <w:rsid w:val="000B613A"/>
    <w:rsid w:val="000B6F9A"/>
    <w:rsid w:val="000B7405"/>
    <w:rsid w:val="000C05B6"/>
    <w:rsid w:val="000C797D"/>
    <w:rsid w:val="000D0CA9"/>
    <w:rsid w:val="000D11E1"/>
    <w:rsid w:val="000D1B3E"/>
    <w:rsid w:val="000D1BEB"/>
    <w:rsid w:val="000D68B2"/>
    <w:rsid w:val="000E109B"/>
    <w:rsid w:val="000E144D"/>
    <w:rsid w:val="000E304D"/>
    <w:rsid w:val="000F10D8"/>
    <w:rsid w:val="000F2470"/>
    <w:rsid w:val="000F3D87"/>
    <w:rsid w:val="000F6F0D"/>
    <w:rsid w:val="001017EE"/>
    <w:rsid w:val="00103B56"/>
    <w:rsid w:val="00104BC7"/>
    <w:rsid w:val="001059A7"/>
    <w:rsid w:val="001060D1"/>
    <w:rsid w:val="001068B9"/>
    <w:rsid w:val="00114E86"/>
    <w:rsid w:val="00115D28"/>
    <w:rsid w:val="00135823"/>
    <w:rsid w:val="00137103"/>
    <w:rsid w:val="001376AF"/>
    <w:rsid w:val="0014068F"/>
    <w:rsid w:val="001416BC"/>
    <w:rsid w:val="00145452"/>
    <w:rsid w:val="00145C52"/>
    <w:rsid w:val="0014698D"/>
    <w:rsid w:val="00154289"/>
    <w:rsid w:val="001546F8"/>
    <w:rsid w:val="00154733"/>
    <w:rsid w:val="00156782"/>
    <w:rsid w:val="00157040"/>
    <w:rsid w:val="001576A5"/>
    <w:rsid w:val="001606A4"/>
    <w:rsid w:val="00161006"/>
    <w:rsid w:val="00162E9C"/>
    <w:rsid w:val="00162F01"/>
    <w:rsid w:val="00175C29"/>
    <w:rsid w:val="00175F23"/>
    <w:rsid w:val="0017793A"/>
    <w:rsid w:val="00177F5E"/>
    <w:rsid w:val="00180E4C"/>
    <w:rsid w:val="00181F6C"/>
    <w:rsid w:val="00183457"/>
    <w:rsid w:val="00183967"/>
    <w:rsid w:val="001851F9"/>
    <w:rsid w:val="00185FE5"/>
    <w:rsid w:val="00193D23"/>
    <w:rsid w:val="00194D95"/>
    <w:rsid w:val="001954CA"/>
    <w:rsid w:val="00195AC7"/>
    <w:rsid w:val="00197772"/>
    <w:rsid w:val="001A1C08"/>
    <w:rsid w:val="001A2885"/>
    <w:rsid w:val="001A3137"/>
    <w:rsid w:val="001B1A9B"/>
    <w:rsid w:val="001B3804"/>
    <w:rsid w:val="001B3D52"/>
    <w:rsid w:val="001B4C3A"/>
    <w:rsid w:val="001B73C2"/>
    <w:rsid w:val="001B790D"/>
    <w:rsid w:val="001C31E1"/>
    <w:rsid w:val="001C42B6"/>
    <w:rsid w:val="001D53C0"/>
    <w:rsid w:val="001D6F39"/>
    <w:rsid w:val="001E0431"/>
    <w:rsid w:val="001E37C4"/>
    <w:rsid w:val="001E3811"/>
    <w:rsid w:val="001E54B0"/>
    <w:rsid w:val="001E5D18"/>
    <w:rsid w:val="001F081A"/>
    <w:rsid w:val="001F12A4"/>
    <w:rsid w:val="001F1B5F"/>
    <w:rsid w:val="001F4EB0"/>
    <w:rsid w:val="001F613C"/>
    <w:rsid w:val="001F686A"/>
    <w:rsid w:val="001F6C2C"/>
    <w:rsid w:val="001F6C4A"/>
    <w:rsid w:val="002006AC"/>
    <w:rsid w:val="00202EFF"/>
    <w:rsid w:val="002036FD"/>
    <w:rsid w:val="00204BF8"/>
    <w:rsid w:val="00204BFE"/>
    <w:rsid w:val="0021140D"/>
    <w:rsid w:val="00211BB1"/>
    <w:rsid w:val="002157BB"/>
    <w:rsid w:val="0022268B"/>
    <w:rsid w:val="00227E28"/>
    <w:rsid w:val="00227E41"/>
    <w:rsid w:val="00235D82"/>
    <w:rsid w:val="00243089"/>
    <w:rsid w:val="00244EF0"/>
    <w:rsid w:val="0024767A"/>
    <w:rsid w:val="002508FD"/>
    <w:rsid w:val="002526A4"/>
    <w:rsid w:val="00252A5C"/>
    <w:rsid w:val="002539BE"/>
    <w:rsid w:val="00255D12"/>
    <w:rsid w:val="00257464"/>
    <w:rsid w:val="00260913"/>
    <w:rsid w:val="0026133B"/>
    <w:rsid w:val="00261F90"/>
    <w:rsid w:val="002646E4"/>
    <w:rsid w:val="00267417"/>
    <w:rsid w:val="0027332C"/>
    <w:rsid w:val="002749E1"/>
    <w:rsid w:val="00275D4F"/>
    <w:rsid w:val="00276E57"/>
    <w:rsid w:val="00280838"/>
    <w:rsid w:val="00282423"/>
    <w:rsid w:val="00283A52"/>
    <w:rsid w:val="002869DC"/>
    <w:rsid w:val="00287223"/>
    <w:rsid w:val="002907BC"/>
    <w:rsid w:val="00292291"/>
    <w:rsid w:val="002950A3"/>
    <w:rsid w:val="0029548A"/>
    <w:rsid w:val="00296A4F"/>
    <w:rsid w:val="002A06C5"/>
    <w:rsid w:val="002A130E"/>
    <w:rsid w:val="002A18F7"/>
    <w:rsid w:val="002A27E6"/>
    <w:rsid w:val="002A6A65"/>
    <w:rsid w:val="002B10ED"/>
    <w:rsid w:val="002B719D"/>
    <w:rsid w:val="002C46DB"/>
    <w:rsid w:val="002C549D"/>
    <w:rsid w:val="002C7ACA"/>
    <w:rsid w:val="002D0297"/>
    <w:rsid w:val="002D0943"/>
    <w:rsid w:val="002D2008"/>
    <w:rsid w:val="002D2693"/>
    <w:rsid w:val="002E2ED1"/>
    <w:rsid w:val="002E4905"/>
    <w:rsid w:val="002E54C3"/>
    <w:rsid w:val="002E5EF0"/>
    <w:rsid w:val="002F35D9"/>
    <w:rsid w:val="002F7642"/>
    <w:rsid w:val="00300479"/>
    <w:rsid w:val="003022E2"/>
    <w:rsid w:val="003079D2"/>
    <w:rsid w:val="00311246"/>
    <w:rsid w:val="00317E0A"/>
    <w:rsid w:val="00320379"/>
    <w:rsid w:val="003222BD"/>
    <w:rsid w:val="00327118"/>
    <w:rsid w:val="003276B5"/>
    <w:rsid w:val="00332305"/>
    <w:rsid w:val="00334442"/>
    <w:rsid w:val="00337D12"/>
    <w:rsid w:val="00342B89"/>
    <w:rsid w:val="00347BCF"/>
    <w:rsid w:val="00352A33"/>
    <w:rsid w:val="00352A4A"/>
    <w:rsid w:val="00353CDD"/>
    <w:rsid w:val="00353D90"/>
    <w:rsid w:val="00355044"/>
    <w:rsid w:val="003630B5"/>
    <w:rsid w:val="00366284"/>
    <w:rsid w:val="0036697E"/>
    <w:rsid w:val="00370E95"/>
    <w:rsid w:val="00372312"/>
    <w:rsid w:val="00377780"/>
    <w:rsid w:val="00380994"/>
    <w:rsid w:val="003832EA"/>
    <w:rsid w:val="00383316"/>
    <w:rsid w:val="00390FF1"/>
    <w:rsid w:val="00392F7E"/>
    <w:rsid w:val="00393844"/>
    <w:rsid w:val="00394C6D"/>
    <w:rsid w:val="00396D4C"/>
    <w:rsid w:val="00396F67"/>
    <w:rsid w:val="003A0322"/>
    <w:rsid w:val="003A1031"/>
    <w:rsid w:val="003A7F00"/>
    <w:rsid w:val="003B0231"/>
    <w:rsid w:val="003B1575"/>
    <w:rsid w:val="003B217B"/>
    <w:rsid w:val="003B71A2"/>
    <w:rsid w:val="003C006E"/>
    <w:rsid w:val="003C056F"/>
    <w:rsid w:val="003D1BC9"/>
    <w:rsid w:val="003D21B6"/>
    <w:rsid w:val="003E2178"/>
    <w:rsid w:val="003E3CE8"/>
    <w:rsid w:val="003E6524"/>
    <w:rsid w:val="003F010C"/>
    <w:rsid w:val="003F01B8"/>
    <w:rsid w:val="003F0361"/>
    <w:rsid w:val="003F2EAE"/>
    <w:rsid w:val="003F671F"/>
    <w:rsid w:val="004009B1"/>
    <w:rsid w:val="00402801"/>
    <w:rsid w:val="00404761"/>
    <w:rsid w:val="004065F3"/>
    <w:rsid w:val="00406FC8"/>
    <w:rsid w:val="0040760A"/>
    <w:rsid w:val="00412F79"/>
    <w:rsid w:val="00414C20"/>
    <w:rsid w:val="00416685"/>
    <w:rsid w:val="00421F8A"/>
    <w:rsid w:val="004249C4"/>
    <w:rsid w:val="00425B38"/>
    <w:rsid w:val="004262A5"/>
    <w:rsid w:val="00430834"/>
    <w:rsid w:val="00432C17"/>
    <w:rsid w:val="004330A0"/>
    <w:rsid w:val="00433E54"/>
    <w:rsid w:val="00442EAF"/>
    <w:rsid w:val="00446B6C"/>
    <w:rsid w:val="00447F65"/>
    <w:rsid w:val="00451446"/>
    <w:rsid w:val="00451C2A"/>
    <w:rsid w:val="0045255A"/>
    <w:rsid w:val="00456C5D"/>
    <w:rsid w:val="004575D4"/>
    <w:rsid w:val="00463C8B"/>
    <w:rsid w:val="00473675"/>
    <w:rsid w:val="00473C3B"/>
    <w:rsid w:val="004811DB"/>
    <w:rsid w:val="00491F81"/>
    <w:rsid w:val="004926E8"/>
    <w:rsid w:val="00493552"/>
    <w:rsid w:val="00493F66"/>
    <w:rsid w:val="004A275E"/>
    <w:rsid w:val="004A5D00"/>
    <w:rsid w:val="004A702D"/>
    <w:rsid w:val="004A7798"/>
    <w:rsid w:val="004B488F"/>
    <w:rsid w:val="004B49DF"/>
    <w:rsid w:val="004B6248"/>
    <w:rsid w:val="004B6DF9"/>
    <w:rsid w:val="004C1E72"/>
    <w:rsid w:val="004C2C74"/>
    <w:rsid w:val="004C2C81"/>
    <w:rsid w:val="004D3EB5"/>
    <w:rsid w:val="004E0A6E"/>
    <w:rsid w:val="004E31E8"/>
    <w:rsid w:val="004E4EAF"/>
    <w:rsid w:val="004F032A"/>
    <w:rsid w:val="004F03C0"/>
    <w:rsid w:val="004F4F75"/>
    <w:rsid w:val="004F7F97"/>
    <w:rsid w:val="0050254D"/>
    <w:rsid w:val="00502664"/>
    <w:rsid w:val="00502ABC"/>
    <w:rsid w:val="00503681"/>
    <w:rsid w:val="005044F0"/>
    <w:rsid w:val="005119E5"/>
    <w:rsid w:val="00513A2E"/>
    <w:rsid w:val="00515FCD"/>
    <w:rsid w:val="005169D3"/>
    <w:rsid w:val="00516A01"/>
    <w:rsid w:val="00516C0E"/>
    <w:rsid w:val="00517422"/>
    <w:rsid w:val="00517E6F"/>
    <w:rsid w:val="00524E8C"/>
    <w:rsid w:val="00526B5C"/>
    <w:rsid w:val="00527065"/>
    <w:rsid w:val="00531BA5"/>
    <w:rsid w:val="00535D7D"/>
    <w:rsid w:val="00535DD8"/>
    <w:rsid w:val="00540FBC"/>
    <w:rsid w:val="00543E4E"/>
    <w:rsid w:val="00554D07"/>
    <w:rsid w:val="005555F1"/>
    <w:rsid w:val="00555A07"/>
    <w:rsid w:val="00557993"/>
    <w:rsid w:val="00563352"/>
    <w:rsid w:val="00571032"/>
    <w:rsid w:val="0057479A"/>
    <w:rsid w:val="00586A41"/>
    <w:rsid w:val="00587852"/>
    <w:rsid w:val="00587998"/>
    <w:rsid w:val="00592BE4"/>
    <w:rsid w:val="005A428B"/>
    <w:rsid w:val="005A4420"/>
    <w:rsid w:val="005A4864"/>
    <w:rsid w:val="005A4F53"/>
    <w:rsid w:val="005A7A87"/>
    <w:rsid w:val="005B4A69"/>
    <w:rsid w:val="005C364D"/>
    <w:rsid w:val="005D1EE1"/>
    <w:rsid w:val="005D751B"/>
    <w:rsid w:val="005E15FB"/>
    <w:rsid w:val="005F2BD1"/>
    <w:rsid w:val="005F2CE3"/>
    <w:rsid w:val="005F421E"/>
    <w:rsid w:val="005F716E"/>
    <w:rsid w:val="00600A95"/>
    <w:rsid w:val="00603237"/>
    <w:rsid w:val="00604886"/>
    <w:rsid w:val="00604E48"/>
    <w:rsid w:val="006054BB"/>
    <w:rsid w:val="006059F2"/>
    <w:rsid w:val="006076A0"/>
    <w:rsid w:val="00610BC1"/>
    <w:rsid w:val="00612589"/>
    <w:rsid w:val="00614DA7"/>
    <w:rsid w:val="006200F2"/>
    <w:rsid w:val="0062323E"/>
    <w:rsid w:val="00625D17"/>
    <w:rsid w:val="00630BD1"/>
    <w:rsid w:val="006347AE"/>
    <w:rsid w:val="00635CF7"/>
    <w:rsid w:val="00644F28"/>
    <w:rsid w:val="006505B5"/>
    <w:rsid w:val="00650BC1"/>
    <w:rsid w:val="00660B8E"/>
    <w:rsid w:val="0066337D"/>
    <w:rsid w:val="00663C93"/>
    <w:rsid w:val="00671324"/>
    <w:rsid w:val="00671E76"/>
    <w:rsid w:val="00682270"/>
    <w:rsid w:val="006857A1"/>
    <w:rsid w:val="0069050F"/>
    <w:rsid w:val="006949FA"/>
    <w:rsid w:val="00695C87"/>
    <w:rsid w:val="006A085F"/>
    <w:rsid w:val="006B5C00"/>
    <w:rsid w:val="006C26B1"/>
    <w:rsid w:val="006C3067"/>
    <w:rsid w:val="006C3319"/>
    <w:rsid w:val="006C578A"/>
    <w:rsid w:val="006C7686"/>
    <w:rsid w:val="006C77ED"/>
    <w:rsid w:val="006C78D8"/>
    <w:rsid w:val="006D0CA5"/>
    <w:rsid w:val="006D210D"/>
    <w:rsid w:val="006D22A6"/>
    <w:rsid w:val="006D555C"/>
    <w:rsid w:val="006D6145"/>
    <w:rsid w:val="006E0BBB"/>
    <w:rsid w:val="006E1357"/>
    <w:rsid w:val="006E245D"/>
    <w:rsid w:val="006E67F8"/>
    <w:rsid w:val="006F0992"/>
    <w:rsid w:val="006F1579"/>
    <w:rsid w:val="006F1B82"/>
    <w:rsid w:val="006F48B8"/>
    <w:rsid w:val="006F6972"/>
    <w:rsid w:val="006F6E69"/>
    <w:rsid w:val="007042E6"/>
    <w:rsid w:val="0071021A"/>
    <w:rsid w:val="00716683"/>
    <w:rsid w:val="00716EDD"/>
    <w:rsid w:val="00720EB9"/>
    <w:rsid w:val="00721C3B"/>
    <w:rsid w:val="0072311E"/>
    <w:rsid w:val="007259A3"/>
    <w:rsid w:val="00734436"/>
    <w:rsid w:val="0073580E"/>
    <w:rsid w:val="00740B03"/>
    <w:rsid w:val="00743407"/>
    <w:rsid w:val="0074362D"/>
    <w:rsid w:val="00744DD3"/>
    <w:rsid w:val="007513ED"/>
    <w:rsid w:val="00753BC7"/>
    <w:rsid w:val="00755B8F"/>
    <w:rsid w:val="00755E32"/>
    <w:rsid w:val="0075633F"/>
    <w:rsid w:val="00756F07"/>
    <w:rsid w:val="007608A9"/>
    <w:rsid w:val="00762154"/>
    <w:rsid w:val="007640F4"/>
    <w:rsid w:val="007675F6"/>
    <w:rsid w:val="007676C1"/>
    <w:rsid w:val="007713CF"/>
    <w:rsid w:val="007715E6"/>
    <w:rsid w:val="0077407B"/>
    <w:rsid w:val="007758F5"/>
    <w:rsid w:val="00776A18"/>
    <w:rsid w:val="007778AE"/>
    <w:rsid w:val="00777D04"/>
    <w:rsid w:val="00777D6C"/>
    <w:rsid w:val="007829F8"/>
    <w:rsid w:val="00785272"/>
    <w:rsid w:val="0079069C"/>
    <w:rsid w:val="00791608"/>
    <w:rsid w:val="007917A9"/>
    <w:rsid w:val="007934B9"/>
    <w:rsid w:val="007A04B1"/>
    <w:rsid w:val="007A6E1E"/>
    <w:rsid w:val="007B198D"/>
    <w:rsid w:val="007B2D65"/>
    <w:rsid w:val="007B6B05"/>
    <w:rsid w:val="007C300B"/>
    <w:rsid w:val="007C4FBD"/>
    <w:rsid w:val="007C5F1F"/>
    <w:rsid w:val="007C6A0B"/>
    <w:rsid w:val="007D1190"/>
    <w:rsid w:val="007D668D"/>
    <w:rsid w:val="007E090E"/>
    <w:rsid w:val="007E0E2F"/>
    <w:rsid w:val="007F142C"/>
    <w:rsid w:val="007F2D0B"/>
    <w:rsid w:val="007F2F4A"/>
    <w:rsid w:val="007F71D0"/>
    <w:rsid w:val="008026CC"/>
    <w:rsid w:val="00803326"/>
    <w:rsid w:val="0080407B"/>
    <w:rsid w:val="0080617E"/>
    <w:rsid w:val="008063E6"/>
    <w:rsid w:val="0082081A"/>
    <w:rsid w:val="00820EB7"/>
    <w:rsid w:val="00824CC6"/>
    <w:rsid w:val="00830232"/>
    <w:rsid w:val="00831FB2"/>
    <w:rsid w:val="00841F03"/>
    <w:rsid w:val="00842E84"/>
    <w:rsid w:val="008441FE"/>
    <w:rsid w:val="00846D59"/>
    <w:rsid w:val="00846EE8"/>
    <w:rsid w:val="00847718"/>
    <w:rsid w:val="00850D2B"/>
    <w:rsid w:val="00851C47"/>
    <w:rsid w:val="0085758D"/>
    <w:rsid w:val="008607A6"/>
    <w:rsid w:val="008647EB"/>
    <w:rsid w:val="00870CF9"/>
    <w:rsid w:val="00872692"/>
    <w:rsid w:val="00872D7A"/>
    <w:rsid w:val="00874679"/>
    <w:rsid w:val="00875EB7"/>
    <w:rsid w:val="00880FB6"/>
    <w:rsid w:val="008810B7"/>
    <w:rsid w:val="00891972"/>
    <w:rsid w:val="00894F74"/>
    <w:rsid w:val="00896B40"/>
    <w:rsid w:val="008970B3"/>
    <w:rsid w:val="008A1D61"/>
    <w:rsid w:val="008A2AC5"/>
    <w:rsid w:val="008A31E0"/>
    <w:rsid w:val="008A4D3E"/>
    <w:rsid w:val="008B01A3"/>
    <w:rsid w:val="008B0C00"/>
    <w:rsid w:val="008B1DD3"/>
    <w:rsid w:val="008B2E8D"/>
    <w:rsid w:val="008B5BC9"/>
    <w:rsid w:val="008B6C01"/>
    <w:rsid w:val="008B7290"/>
    <w:rsid w:val="008C0567"/>
    <w:rsid w:val="008C23C9"/>
    <w:rsid w:val="008C40E9"/>
    <w:rsid w:val="008C4DE5"/>
    <w:rsid w:val="008D0564"/>
    <w:rsid w:val="008D147D"/>
    <w:rsid w:val="008D2CE3"/>
    <w:rsid w:val="008E039A"/>
    <w:rsid w:val="008E0E59"/>
    <w:rsid w:val="008E40D4"/>
    <w:rsid w:val="008E4988"/>
    <w:rsid w:val="008E4F47"/>
    <w:rsid w:val="008E523B"/>
    <w:rsid w:val="008E5ECC"/>
    <w:rsid w:val="008E63FC"/>
    <w:rsid w:val="008E72A8"/>
    <w:rsid w:val="008F2E16"/>
    <w:rsid w:val="008F35B7"/>
    <w:rsid w:val="008F3775"/>
    <w:rsid w:val="008F439C"/>
    <w:rsid w:val="008F60A1"/>
    <w:rsid w:val="008F7EB5"/>
    <w:rsid w:val="0090054A"/>
    <w:rsid w:val="0090314F"/>
    <w:rsid w:val="009046EE"/>
    <w:rsid w:val="009131F4"/>
    <w:rsid w:val="00913320"/>
    <w:rsid w:val="009145AC"/>
    <w:rsid w:val="00915A32"/>
    <w:rsid w:val="0091785A"/>
    <w:rsid w:val="009206BA"/>
    <w:rsid w:val="009217B3"/>
    <w:rsid w:val="00924DE7"/>
    <w:rsid w:val="00926088"/>
    <w:rsid w:val="00927749"/>
    <w:rsid w:val="00933FB3"/>
    <w:rsid w:val="00935B0F"/>
    <w:rsid w:val="00943FFC"/>
    <w:rsid w:val="00944C79"/>
    <w:rsid w:val="009467F4"/>
    <w:rsid w:val="00952673"/>
    <w:rsid w:val="00955041"/>
    <w:rsid w:val="009578EA"/>
    <w:rsid w:val="0096169C"/>
    <w:rsid w:val="00964112"/>
    <w:rsid w:val="00965368"/>
    <w:rsid w:val="0096592A"/>
    <w:rsid w:val="00966531"/>
    <w:rsid w:val="00971BC6"/>
    <w:rsid w:val="00972335"/>
    <w:rsid w:val="009747A0"/>
    <w:rsid w:val="00982472"/>
    <w:rsid w:val="0098775F"/>
    <w:rsid w:val="00993718"/>
    <w:rsid w:val="00995FBD"/>
    <w:rsid w:val="009A699B"/>
    <w:rsid w:val="009A7A6B"/>
    <w:rsid w:val="009B15F8"/>
    <w:rsid w:val="009B452D"/>
    <w:rsid w:val="009B5D4E"/>
    <w:rsid w:val="009C29DE"/>
    <w:rsid w:val="009C6CE3"/>
    <w:rsid w:val="009D02EE"/>
    <w:rsid w:val="009D3355"/>
    <w:rsid w:val="009D7E52"/>
    <w:rsid w:val="009E1B91"/>
    <w:rsid w:val="009E1C36"/>
    <w:rsid w:val="009E36FC"/>
    <w:rsid w:val="009E4B2E"/>
    <w:rsid w:val="009E60D8"/>
    <w:rsid w:val="009F7085"/>
    <w:rsid w:val="00A0261F"/>
    <w:rsid w:val="00A04577"/>
    <w:rsid w:val="00A05F1C"/>
    <w:rsid w:val="00A07E00"/>
    <w:rsid w:val="00A1352B"/>
    <w:rsid w:val="00A160E0"/>
    <w:rsid w:val="00A161D2"/>
    <w:rsid w:val="00A17435"/>
    <w:rsid w:val="00A22340"/>
    <w:rsid w:val="00A25445"/>
    <w:rsid w:val="00A274F3"/>
    <w:rsid w:val="00A2780F"/>
    <w:rsid w:val="00A31AB0"/>
    <w:rsid w:val="00A36DDE"/>
    <w:rsid w:val="00A401A4"/>
    <w:rsid w:val="00A4034F"/>
    <w:rsid w:val="00A42517"/>
    <w:rsid w:val="00A427BC"/>
    <w:rsid w:val="00A42A08"/>
    <w:rsid w:val="00A50DA5"/>
    <w:rsid w:val="00A61603"/>
    <w:rsid w:val="00A62540"/>
    <w:rsid w:val="00A63ADC"/>
    <w:rsid w:val="00A70D5D"/>
    <w:rsid w:val="00A826D5"/>
    <w:rsid w:val="00A854CB"/>
    <w:rsid w:val="00A86A27"/>
    <w:rsid w:val="00A9077E"/>
    <w:rsid w:val="00A92082"/>
    <w:rsid w:val="00A9223D"/>
    <w:rsid w:val="00A9502C"/>
    <w:rsid w:val="00A95254"/>
    <w:rsid w:val="00A96E56"/>
    <w:rsid w:val="00AA13E2"/>
    <w:rsid w:val="00AA668C"/>
    <w:rsid w:val="00AB0C9C"/>
    <w:rsid w:val="00AB12E3"/>
    <w:rsid w:val="00AB2806"/>
    <w:rsid w:val="00AB6B5C"/>
    <w:rsid w:val="00AB6DEF"/>
    <w:rsid w:val="00AB7B51"/>
    <w:rsid w:val="00AC13ED"/>
    <w:rsid w:val="00AC3FD6"/>
    <w:rsid w:val="00AD0268"/>
    <w:rsid w:val="00AD126D"/>
    <w:rsid w:val="00AD4BBE"/>
    <w:rsid w:val="00AD5F4B"/>
    <w:rsid w:val="00AD637B"/>
    <w:rsid w:val="00AE1C3A"/>
    <w:rsid w:val="00AF20E5"/>
    <w:rsid w:val="00AF2978"/>
    <w:rsid w:val="00AF6782"/>
    <w:rsid w:val="00AF67D1"/>
    <w:rsid w:val="00B0042C"/>
    <w:rsid w:val="00B00E3B"/>
    <w:rsid w:val="00B02A62"/>
    <w:rsid w:val="00B03B94"/>
    <w:rsid w:val="00B05828"/>
    <w:rsid w:val="00B069CA"/>
    <w:rsid w:val="00B153C8"/>
    <w:rsid w:val="00B163DF"/>
    <w:rsid w:val="00B20190"/>
    <w:rsid w:val="00B20F84"/>
    <w:rsid w:val="00B2564F"/>
    <w:rsid w:val="00B303AC"/>
    <w:rsid w:val="00B342CF"/>
    <w:rsid w:val="00B34E25"/>
    <w:rsid w:val="00B36898"/>
    <w:rsid w:val="00B36966"/>
    <w:rsid w:val="00B40620"/>
    <w:rsid w:val="00B41643"/>
    <w:rsid w:val="00B4418C"/>
    <w:rsid w:val="00B44A5A"/>
    <w:rsid w:val="00B510BC"/>
    <w:rsid w:val="00B54A6F"/>
    <w:rsid w:val="00B56F4C"/>
    <w:rsid w:val="00B61A87"/>
    <w:rsid w:val="00B654E4"/>
    <w:rsid w:val="00B741A1"/>
    <w:rsid w:val="00B75092"/>
    <w:rsid w:val="00B76DC5"/>
    <w:rsid w:val="00B7787B"/>
    <w:rsid w:val="00B81E88"/>
    <w:rsid w:val="00B833FF"/>
    <w:rsid w:val="00B83AB3"/>
    <w:rsid w:val="00B853BD"/>
    <w:rsid w:val="00B87A01"/>
    <w:rsid w:val="00B9074C"/>
    <w:rsid w:val="00B93DA2"/>
    <w:rsid w:val="00B9558A"/>
    <w:rsid w:val="00B95CA8"/>
    <w:rsid w:val="00B96417"/>
    <w:rsid w:val="00BB44C3"/>
    <w:rsid w:val="00BB4898"/>
    <w:rsid w:val="00BB582C"/>
    <w:rsid w:val="00BB6AF2"/>
    <w:rsid w:val="00BC163D"/>
    <w:rsid w:val="00BC6F33"/>
    <w:rsid w:val="00BD4FC8"/>
    <w:rsid w:val="00BD5A83"/>
    <w:rsid w:val="00BD6998"/>
    <w:rsid w:val="00BE0DDE"/>
    <w:rsid w:val="00BE5B38"/>
    <w:rsid w:val="00BE68F7"/>
    <w:rsid w:val="00BF6C16"/>
    <w:rsid w:val="00C05A9B"/>
    <w:rsid w:val="00C102A7"/>
    <w:rsid w:val="00C14A9D"/>
    <w:rsid w:val="00C15482"/>
    <w:rsid w:val="00C1560F"/>
    <w:rsid w:val="00C20BE3"/>
    <w:rsid w:val="00C212EF"/>
    <w:rsid w:val="00C2413D"/>
    <w:rsid w:val="00C2425E"/>
    <w:rsid w:val="00C26745"/>
    <w:rsid w:val="00C30327"/>
    <w:rsid w:val="00C36BC7"/>
    <w:rsid w:val="00C41E8C"/>
    <w:rsid w:val="00C429BD"/>
    <w:rsid w:val="00C43EB9"/>
    <w:rsid w:val="00C45E48"/>
    <w:rsid w:val="00C4606A"/>
    <w:rsid w:val="00C465BC"/>
    <w:rsid w:val="00C55E28"/>
    <w:rsid w:val="00C56CB3"/>
    <w:rsid w:val="00C607FE"/>
    <w:rsid w:val="00C62DE9"/>
    <w:rsid w:val="00C6358A"/>
    <w:rsid w:val="00C73802"/>
    <w:rsid w:val="00C748BA"/>
    <w:rsid w:val="00C75108"/>
    <w:rsid w:val="00C77B7F"/>
    <w:rsid w:val="00C826C8"/>
    <w:rsid w:val="00C858E5"/>
    <w:rsid w:val="00C86CDC"/>
    <w:rsid w:val="00C9428D"/>
    <w:rsid w:val="00C95077"/>
    <w:rsid w:val="00CB0EF0"/>
    <w:rsid w:val="00CC399A"/>
    <w:rsid w:val="00CC76D9"/>
    <w:rsid w:val="00CD013A"/>
    <w:rsid w:val="00CD2732"/>
    <w:rsid w:val="00CD500D"/>
    <w:rsid w:val="00CD7C73"/>
    <w:rsid w:val="00CE288E"/>
    <w:rsid w:val="00CE422B"/>
    <w:rsid w:val="00CE58C2"/>
    <w:rsid w:val="00CE7363"/>
    <w:rsid w:val="00CF2E34"/>
    <w:rsid w:val="00CF3DB4"/>
    <w:rsid w:val="00D005A3"/>
    <w:rsid w:val="00D017C0"/>
    <w:rsid w:val="00D24506"/>
    <w:rsid w:val="00D26CD6"/>
    <w:rsid w:val="00D350AA"/>
    <w:rsid w:val="00D35D27"/>
    <w:rsid w:val="00D4029C"/>
    <w:rsid w:val="00D42A92"/>
    <w:rsid w:val="00D44026"/>
    <w:rsid w:val="00D46AA3"/>
    <w:rsid w:val="00D46B2C"/>
    <w:rsid w:val="00D61DB4"/>
    <w:rsid w:val="00D65563"/>
    <w:rsid w:val="00D6593D"/>
    <w:rsid w:val="00D66628"/>
    <w:rsid w:val="00D70C21"/>
    <w:rsid w:val="00D72973"/>
    <w:rsid w:val="00D73A17"/>
    <w:rsid w:val="00D75486"/>
    <w:rsid w:val="00D77424"/>
    <w:rsid w:val="00D82F29"/>
    <w:rsid w:val="00D83C34"/>
    <w:rsid w:val="00D849E5"/>
    <w:rsid w:val="00D94A49"/>
    <w:rsid w:val="00D967B0"/>
    <w:rsid w:val="00D97DB6"/>
    <w:rsid w:val="00DA0028"/>
    <w:rsid w:val="00DA1864"/>
    <w:rsid w:val="00DA2B7A"/>
    <w:rsid w:val="00DA3243"/>
    <w:rsid w:val="00DA627A"/>
    <w:rsid w:val="00DB1F35"/>
    <w:rsid w:val="00DB3837"/>
    <w:rsid w:val="00DB3A4A"/>
    <w:rsid w:val="00DB6C5F"/>
    <w:rsid w:val="00DC2F99"/>
    <w:rsid w:val="00DC4C46"/>
    <w:rsid w:val="00DC5CE4"/>
    <w:rsid w:val="00DC7F87"/>
    <w:rsid w:val="00DD0A4B"/>
    <w:rsid w:val="00DD230E"/>
    <w:rsid w:val="00DD2828"/>
    <w:rsid w:val="00DD2BEF"/>
    <w:rsid w:val="00DD455E"/>
    <w:rsid w:val="00DD5A5D"/>
    <w:rsid w:val="00DE0B72"/>
    <w:rsid w:val="00DE0CDA"/>
    <w:rsid w:val="00DE5110"/>
    <w:rsid w:val="00DE5354"/>
    <w:rsid w:val="00DE56BD"/>
    <w:rsid w:val="00DE5ABE"/>
    <w:rsid w:val="00DF3A18"/>
    <w:rsid w:val="00DF54E1"/>
    <w:rsid w:val="00E0077B"/>
    <w:rsid w:val="00E05430"/>
    <w:rsid w:val="00E06019"/>
    <w:rsid w:val="00E11464"/>
    <w:rsid w:val="00E12ED7"/>
    <w:rsid w:val="00E141B0"/>
    <w:rsid w:val="00E152D7"/>
    <w:rsid w:val="00E1588D"/>
    <w:rsid w:val="00E23CC2"/>
    <w:rsid w:val="00E332FE"/>
    <w:rsid w:val="00E33CA5"/>
    <w:rsid w:val="00E35083"/>
    <w:rsid w:val="00E449B0"/>
    <w:rsid w:val="00E44F93"/>
    <w:rsid w:val="00E54780"/>
    <w:rsid w:val="00E571CA"/>
    <w:rsid w:val="00E621D2"/>
    <w:rsid w:val="00E629B8"/>
    <w:rsid w:val="00E62D69"/>
    <w:rsid w:val="00E63566"/>
    <w:rsid w:val="00E676D0"/>
    <w:rsid w:val="00E678F1"/>
    <w:rsid w:val="00E74262"/>
    <w:rsid w:val="00E77217"/>
    <w:rsid w:val="00E8018E"/>
    <w:rsid w:val="00E82ECB"/>
    <w:rsid w:val="00E83B94"/>
    <w:rsid w:val="00E875E4"/>
    <w:rsid w:val="00E902E2"/>
    <w:rsid w:val="00E9224F"/>
    <w:rsid w:val="00E92B2F"/>
    <w:rsid w:val="00E935F0"/>
    <w:rsid w:val="00E93F6E"/>
    <w:rsid w:val="00EA35D9"/>
    <w:rsid w:val="00EA4F81"/>
    <w:rsid w:val="00EA5FEE"/>
    <w:rsid w:val="00EB1E33"/>
    <w:rsid w:val="00EB2CA8"/>
    <w:rsid w:val="00EB7A02"/>
    <w:rsid w:val="00EC51D8"/>
    <w:rsid w:val="00EC5EE6"/>
    <w:rsid w:val="00EC6C74"/>
    <w:rsid w:val="00EC6CC8"/>
    <w:rsid w:val="00ED31CB"/>
    <w:rsid w:val="00ED33E4"/>
    <w:rsid w:val="00ED5295"/>
    <w:rsid w:val="00ED714C"/>
    <w:rsid w:val="00EE02C6"/>
    <w:rsid w:val="00EE11B0"/>
    <w:rsid w:val="00EF1CE7"/>
    <w:rsid w:val="00EF7194"/>
    <w:rsid w:val="00EF7E13"/>
    <w:rsid w:val="00F04ABC"/>
    <w:rsid w:val="00F04DC4"/>
    <w:rsid w:val="00F053AE"/>
    <w:rsid w:val="00F05D00"/>
    <w:rsid w:val="00F10C4D"/>
    <w:rsid w:val="00F14936"/>
    <w:rsid w:val="00F175F5"/>
    <w:rsid w:val="00F20621"/>
    <w:rsid w:val="00F2471D"/>
    <w:rsid w:val="00F24DC1"/>
    <w:rsid w:val="00F27F39"/>
    <w:rsid w:val="00F305C4"/>
    <w:rsid w:val="00F378CC"/>
    <w:rsid w:val="00F37AA8"/>
    <w:rsid w:val="00F43CB1"/>
    <w:rsid w:val="00F50D6B"/>
    <w:rsid w:val="00F51A1A"/>
    <w:rsid w:val="00F524B4"/>
    <w:rsid w:val="00F52A9C"/>
    <w:rsid w:val="00F57744"/>
    <w:rsid w:val="00F60FFC"/>
    <w:rsid w:val="00F61B85"/>
    <w:rsid w:val="00F66E2D"/>
    <w:rsid w:val="00F70433"/>
    <w:rsid w:val="00F7414D"/>
    <w:rsid w:val="00F75859"/>
    <w:rsid w:val="00F810CB"/>
    <w:rsid w:val="00F81F10"/>
    <w:rsid w:val="00F85C62"/>
    <w:rsid w:val="00F86816"/>
    <w:rsid w:val="00F934A3"/>
    <w:rsid w:val="00FA4BCC"/>
    <w:rsid w:val="00FA6FF3"/>
    <w:rsid w:val="00FB0F5B"/>
    <w:rsid w:val="00FB4053"/>
    <w:rsid w:val="00FB43A1"/>
    <w:rsid w:val="00FD14B4"/>
    <w:rsid w:val="00FD37C8"/>
    <w:rsid w:val="00FD6797"/>
    <w:rsid w:val="00FD7DD2"/>
    <w:rsid w:val="00FD7DE8"/>
    <w:rsid w:val="00FE2061"/>
    <w:rsid w:val="00FE41A2"/>
    <w:rsid w:val="00FF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F94C9"/>
  <w15:chartTrackingRefBased/>
  <w15:docId w15:val="{953A59A5-319C-4099-8940-5D2B294C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5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0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620"/>
  </w:style>
  <w:style w:type="paragraph" w:styleId="Footer">
    <w:name w:val="footer"/>
    <w:basedOn w:val="Normal"/>
    <w:link w:val="FooterChar"/>
    <w:uiPriority w:val="99"/>
    <w:unhideWhenUsed/>
    <w:rsid w:val="00B40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620"/>
  </w:style>
  <w:style w:type="character" w:styleId="Hyperlink">
    <w:name w:val="Hyperlink"/>
    <w:basedOn w:val="DefaultParagraphFont"/>
    <w:uiPriority w:val="99"/>
    <w:unhideWhenUsed/>
    <w:rsid w:val="00180E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E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0BBB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96417"/>
    <w:rPr>
      <w:color w:val="66666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45C52"/>
  </w:style>
  <w:style w:type="character" w:customStyle="1" w:styleId="DateChar">
    <w:name w:val="Date Char"/>
    <w:basedOn w:val="DefaultParagraphFont"/>
    <w:link w:val="Date"/>
    <w:uiPriority w:val="99"/>
    <w:semiHidden/>
    <w:rsid w:val="00145C52"/>
  </w:style>
  <w:style w:type="paragraph" w:styleId="NormalWeb">
    <w:name w:val="Normal (Web)"/>
    <w:basedOn w:val="Normal"/>
    <w:uiPriority w:val="99"/>
    <w:semiHidden/>
    <w:unhideWhenUsed/>
    <w:rsid w:val="00C429B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C429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7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onlinelibrary.wiley.com/doi/10.1002/sim.1186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sciencedirect.com/science/article/pii/S0149763424002513?ref=pdf_download&amp;fr=RR-2&amp;rr=8de3d3a84ad62e9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science/article/pii/S0149763424002513?ref=pdf_download&amp;fr=RR-2&amp;rr=8dc3ce496a882eb2" TargetMode="External"/><Relationship Id="rId20" Type="http://schemas.openxmlformats.org/officeDocument/2006/relationships/hyperlink" Target="https://smw.ch/index.php/smw/article/download/1434/1753?inline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rdocumentation.org/packages/metafor/versions/2.4-0/topics/rma.un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BE63D-4E5C-4235-8AA9-932F923D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3101</TotalTime>
  <Pages>17</Pages>
  <Words>2858</Words>
  <Characters>16291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</dc:creator>
  <cp:keywords/>
  <dc:description/>
  <cp:lastModifiedBy>MICHAEL LE</cp:lastModifiedBy>
  <cp:revision>797</cp:revision>
  <cp:lastPrinted>2024-11-08T14:31:00Z</cp:lastPrinted>
  <dcterms:created xsi:type="dcterms:W3CDTF">2024-10-09T00:31:00Z</dcterms:created>
  <dcterms:modified xsi:type="dcterms:W3CDTF">2024-11-08T15:02:00Z</dcterms:modified>
</cp:coreProperties>
</file>