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A97F16"/>
          <w:sz w:val="18"/>
        </w:rPr>
        <w:t>STELLAR / SOROBAN ARCHITECTURE</w:t>
      </w:r>
    </w:p>
    <w:p>
      <w:pPr>
        <w:pStyle w:val="CrownFiTitle"/>
      </w:pPr>
      <w:r>
        <w:t>CrownFi: On-Chain and Off-Chain Architecture</w:t>
      </w:r>
    </w:p>
    <w:p>
      <w:pPr>
        <w:pStyle w:val="CrownFiSubtitle"/>
      </w:pPr>
      <w:r>
        <w:t>How voting, NFT ownership, and prediction markets balance transparency, privacy, performance, and cost.</w:t>
      </w:r>
    </w:p>
    <w:p>
      <w:pPr>
        <w:keepLines/>
        <w:spacing w:before="80" w:after="240" w:line="276" w:lineRule="auto"/>
        <w:ind w:left="259" w:right="173"/>
        <w:shd w:fill="F8F1DD" w:val="clear"/>
        <w:pBdr>
          <w:left w:val="single" w:sz="18" w:space="8" w:color="A97F16"/>
        </w:pBdr>
      </w:pPr>
      <w:r>
        <w:rPr>
          <w:rFonts w:ascii="Calibri" w:hAnsi="Calibri"/>
          <w:b/>
          <w:color w:val="23252F"/>
          <w:sz w:val="22"/>
        </w:rPr>
        <w:t>CrownFi uses a hybrid architecture. Detailed records remain off-chain when they need privacy, fast queries, or large storage, while cryptographic proofs, digital ownership, and financial settlement are placed on Stellar where they can be independently verified.</w:t>
      </w:r>
    </w:p>
    <w:p>
      <w:pPr>
        <w:pStyle w:val="Heading1"/>
      </w:pPr>
      <w:r>
        <w:t>What is stored where?</w:t>
      </w:r>
    </w:p>
    <w:p>
      <w:r>
        <w:t>The system separates each feature according to the type of trust it requires. PostgreSQL supports the application experience, IPFS stores large NFT files, and Soroban contracts provide public proofs and enforce ownership or settlement.</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shd w:fill="23252F" w:val="clear"/>
            <w:vAlign w:val="center"/>
            <w:tcMar>
              <w:top w:w="100" w:type="dxa"/>
              <w:start w:w="120" w:type="dxa"/>
              <w:bottom w:w="100" w:type="dxa"/>
              <w:end w:w="120" w:type="dxa"/>
            </w:tcMar>
          </w:tcPr>
          <w:p>
            <w:pPr>
              <w:spacing w:after="0"/>
              <w:jc w:val="left"/>
            </w:pPr>
            <w:r/>
            <w:r>
              <w:rPr>
                <w:rFonts w:ascii="Calibri" w:hAnsi="Calibri"/>
                <w:b/>
                <w:color w:val="FFFFFF"/>
                <w:sz w:val="19"/>
              </w:rPr>
              <w:t>Data or feature</w:t>
            </w:r>
          </w:p>
        </w:tc>
        <w:tc>
          <w:tcPr>
            <w:tcW w:type="dxa" w:w="3900"/>
            <w:shd w:fill="23252F" w:val="clear"/>
            <w:vAlign w:val="center"/>
            <w:tcMar>
              <w:top w:w="100" w:type="dxa"/>
              <w:start w:w="120" w:type="dxa"/>
              <w:bottom w:w="100" w:type="dxa"/>
              <w:end w:w="120" w:type="dxa"/>
            </w:tcMar>
          </w:tcPr>
          <w:p>
            <w:pPr>
              <w:spacing w:after="0"/>
              <w:jc w:val="left"/>
            </w:pPr>
            <w:r/>
            <w:r>
              <w:rPr>
                <w:rFonts w:ascii="Calibri" w:hAnsi="Calibri"/>
                <w:b/>
                <w:color w:val="FFFFFF"/>
                <w:sz w:val="19"/>
              </w:rPr>
              <w:t>Stored off-chain</w:t>
            </w:r>
          </w:p>
        </w:tc>
        <w:tc>
          <w:tcPr>
            <w:tcW w:type="dxa" w:w="3660"/>
            <w:shd w:fill="23252F" w:val="clear"/>
            <w:vAlign w:val="center"/>
            <w:tcMar>
              <w:top w:w="100" w:type="dxa"/>
              <w:start w:w="120" w:type="dxa"/>
              <w:bottom w:w="100" w:type="dxa"/>
              <w:end w:w="120" w:type="dxa"/>
            </w:tcMar>
          </w:tcPr>
          <w:p>
            <w:pPr>
              <w:spacing w:after="0"/>
              <w:jc w:val="left"/>
            </w:pPr>
            <w:r/>
            <w:r>
              <w:rPr>
                <w:rFonts w:ascii="Calibri" w:hAnsi="Calibri"/>
                <w:b/>
                <w:color w:val="FFFFFF"/>
                <w:sz w:val="19"/>
              </w:rPr>
              <w:t>Stored on-chain</w:t>
            </w:r>
          </w:p>
        </w:tc>
      </w:tr>
      <w:tr>
        <w:tc>
          <w:tcPr>
            <w:tcW w:type="dxa" w:w="1800"/>
            <w:vAlign w:val="center"/>
            <w:shd w:fill="F8F1DD" w:val="clear"/>
            <w:tcMar>
              <w:top w:w="100" w:type="dxa"/>
              <w:start w:w="120" w:type="dxa"/>
              <w:bottom w:w="100" w:type="dxa"/>
              <w:end w:w="120" w:type="dxa"/>
            </w:tcMar>
          </w:tcPr>
          <w:p>
            <w:pPr>
              <w:spacing w:before="0" w:after="0" w:line="252" w:lineRule="auto"/>
            </w:pPr>
            <w:r/>
            <w:r>
              <w:rPr>
                <w:rFonts w:ascii="Calibri" w:hAnsi="Calibri"/>
                <w:b/>
                <w:color w:val="23252F"/>
                <w:sz w:val="18"/>
              </w:rPr>
              <w:t>Vote records</w:t>
            </w:r>
          </w:p>
        </w:tc>
        <w:tc>
          <w:tcPr>
            <w:tcW w:type="dxa" w:w="3900"/>
            <w:vAlign w:val="center"/>
            <w:shd w:fill="FFFFFF" w:val="clear"/>
            <w:tcMar>
              <w:top w:w="100" w:type="dxa"/>
              <w:start w:w="120" w:type="dxa"/>
              <w:bottom w:w="100" w:type="dxa"/>
              <w:end w:w="120" w:type="dxa"/>
            </w:tcMar>
          </w:tcPr>
          <w:p>
            <w:pPr>
              <w:spacing w:before="0" w:after="0" w:line="252" w:lineRule="auto"/>
            </w:pPr>
            <w:r/>
            <w:r>
              <w:rPr>
                <w:rFonts w:ascii="Calibri" w:hAnsi="Calibri"/>
                <w:b w:val="0"/>
                <w:color w:val="33343D"/>
                <w:sz w:val="18"/>
              </w:rPr>
              <w:t>PostgreSQL stores the round ID, fan ID, selected contestant, vote hash, and timestamp. The full tally and ordered vote hashes are also retained for receipt generation.</w:t>
            </w:r>
          </w:p>
        </w:tc>
        <w:tc>
          <w:tcPr>
            <w:tcW w:type="dxa" w:w="3660"/>
            <w:vAlign w:val="center"/>
            <w:shd w:fill="FFFFFF" w:val="clear"/>
            <w:tcMar>
              <w:top w:w="100" w:type="dxa"/>
              <w:start w:w="120" w:type="dxa"/>
              <w:bottom w:w="100" w:type="dxa"/>
              <w:end w:w="120" w:type="dxa"/>
            </w:tcMar>
          </w:tcPr>
          <w:p>
            <w:pPr>
              <w:spacing w:before="0" w:after="0" w:line="252" w:lineRule="auto"/>
            </w:pPr>
            <w:r/>
            <w:r>
              <w:rPr>
                <w:rFonts w:ascii="Calibri" w:hAnsi="Calibri"/>
                <w:b w:val="0"/>
                <w:color w:val="33343D"/>
                <w:sz w:val="18"/>
              </w:rPr>
              <w:t>Raw votes are not published. After a round closes, Stellar stores the Merkle root, tally hash, total vote count, and the anchoring transaction.</w:t>
            </w:r>
          </w:p>
        </w:tc>
      </w:tr>
      <w:tr>
        <w:tc>
          <w:tcPr>
            <w:tcW w:type="dxa" w:w="1800"/>
            <w:vAlign w:val="center"/>
            <w:shd w:fill="F8F1DD" w:val="clear"/>
            <w:tcMar>
              <w:top w:w="100" w:type="dxa"/>
              <w:start w:w="120" w:type="dxa"/>
              <w:bottom w:w="100" w:type="dxa"/>
              <w:end w:w="120" w:type="dxa"/>
            </w:tcMar>
          </w:tcPr>
          <w:p>
            <w:pPr>
              <w:spacing w:before="0" w:after="0" w:line="252" w:lineRule="auto"/>
            </w:pPr>
            <w:r/>
            <w:r>
              <w:rPr>
                <w:rFonts w:ascii="Calibri" w:hAnsi="Calibri"/>
                <w:b/>
                <w:color w:val="23252F"/>
                <w:sz w:val="18"/>
              </w:rPr>
              <w:t>NFT metadata</w:t>
            </w:r>
          </w:p>
        </w:tc>
        <w:tc>
          <w:tcPr>
            <w:tcW w:type="dxa" w:w="3900"/>
            <w:vAlign w:val="center"/>
            <w:shd w:fill="F2F4F7" w:val="clear"/>
            <w:tcMar>
              <w:top w:w="100" w:type="dxa"/>
              <w:start w:w="120" w:type="dxa"/>
              <w:bottom w:w="100" w:type="dxa"/>
              <w:end w:w="120" w:type="dxa"/>
            </w:tcMar>
          </w:tcPr>
          <w:p>
            <w:pPr>
              <w:spacing w:before="0" w:after="0" w:line="252" w:lineRule="auto"/>
            </w:pPr>
            <w:r/>
            <w:r>
              <w:rPr>
                <w:rFonts w:ascii="Calibri" w:hAnsi="Calibri"/>
                <w:b w:val="0"/>
                <w:color w:val="33343D"/>
                <w:sz w:val="18"/>
              </w:rPr>
              <w:t>Images and metadata JSON are stored on IPFS. PostgreSQL keeps catalog fields and resolved image URLs so the web application can load them quickly.</w:t>
            </w:r>
          </w:p>
        </w:tc>
        <w:tc>
          <w:tcPr>
            <w:tcW w:type="dxa" w:w="3660"/>
            <w:vAlign w:val="center"/>
            <w:shd w:fill="F2F4F7" w:val="clear"/>
            <w:tcMar>
              <w:top w:w="100" w:type="dxa"/>
              <w:start w:w="120" w:type="dxa"/>
              <w:bottom w:w="100" w:type="dxa"/>
              <w:end w:w="120" w:type="dxa"/>
            </w:tcMar>
          </w:tcPr>
          <w:p>
            <w:pPr>
              <w:spacing w:before="0" w:after="0" w:line="252" w:lineRule="auto"/>
            </w:pPr>
            <w:r/>
            <w:r>
              <w:rPr>
                <w:rFonts w:ascii="Calibri" w:hAnsi="Calibri"/>
                <w:b w:val="0"/>
                <w:color w:val="33343D"/>
                <w:sz w:val="18"/>
              </w:rPr>
              <w:t>The NFT contract keeps the metadata URI or candidate reference together with supply and minting rules, rather than storing the image itself.</w:t>
            </w:r>
          </w:p>
        </w:tc>
      </w:tr>
      <w:tr>
        <w:tc>
          <w:tcPr>
            <w:tcW w:type="dxa" w:w="1800"/>
            <w:vAlign w:val="center"/>
            <w:shd w:fill="F8F1DD" w:val="clear"/>
            <w:tcMar>
              <w:top w:w="100" w:type="dxa"/>
              <w:start w:w="120" w:type="dxa"/>
              <w:bottom w:w="100" w:type="dxa"/>
              <w:end w:w="120" w:type="dxa"/>
            </w:tcMar>
          </w:tcPr>
          <w:p>
            <w:pPr>
              <w:spacing w:before="0" w:after="0" w:line="252" w:lineRule="auto"/>
            </w:pPr>
            <w:r/>
            <w:r>
              <w:rPr>
                <w:rFonts w:ascii="Calibri" w:hAnsi="Calibri"/>
                <w:b/>
                <w:color w:val="23252F"/>
                <w:sz w:val="18"/>
              </w:rPr>
              <w:t>NFTs and tickets</w:t>
            </w:r>
          </w:p>
        </w:tc>
        <w:tc>
          <w:tcPr>
            <w:tcW w:type="dxa" w:w="3900"/>
            <w:vAlign w:val="center"/>
            <w:shd w:fill="FFFFFF" w:val="clear"/>
            <w:tcMar>
              <w:top w:w="100" w:type="dxa"/>
              <w:start w:w="120" w:type="dxa"/>
              <w:bottom w:w="100" w:type="dxa"/>
              <w:end w:w="120" w:type="dxa"/>
            </w:tcMar>
          </w:tcPr>
          <w:p>
            <w:pPr>
              <w:spacing w:before="0" w:after="0" w:line="252" w:lineRule="auto"/>
            </w:pPr>
            <w:r/>
            <w:r>
              <w:rPr>
                <w:rFonts w:ascii="Calibri" w:hAnsi="Calibri"/>
                <w:b w:val="0"/>
                <w:color w:val="33343D"/>
                <w:sz w:val="18"/>
              </w:rPr>
              <w:t>PostgreSQL stores purchase details, event information, ticket tier, seat assignment, price, and transaction references.</w:t>
            </w:r>
          </w:p>
        </w:tc>
        <w:tc>
          <w:tcPr>
            <w:tcW w:type="dxa" w:w="3660"/>
            <w:vAlign w:val="center"/>
            <w:shd w:fill="FFFFFF" w:val="clear"/>
            <w:tcMar>
              <w:top w:w="100" w:type="dxa"/>
              <w:start w:w="120" w:type="dxa"/>
              <w:bottom w:w="100" w:type="dxa"/>
              <w:end w:w="120" w:type="dxa"/>
            </w:tcMar>
          </w:tcPr>
          <w:p>
            <w:pPr>
              <w:spacing w:before="0" w:after="0" w:line="252" w:lineRule="auto"/>
            </w:pPr>
            <w:r/>
            <w:r>
              <w:rPr>
                <w:rFonts w:ascii="Calibri" w:hAnsi="Calibri"/>
                <w:b w:val="0"/>
                <w:color w:val="33343D"/>
                <w:sz w:val="18"/>
              </w:rPr>
              <w:t>Soroban records token IDs, wallet ownership, minting, transfers, supply limits, and one-per-wallet restrictions where applicable.</w:t>
            </w:r>
          </w:p>
        </w:tc>
      </w:tr>
      <w:tr>
        <w:tc>
          <w:tcPr>
            <w:tcW w:type="dxa" w:w="1800"/>
            <w:vAlign w:val="center"/>
            <w:shd w:fill="F8F1DD" w:val="clear"/>
            <w:tcMar>
              <w:top w:w="100" w:type="dxa"/>
              <w:start w:w="120" w:type="dxa"/>
              <w:bottom w:w="100" w:type="dxa"/>
              <w:end w:w="120" w:type="dxa"/>
            </w:tcMar>
          </w:tcPr>
          <w:p>
            <w:pPr>
              <w:spacing w:before="0" w:after="0" w:line="252" w:lineRule="auto"/>
            </w:pPr>
            <w:r/>
            <w:r>
              <w:rPr>
                <w:rFonts w:ascii="Calibri" w:hAnsi="Calibri"/>
                <w:b/>
                <w:color w:val="23252F"/>
                <w:sz w:val="18"/>
              </w:rPr>
              <w:t>Prediction markets</w:t>
            </w:r>
          </w:p>
        </w:tc>
        <w:tc>
          <w:tcPr>
            <w:tcW w:type="dxa" w:w="3900"/>
            <w:vAlign w:val="center"/>
            <w:shd w:fill="F2F4F7" w:val="clear"/>
            <w:tcMar>
              <w:top w:w="100" w:type="dxa"/>
              <w:start w:w="120" w:type="dxa"/>
              <w:bottom w:w="100" w:type="dxa"/>
              <w:end w:w="120" w:type="dxa"/>
            </w:tcMar>
          </w:tcPr>
          <w:p>
            <w:pPr>
              <w:spacing w:before="0" w:after="0" w:line="252" w:lineRule="auto"/>
            </w:pPr>
            <w:r/>
            <w:r>
              <w:rPr>
                <w:rFonts w:ascii="Calibri" w:hAnsi="Calibri"/>
                <w:b w:val="0"/>
                <w:color w:val="33343D"/>
                <w:sz w:val="18"/>
              </w:rPr>
              <w:t>PostgreSQL mirrors the market question, option labels, banner, close time, searchable status, and transaction hashes for the user interface.</w:t>
            </w:r>
          </w:p>
        </w:tc>
        <w:tc>
          <w:tcPr>
            <w:tcW w:type="dxa" w:w="3660"/>
            <w:vAlign w:val="center"/>
            <w:shd w:fill="F2F4F7" w:val="clear"/>
            <w:tcMar>
              <w:top w:w="100" w:type="dxa"/>
              <w:start w:w="120" w:type="dxa"/>
              <w:bottom w:w="100" w:type="dxa"/>
              <w:end w:w="120" w:type="dxa"/>
            </w:tcMar>
          </w:tcPr>
          <w:p>
            <w:pPr>
              <w:spacing w:before="0" w:after="0" w:line="252" w:lineRule="auto"/>
            </w:pPr>
            <w:r/>
            <w:r>
              <w:rPr>
                <w:rFonts w:ascii="Calibri" w:hAnsi="Calibri"/>
                <w:b w:val="0"/>
                <w:color w:val="33343D"/>
                <w:sz w:val="18"/>
              </w:rPr>
              <w:t>The prediction contract controls USDC stakes, pools, wallet positions, the winning option, fees, claims, refunds, and final settlement.</w:t>
            </w:r>
          </w:p>
        </w:tc>
      </w:tr>
    </w:tbl>
    <w:p>
      <w:pPr>
        <w:pStyle w:val="Heading1"/>
      </w:pPr>
      <w:r>
        <w:t>How voting remains transparent</w:t>
      </w:r>
    </w:p>
    <w:p>
      <w:pPr>
        <w:keepLines/>
      </w:pPr>
      <w:r>
        <w:rPr>
          <w:rFonts w:ascii="Calibri" w:hAnsi="Calibri"/>
          <w:b/>
          <w:color w:val="23252F"/>
          <w:sz w:val="22"/>
        </w:rPr>
        <w:t xml:space="preserve">Vote intake. </w:t>
      </w:r>
      <w:r>
        <w:rPr>
          <w:rFonts w:ascii="Calibri" w:hAnsi="Calibri"/>
          <w:color w:val="33343D"/>
          <w:sz w:val="22"/>
        </w:rPr>
        <w:t>Each authenticated fan vote is written to PostgreSQL. The database enforces the one-vote-per-fan-per-round rule, and the application creates a deterministic hash for the vote.</w:t>
      </w:r>
    </w:p>
    <w:p>
      <w:pPr>
        <w:keepLines/>
      </w:pPr>
      <w:r>
        <w:rPr>
          <w:rFonts w:ascii="Calibri" w:hAnsi="Calibri"/>
          <w:b/>
          <w:color w:val="23252F"/>
          <w:sz w:val="22"/>
        </w:rPr>
        <w:t xml:space="preserve">Round commitment. </w:t>
      </w:r>
      <w:r>
        <w:rPr>
          <w:rFonts w:ascii="Calibri" w:hAnsi="Calibri"/>
          <w:color w:val="33343D"/>
          <w:sz w:val="22"/>
        </w:rPr>
        <w:t>When voting closes, CrownFi orders the vote hashes, builds a Merkle tree, calculates the tally hash, and anchors the resulting Merkle root and vote count to the audit contract on Stellar.</w:t>
      </w:r>
    </w:p>
    <w:p>
      <w:pPr>
        <w:keepLines/>
      </w:pPr>
      <w:r>
        <w:rPr>
          <w:rFonts w:ascii="Calibri" w:hAnsi="Calibri"/>
          <w:b/>
          <w:color w:val="23252F"/>
          <w:sz w:val="22"/>
        </w:rPr>
        <w:t xml:space="preserve">Receipt verification. </w:t>
      </w:r>
      <w:r>
        <w:rPr>
          <w:rFonts w:ascii="Calibri" w:hAnsi="Calibri"/>
          <w:color w:val="33343D"/>
          <w:sz w:val="22"/>
        </w:rPr>
        <w:t>A fan can receive a Merkle inclusion proof showing that their vote belongs to the anchored set. The proof can be checked against the public root without revealing every other ballot.</w:t>
      </w:r>
    </w:p>
    <w:p>
      <w:pPr>
        <w:keepLines/>
      </w:pPr>
      <w:r>
        <w:rPr>
          <w:rFonts w:ascii="Calibri" w:hAnsi="Calibri"/>
          <w:b/>
          <w:color w:val="23252F"/>
          <w:sz w:val="22"/>
        </w:rPr>
        <w:t xml:space="preserve">Tamper evidence. </w:t>
      </w:r>
      <w:r>
        <w:rPr>
          <w:rFonts w:ascii="Calibri" w:hAnsi="Calibri"/>
          <w:color w:val="33343D"/>
          <w:sz w:val="22"/>
        </w:rPr>
        <w:t>Changing, deleting, or inserting a vote after closure produces a different Merkle root. It would no longer match the value recorded on Stellar, making the change detectable.</w:t>
      </w:r>
    </w:p>
    <w:p>
      <w:pPr>
        <w:pStyle w:val="Heading1"/>
      </w:pPr>
      <w:r>
        <w:t>Where NFT metadata and ownership live</w:t>
      </w:r>
    </w:p>
    <w:p>
      <w:pPr>
        <w:keepLines/>
      </w:pPr>
      <w:r>
        <w:rPr>
          <w:rFonts w:ascii="Calibri" w:hAnsi="Calibri"/>
          <w:b/>
          <w:color w:val="23252F"/>
          <w:sz w:val="22"/>
        </w:rPr>
        <w:t xml:space="preserve">Metadata and media. </w:t>
      </w:r>
      <w:r>
        <w:rPr>
          <w:rFonts w:ascii="Calibri" w:hAnsi="Calibri"/>
          <w:color w:val="33343D"/>
          <w:sz w:val="22"/>
        </w:rPr>
        <w:t>The NFT artwork and JSON metadata are stored on IPFS because large files are inefficient and expensive to place directly in a smart contract. The content-addressed IPFS URI allows the file to be identified by its hash.</w:t>
      </w:r>
    </w:p>
    <w:p>
      <w:pPr>
        <w:keepLines/>
      </w:pPr>
      <w:r>
        <w:rPr>
          <w:rFonts w:ascii="Calibri" w:hAnsi="Calibri"/>
          <w:b/>
          <w:color w:val="23252F"/>
          <w:sz w:val="22"/>
        </w:rPr>
        <w:t xml:space="preserve">Ownership and rules. </w:t>
      </w:r>
      <w:r>
        <w:rPr>
          <w:rFonts w:ascii="Calibri" w:hAnsi="Calibri"/>
          <w:color w:val="33343D"/>
          <w:sz w:val="22"/>
        </w:rPr>
        <w:t>Soroban stores the information that must be enforced publicly: the token ID, owner wallet, candidate association, supply, transfer state, and minting restrictions. PostgreSQL provides the faster catalog and gallery view used by the application.</w:t>
      </w:r>
    </w:p>
    <w:p>
      <w:pPr>
        <w:pStyle w:val="Heading1"/>
      </w:pPr>
      <w:r>
        <w:t>Where prediction market settlement happens</w:t>
      </w:r>
    </w:p>
    <w:p>
      <w:pPr>
        <w:keepLines/>
      </w:pPr>
      <w:r>
        <w:rPr>
          <w:rFonts w:ascii="Calibri" w:hAnsi="Calibri"/>
          <w:b/>
          <w:color w:val="23252F"/>
          <w:sz w:val="22"/>
        </w:rPr>
        <w:t xml:space="preserve">Application mirror. </w:t>
      </w:r>
      <w:r>
        <w:rPr>
          <w:rFonts w:ascii="Calibri" w:hAnsi="Calibri"/>
          <w:color w:val="33343D"/>
          <w:sz w:val="22"/>
        </w:rPr>
        <w:t>PostgreSQL stores a searchable copy of the market description and status so users can browse markets without repeatedly querying the blockchain. These records support presentation and indexing; they do not control the payout.</w:t>
      </w:r>
    </w:p>
    <w:p>
      <w:pPr>
        <w:keepLines/>
      </w:pPr>
      <w:r>
        <w:rPr>
          <w:rFonts w:ascii="Calibri" w:hAnsi="Calibri"/>
          <w:b/>
          <w:color w:val="23252F"/>
          <w:sz w:val="22"/>
        </w:rPr>
        <w:t xml:space="preserve">Contract settlement. </w:t>
      </w:r>
      <w:r>
        <w:rPr>
          <w:rFonts w:ascii="Calibri" w:hAnsi="Calibri"/>
          <w:color w:val="33343D"/>
          <w:sz w:val="22"/>
        </w:rPr>
        <w:t>The Soroban prediction contract is the source of truth for money movement. It escrows test USDC, records each wallet's stake, resolves the winning option, deducts the configured platform fee, and allows winners to claim or users to receive refunds when a market is cancelled.</w:t>
      </w:r>
    </w:p>
    <w:p>
      <w:pPr>
        <w:pStyle w:val="Heading1"/>
      </w:pPr>
      <w:r>
        <w:t>Transparency without unnecessary on-chain storage</w:t>
      </w:r>
    </w:p>
    <w:p>
      <w:pPr>
        <w:keepLines/>
      </w:pPr>
      <w:r>
        <w:rPr>
          <w:rFonts w:ascii="Calibri" w:hAnsi="Calibri"/>
          <w:b/>
          <w:color w:val="23252F"/>
          <w:sz w:val="22"/>
        </w:rPr>
        <w:t xml:space="preserve">Cryptographic commitments instead of raw data. </w:t>
      </w:r>
      <w:r>
        <w:rPr>
          <w:rFonts w:ascii="Calibri" w:hAnsi="Calibri"/>
          <w:color w:val="33343D"/>
          <w:sz w:val="22"/>
        </w:rPr>
        <w:t>CrownFi anchors compact hashes rather than publishing every ballot. This preserves verifiability while avoiding voter-identifying information and repeated blockchain storage costs.</w:t>
      </w:r>
    </w:p>
    <w:p>
      <w:pPr>
        <w:keepLines/>
      </w:pPr>
      <w:r>
        <w:rPr>
          <w:rFonts w:ascii="Calibri" w:hAnsi="Calibri"/>
          <w:b/>
          <w:color w:val="23252F"/>
          <w:sz w:val="22"/>
        </w:rPr>
        <w:t xml:space="preserve">Public ownership and settlement. </w:t>
      </w:r>
      <w:r>
        <w:rPr>
          <w:rFonts w:ascii="Calibri" w:hAnsi="Calibri"/>
          <w:color w:val="33343D"/>
          <w:sz w:val="22"/>
        </w:rPr>
        <w:t>NFT ownership, ticket tokens, USDC transfers, prediction pools, outcomes, and claims can be checked through Stellar contract state and transaction hashes.</w:t>
      </w:r>
    </w:p>
    <w:p>
      <w:pPr>
        <w:keepLines/>
      </w:pPr>
      <w:r>
        <w:rPr>
          <w:rFonts w:ascii="Calibri" w:hAnsi="Calibri"/>
          <w:b/>
          <w:color w:val="23252F"/>
          <w:sz w:val="22"/>
        </w:rPr>
        <w:t xml:space="preserve">Off-chain data for scale and privacy. </w:t>
      </w:r>
      <w:r>
        <w:rPr>
          <w:rFonts w:ascii="Calibri" w:hAnsi="Calibri"/>
          <w:color w:val="33343D"/>
          <w:sz w:val="22"/>
        </w:rPr>
        <w:t>PostgreSQL handles high-volume records and fast user-interface queries, while IPFS handles large files. Only the minimum information needed for proof, ownership, or financial enforcement is placed on-chain.</w:t>
      </w:r>
    </w:p>
    <w:p>
      <w:pPr>
        <w:keepLines/>
        <w:spacing w:before="200" w:after="0"/>
        <w:shd w:fill="F2F4F7" w:val="clear"/>
        <w:ind w:left="173" w:right="173"/>
      </w:pPr>
      <w:r>
        <w:rPr>
          <w:rFonts w:ascii="Calibri" w:hAnsi="Calibri"/>
          <w:b/>
          <w:color w:val="23252F"/>
          <w:sz w:val="19"/>
        </w:rPr>
        <w:t xml:space="preserve">Implementation note: </w:t>
      </w:r>
      <w:r>
        <w:rPr>
          <w:rFonts w:ascii="Calibri" w:hAnsi="Calibri"/>
          <w:color w:val="6F6C5F"/>
          <w:sz w:val="19"/>
        </w:rPr>
        <w:t>These blockchain guarantees apply when CrownFi runs in live Stellar mode. Mock mode simulates transactions for development and demonstrations.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F6C5F"/>
        <w:sz w:val="18"/>
      </w:rPr>
      <w:t xml:space="preserve">CrownFi | On-chain and off-chain architecture | Page </w:t>
    </w:r>
    <w:r>
      <w:rPr>
        <w:rFonts w:ascii="Calibri" w:hAnsi="Calibri"/>
        <w:color w:val="6F6C5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F6C5F"/>
        <w:sz w:val="17"/>
      </w:rPr>
      <w:t>CROWNFI  |  TECHNICAL ARCHITECTURE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3334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A97F1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3252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325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wnFiTitle">
    <w:name w:val="CrownFi Title"/>
    <w:pPr>
      <w:spacing w:before="0" w:after="100"/>
    </w:pPr>
    <w:rPr>
      <w:rFonts w:ascii="Calibri" w:hAnsi="Calibri"/>
      <w:b/>
      <w:color w:val="23252F"/>
      <w:sz w:val="50"/>
    </w:rPr>
  </w:style>
  <w:style w:type="paragraph" w:customStyle="1" w:styleId="CrownFiSubtitle">
    <w:name w:val="CrownFi Subtitle"/>
    <w:pPr>
      <w:spacing w:before="0" w:after="280" w:line="264" w:lineRule="auto"/>
    </w:pPr>
    <w:rPr>
      <w:rFonts w:ascii="Calibri" w:hAnsi="Calibri"/>
      <w:color w:val="6F6C5F"/>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CrownFi: On-Chain and Off-Chain Architecture</dc:title>
  <dc:subject>Storage, settlement, and transparency model</dc:subject>
  <dc:creator>CrownFi</dc:creator>
  <cp:keywords>CrownFi, Stellar, Soroban, blockchain, voting, NFT, prediction markets</cp:keywords>
  <dc:description>generated by python-docx</dc:description>
  <cp:lastModifiedBy/>
  <cp:revision>1</cp:revision>
  <dcterms:created xsi:type="dcterms:W3CDTF">2013-12-23T23:15:00Z</dcterms:created>
  <dcterms:modified xsi:type="dcterms:W3CDTF">2013-12-23T23:15:00Z</dcterms:modified>
  <cp:category/>
</cp:coreProperties>
</file>