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System Specification</w:t>
      </w:r>
    </w:p>
    <w:p>
      <w:pPr>
        <w:pStyle w:val="Heading1"/>
      </w:pPr>
      <w:r>
        <w:t xml:space="preserve">Contents</w:t>
      </w:r>
    </w:p>
    <w:p>
      <w:r>
        <w:t xml:space="preserve">1 Introduction . 1</w:t>
      </w:r>
    </w:p>
    <w:p>
      <w:r>
        <w:t xml:space="preserve">6 Sensor calibration . 2</w:t>
      </w:r>
    </w:p>
    <w:p>
      <w:r>
        <w:t xml:space="preserve">6.2 Measurement accuracy . 2</w:t>
      </w:r>
    </w:p>
    <w:p>
      <w:r>
        <w:t xml:space="preserve">6.3 Reporting interval . 2</w:t>
      </w:r>
    </w:p>
    <w:p>
      <w:r>
        <w:t xml:space="preserve">7 Maintenance . 3</w:t>
      </w:r>
    </w:p>
    <w:p>
      <w:r>
        <w:t xml:space="preserve">7.1 Firmware . 3</w:t>
      </w:r>
    </w:p>
    <w:p>
      <w:pPr>
        <w:pStyle w:val="Heading2"/>
      </w:pPr>
      <w:r>
        <w:t xml:space="preserve">1 Introduction</w:t>
      </w:r>
    </w:p>
    <w:p>
      <w:r>
        <w:t xml:space="preserve">This document specifies the requirements for the sensor unit and its interfaces. The tolerance values in this section are normative.</w:t>
      </w:r>
    </w:p>
    <w:p>
      <w:r>
        <w:t xml:space="preserve">The enclosure shall be sealed against water ingress and dust according to IP67.</w:t>
      </w:r>
    </w:p>
    <w:p>
      <w:r>
        <w:t xml:space="preserve">Operating temperature range is -20 to +60 degrees Celsius.</w:t>
      </w:r>
    </w:p>
    <w:p>
      <w:pPr>
        <w:pStyle w:val="Heading2"/>
      </w:pPr>
      <w:r>
        <w:t xml:space="preserve">6 Sensor calibration</w:t>
      </w:r>
    </w:p>
    <w:p>
      <w:r>
        <w:t xml:space="preserve">The calibration parameters are listed below.</w:t>
      </w:r>
    </w:p>
    <w:p>
      <w:pPr>
        <w:pStyle w:val="Heading3"/>
      </w:pPr>
      <w:r>
        <w:t xml:space="preserve">6.2 Measurement accuracy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Range</w:t>
            </w:r>
          </w:p>
        </w:tc>
        <w:tc>
          <w:tcPr/>
          <w:p>
            <w:r>
              <w:t xml:space="preserve">0-100</w:t>
            </w:r>
          </w:p>
        </w:tc>
      </w:tr>
      <w:tr>
        <w:tc>
          <w:tcPr/>
          <w:p>
            <w:r>
              <w:t xml:space="preserve">Accuracy</w:t>
            </w:r>
          </w:p>
        </w:tc>
        <w:tc>
          <w:tcPr/>
          <w:p>
            <w:r>
              <w:t xml:space="preserve">±5 % (full scale)</w:t>
            </w:r>
          </w:p>
        </w:tc>
      </w:tr>
    </w:tbl>
    <w:p>
      <w:pPr>
        <w:pStyle w:val="Heading3"/>
      </w:pPr>
      <w:r>
        <w:t xml:space="preserve">6.3 Reporting interval</w:t>
      </w:r>
    </w:p>
    <w:p>
      <w:r>
        <w:t xml:space="preserve">The sensor shall report measurements every 100 milliseconds.</w:t>
      </w:r>
    </w:p>
    <w:p>
      <w:pPr>
        <w:pStyle w:val="Heading2"/>
      </w:pPr>
      <w:r>
        <w:t xml:space="preserve">7 Maintenance</w:t>
      </w:r>
    </w:p>
    <w:p>
      <w:r>
        <w:t xml:space="preserve">The unit must be serviced annually by qualified personnel.</w:t>
      </w:r>
    </w:p>
    <w:p>
      <w:pPr>
        <w:pStyle w:val="Heading3"/>
      </w:pPr>
      <w:r>
        <w:t xml:space="preserve">7.1 Firmware</w:t>
      </w:r>
    </w:p>
    <w:p>
      <w:r>
        <w:t xml:space="preserve">Firmware version 2.x or later is required for this product.</w:t>
      </w:r>
    </w:p>
    <w:p>
      <w:r>
        <w:t xml:space="preserve">Appendix A: wiring diagram</w:t>
      </w:r>
    </w:p>
    <w:tbl>
      <w:tr>
        <w:tc>
          <w:tcPr/>
          <w:p>
            <w:r>
              <w:t xml:space="preserve">Pin</w:t>
            </w:r>
          </w:p>
        </w:tc>
        <w:tc>
          <w:tcPr/>
          <w:p>
            <w:r>
              <w:t xml:space="preserve">Signal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VCC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GND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DATA</w:t>
            </w:r>
          </w:p>
        </w:tc>
      </w:tr>
    </w:tbl>
    <w:p>
      <w:r>
        <w:t xml:space="preserve">End of document.</w:t>
      </w:r>
    </w:p>
  </w:body>
</w:document>
</file>