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jc w:val="center"/>
      </w:pPr>
      <w:r>
        <w:rPr>
          <w:b/>
          <w:bCs/>
          <w:sz w:val="26"/>
          <w:szCs w:val="26"/>
        </w:rPr>
        <w:t xml:space="preserve">CONTRATO DE PRESTACIÓN DE SERVICIOS COMERCIALES</w:t>
      </w:r>
    </w:p>
    <w:p>
      <w:pPr>
        <w:spacing w:after="140"/>
        <w:jc w:val="both"/>
      </w:pPr>
      <w:r>
        <w:rPr>
          <w:sz w:val="22"/>
          <w:szCs w:val="22"/>
        </w:rPr>
        <w:t xml:space="preserve">Entre </w:t>
      </w:r>
      <w:r>
        <w:rPr>
          <w:b/>
          <w:bCs/>
          <w:sz w:val="22"/>
          <w:szCs w:val="22"/>
        </w:rPr>
        <w:t xml:space="preserve">NORTE SUR CONSULTING S.A.S.</w:t>
      </w:r>
      <w:r>
        <w:rPr>
          <w:sz w:val="22"/>
          <w:szCs w:val="22"/>
        </w:rPr>
        <w:t xml:space="preserve">, NIT 901.956.771-1, con domicilio en Medellín, representada por </w:t>
      </w:r>
      <w:r>
        <w:rPr>
          <w:b/>
          <w:bCs/>
          <w:sz w:val="22"/>
          <w:szCs w:val="22"/>
        </w:rPr>
        <w:t xml:space="preserve">MICHAEL CHARTRAND</w:t>
      </w:r>
      <w:r>
        <w:rPr>
          <w:sz w:val="22"/>
          <w:szCs w:val="22"/>
        </w:rPr>
        <w:t xml:space="preserve"> (C.E. No. 507742), en adelante </w:t>
      </w:r>
      <w:r>
        <w:rPr>
          <w:b/>
          <w:bCs/>
          <w:sz w:val="22"/>
          <w:szCs w:val="22"/>
        </w:rPr>
        <w:t xml:space="preserve">LA EMPRESA</w:t>
      </w:r>
      <w:r>
        <w:rPr>
          <w:sz w:val="22"/>
          <w:szCs w:val="22"/>
        </w:rPr>
        <w:t xml:space="preserve">; y </w:t>
      </w:r>
      <w:r>
        <w:rPr>
          <w:b/>
          <w:bCs/>
          <w:sz w:val="22"/>
          <w:szCs w:val="22"/>
        </w:rPr>
        <w:t xml:space="preserve">MARIA CAMILA RAMIREZ</w:t>
      </w:r>
      <w:r>
        <w:rPr>
          <w:sz w:val="22"/>
          <w:szCs w:val="22"/>
        </w:rPr>
        <w:t xml:space="preserve">, mayor de edad, identificada(o) con C.C. No. [CÉDULA] de [CIUDAD], en adelante </w:t>
      </w:r>
      <w:r>
        <w:rPr>
          <w:b/>
          <w:bCs/>
          <w:sz w:val="22"/>
          <w:szCs w:val="22"/>
        </w:rPr>
        <w:t xml:space="preserve">LA PERSONA VENDEDORA</w:t>
      </w:r>
      <w:r>
        <w:rPr>
          <w:sz w:val="22"/>
          <w:szCs w:val="22"/>
        </w:rPr>
        <w:t xml:space="preserve">, se celebra el presente contrato bajo las siguientes cláusulas:</w:t>
      </w:r>
    </w:p>
    <w:p>
      <w:pPr>
        <w:pStyle w:val="Heading2"/>
        <w:spacing w:after="80" w:before="180"/>
      </w:pPr>
      <w:r>
        <w:rPr>
          <w:b/>
          <w:bCs/>
          <w:sz w:val="22"/>
          <w:szCs w:val="22"/>
        </w:rPr>
        <w:t xml:space="preserve">1. OBJETO</w:t>
      </w:r>
    </w:p>
    <w:p>
      <w:pPr>
        <w:spacing w:after="140"/>
        <w:jc w:val="both"/>
      </w:pPr>
      <w:r>
        <w:rPr>
          <w:sz w:val="22"/>
          <w:szCs w:val="22"/>
        </w:rPr>
        <w:t xml:space="preserve">LA PERSONA VENDEDORA promoverá y venderá, por cuenta propia y sin subordinación, los productos de PymeWebPro: el producto base "La página de ventas" y los planes mensuales vigentes (Plan de presencia, Plan de ventas, u otros), conforme a los precios oficiales publicados por LA EMPRESA.</w:t>
      </w:r>
    </w:p>
    <w:p>
      <w:pPr>
        <w:pStyle w:val="Heading2"/>
        <w:spacing w:after="80" w:before="180"/>
      </w:pPr>
      <w:r>
        <w:rPr>
          <w:b/>
          <w:bCs/>
          <w:sz w:val="22"/>
          <w:szCs w:val="22"/>
        </w:rPr>
        <w:t xml:space="preserve">2. NATURALEZA · CONTRATISTA INDEPENDIENTE</w:t>
      </w:r>
    </w:p>
    <w:p>
      <w:pPr>
        <w:spacing w:after="140"/>
        <w:jc w:val="both"/>
      </w:pPr>
      <w:r>
        <w:rPr>
          <w:sz w:val="22"/>
          <w:szCs w:val="22"/>
        </w:rPr>
        <w:t xml:space="preserve">Este contrato es de prestación de servicios civil y comercial. No genera vínculo laboral, ni subordinación, ni exclusividad, ni horario. LA PERSONA VENDEDORA actúa con plena autonomía técnica y administrativa, asume sus propios riesgos, y es responsable de sus obligaciones tributarias, de seguridad social y parafiscales. Los términos relativos a personas en este contrato se utilizan con sentido neutro y se aplican indistintamente a personas de cualquier género.</w:t>
      </w:r>
    </w:p>
    <w:p>
      <w:pPr>
        <w:pStyle w:val="Heading2"/>
        <w:spacing w:after="80" w:before="180"/>
      </w:pPr>
      <w:r>
        <w:rPr>
          <w:b/>
          <w:bCs/>
          <w:sz w:val="22"/>
          <w:szCs w:val="22"/>
        </w:rPr>
        <w:t xml:space="preserve">3. COMISIONES</w:t>
      </w:r>
    </w:p>
    <w:p>
      <w:pPr>
        <w:spacing w:after="140"/>
        <w:jc w:val="both"/>
      </w:pPr>
      <w:r>
        <w:rPr>
          <w:sz w:val="22"/>
          <w:szCs w:val="22"/>
        </w:rPr>
        <w:t xml:space="preserve">LA EMPRESA pagará a LA PERSONA VENDEDORA, por cada venta cerrada y efectivamente pagada por el cliente:</w:t>
      </w:r>
    </w:p>
    <w:p>
      <w:pPr>
        <w:pStyle w:val="ListParagraph"/>
        <w:numPr>
          <w:ilvl w:val="0"/>
          <w:numId w:val="2"/>
        </w:numPr>
        <w:spacing w:after="80"/>
        <w:jc w:val="both"/>
      </w:pPr>
      <w:r>
        <w:rPr>
          <w:sz w:val="22"/>
          <w:szCs w:val="22"/>
        </w:rPr>
        <w:t xml:space="preserve">Veinte por ciento (20%) sobre el precio facturado al cliente del producto base "La página de ventas", pago único. Ejemplo: para una venta de $400.000 COP, la comisión es de $80.000 COP.</w:t>
      </w:r>
    </w:p>
    <w:p>
      <w:pPr>
        <w:pStyle w:val="ListParagraph"/>
        <w:numPr>
          <w:ilvl w:val="0"/>
          <w:numId w:val="2"/>
        </w:numPr>
        <w:spacing w:after="80"/>
        <w:jc w:val="both"/>
      </w:pPr>
      <w:r>
        <w:rPr>
          <w:sz w:val="22"/>
          <w:szCs w:val="22"/>
        </w:rPr>
        <w:t xml:space="preserve">Diez por ciento (10%) sobre cada mensualidad facturada al cliente del plan contratado, durante los doce (12) meses siguientes a la fecha de cierre de la venta. Ejemplo: para una mensualidad de $150.000 COP, la comisión es de $15.000 COP por mes.</w:t>
      </w:r>
    </w:p>
    <w:p>
      <w:pPr>
        <w:spacing w:after="140"/>
        <w:jc w:val="both"/>
      </w:pPr>
      <w:r>
        <w:rPr>
          <w:sz w:val="22"/>
          <w:szCs w:val="22"/>
        </w:rPr>
        <w:t xml:space="preserve">La comisión recurrente se causa únicamente sobre mensualidades efectivamente pagadas. Si el cliente cancela, no paga, hace contracargo o solicita reembolso, no se causa comisión. La obligación cesa a los 12 meses del cierre original.</w:t>
      </w:r>
    </w:p>
    <w:p>
      <w:pPr>
        <w:pStyle w:val="Heading2"/>
        <w:spacing w:after="80" w:before="180"/>
      </w:pPr>
      <w:r>
        <w:rPr>
          <w:b/>
          <w:bCs/>
          <w:sz w:val="22"/>
          <w:szCs w:val="22"/>
        </w:rPr>
        <w:t xml:space="preserve">4. PERIODO DE RETENCIÓN DE 30 DÍAS</w:t>
      </w:r>
    </w:p>
    <w:p>
      <w:pPr>
        <w:spacing w:after="140"/>
        <w:jc w:val="both"/>
      </w:pPr>
      <w:r>
        <w:rPr>
          <w:sz w:val="22"/>
          <w:szCs w:val="22"/>
        </w:rPr>
        <w:t xml:space="preserve">La comisión del 20% sobre la página se pagará únicamente después de transcurridos treinta (30) días calendario desde el cierre de la venta y el pago inicial del cliente, y siempre que el cliente no haya cancelado, reembolsado o iniciado contracargo durante ese periodo. Si lo hace, LA PERSONA VENDEDORA no tiene derecho a comisión sobre esa venta.</w:t>
      </w:r>
    </w:p>
    <w:p>
      <w:pPr>
        <w:pStyle w:val="Heading2"/>
        <w:spacing w:after="80" w:before="180"/>
      </w:pPr>
      <w:r>
        <w:rPr>
          <w:b/>
          <w:bCs/>
          <w:sz w:val="22"/>
          <w:szCs w:val="22"/>
        </w:rPr>
        <w:t xml:space="preserve">5. REQUISITOS PARA EL PAGO</w:t>
      </w:r>
    </w:p>
    <w:p>
      <w:pPr>
        <w:spacing w:after="140"/>
        <w:jc w:val="both"/>
      </w:pPr>
      <w:r>
        <w:rPr>
          <w:sz w:val="22"/>
          <w:szCs w:val="22"/>
        </w:rPr>
        <w:t xml:space="preserve">Como condición previa e indispensable para el pago de cualquier comisión, LA PERSONA VENDEDORA debe entregar mensualmente a LA EMPRESA:</w:t>
      </w:r>
    </w:p>
    <w:p>
      <w:pPr>
        <w:pStyle w:val="ListParagraph"/>
        <w:numPr>
          <w:ilvl w:val="0"/>
          <w:numId w:val="2"/>
        </w:numPr>
        <w:spacing w:after="80"/>
        <w:jc w:val="both"/>
      </w:pPr>
      <w:r>
        <w:rPr>
          <w:sz w:val="22"/>
          <w:szCs w:val="22"/>
        </w:rPr>
        <w:t xml:space="preserve">Factura electrónica o documento equivalente conforme a la normatividad de la DIAN.</w:t>
      </w:r>
    </w:p>
    <w:p>
      <w:pPr>
        <w:pStyle w:val="ListParagraph"/>
        <w:numPr>
          <w:ilvl w:val="0"/>
          <w:numId w:val="2"/>
        </w:numPr>
        <w:spacing w:after="80"/>
        <w:jc w:val="both"/>
      </w:pPr>
      <w:r>
        <w:rPr>
          <w:sz w:val="22"/>
          <w:szCs w:val="22"/>
        </w:rPr>
        <w:t xml:space="preserve">Copia de la planilla PILA del mes inmediatamente anterior, acreditando el pago de aportes a salud, pensión y ARL sobre el 40% del ingreso mensualizado.</w:t>
      </w:r>
    </w:p>
    <w:p>
      <w:pPr>
        <w:spacing w:after="140"/>
        <w:jc w:val="both"/>
      </w:pPr>
      <w:r>
        <w:rPr>
          <w:sz w:val="22"/>
          <w:szCs w:val="22"/>
        </w:rPr>
        <w:t xml:space="preserve">Sin estos documentos, LA EMPRESA suspende el pago sin generar mora ni indemnización. Las comisiones se liquidan dentro de los primeros diez (10) días hábiles del mes siguiente al de causación. LA EMPRESA practicará retención en la fuente y ReteICA según la normatividad vigente.</w:t>
      </w:r>
    </w:p>
    <w:p>
      <w:pPr>
        <w:pStyle w:val="Heading2"/>
        <w:spacing w:after="80" w:before="180"/>
      </w:pPr>
      <w:r>
        <w:rPr>
          <w:b/>
          <w:bCs/>
          <w:sz w:val="22"/>
          <w:szCs w:val="22"/>
        </w:rPr>
        <w:t xml:space="preserve">6. ATRIBUCIÓN DE VENTAS</w:t>
      </w:r>
    </w:p>
    <w:p>
      <w:pPr>
        <w:spacing w:after="140"/>
        <w:jc w:val="both"/>
      </w:pPr>
      <w:r>
        <w:rPr>
          <w:sz w:val="22"/>
          <w:szCs w:val="22"/>
        </w:rPr>
        <w:t xml:space="preserve">Se atribuye a LA PERSONA VENDEDORA la venta cuyo prospecto haya sido registrado por él en la plataforma de comisiones (ventas.pymewebpro.com/comisiones/) antes del cierre. En caso de duplicación o conflicto, prevalece el registro más antiguo y la decisión final corresponde a LA EMPRESA.</w:t>
      </w:r>
    </w:p>
    <w:p>
      <w:pPr>
        <w:pStyle w:val="Heading2"/>
        <w:spacing w:after="80" w:before="180"/>
      </w:pPr>
      <w:r>
        <w:rPr>
          <w:b/>
          <w:bCs/>
          <w:sz w:val="22"/>
          <w:szCs w:val="22"/>
        </w:rPr>
        <w:t xml:space="preserve">7. CONFIDENCIALIDAD</w:t>
      </w:r>
    </w:p>
    <w:p>
      <w:pPr>
        <w:spacing w:after="140"/>
        <w:jc w:val="both"/>
      </w:pPr>
      <w:r>
        <w:rPr>
          <w:sz w:val="22"/>
          <w:szCs w:val="22"/>
        </w:rPr>
        <w:t xml:space="preserve">LA PERSONA VENDEDORA guardará reserva sobre la información comercial, técnica y de clientes a la que acceda en virtud del contrato. Esta obligación subsiste por dos (2) años después de la terminación.</w:t>
      </w:r>
    </w:p>
    <w:p>
      <w:pPr>
        <w:pStyle w:val="Heading2"/>
        <w:spacing w:after="80" w:before="180"/>
      </w:pPr>
      <w:r>
        <w:rPr>
          <w:b/>
          <w:bCs/>
          <w:sz w:val="22"/>
          <w:szCs w:val="22"/>
        </w:rPr>
        <w:t xml:space="preserve">8. DURACIÓN Y TERMINACIÓN</w:t>
      </w:r>
    </w:p>
    <w:p>
      <w:pPr>
        <w:spacing w:after="140"/>
        <w:jc w:val="both"/>
      </w:pPr>
      <w:r>
        <w:rPr>
          <w:sz w:val="22"/>
          <w:szCs w:val="22"/>
        </w:rPr>
        <w:t xml:space="preserve">Duración indefinida desde la firma. Cualquiera de las partes puede terminarlo sin causa con preaviso escrito de quince (15) días calendario, sin derecho a indemnización. Las comisiones ya causadas a la fecha de terminación (es decir, aquellas correspondientes a ventas cerradas y pagadas por el cliente, y mensualidades efectivamente cobradas) se liquidarán y pagarán normalmente conforme a la cláusula 5.</w:t>
      </w:r>
    </w:p>
    <w:p>
      <w:pPr>
        <w:spacing w:after="140"/>
        <w:jc w:val="both"/>
      </w:pPr>
      <w:r>
        <w:rPr>
          <w:sz w:val="22"/>
          <w:szCs w:val="22"/>
        </w:rPr>
        <w:t xml:space="preserve">Efectos sobre comisiones futuras según la causa de terminación:</w:t>
      </w:r>
    </w:p>
    <w:p>
      <w:pPr>
        <w:pStyle w:val="ListParagraph"/>
        <w:numPr>
          <w:ilvl w:val="0"/>
          <w:numId w:val="2"/>
        </w:numPr>
        <w:spacing w:after="80"/>
        <w:jc w:val="both"/>
      </w:pPr>
      <w:r>
        <w:rPr>
          <w:sz w:val="22"/>
          <w:szCs w:val="22"/>
        </w:rPr>
        <w:t xml:space="preserve">Si LA EMPRESA termina sin causa: LA PERSONA VENDEDORA conserva el derecho a las comisiones recurrentes del 10% sobre las mensualidades futuras de sus clientes activos, hasta completar los 12 meses pactados desde el cierre original de cada venta, siempre que dichos clientes sigan pagando.</w:t>
      </w:r>
    </w:p>
    <w:p>
      <w:pPr>
        <w:pStyle w:val="ListParagraph"/>
        <w:numPr>
          <w:ilvl w:val="0"/>
          <w:numId w:val="2"/>
        </w:numPr>
        <w:spacing w:after="80"/>
        <w:jc w:val="both"/>
      </w:pPr>
      <w:r>
        <w:rPr>
          <w:sz w:val="22"/>
          <w:szCs w:val="22"/>
        </w:rPr>
        <w:t xml:space="preserve">Si LA PERSONA VENDEDORA renuncia voluntariamente: no tendrá derecho a comisiones recurrentes sobre mensualidades posteriores a la fecha efectiva de terminación.</w:t>
      </w:r>
    </w:p>
    <w:p>
      <w:pPr>
        <w:pStyle w:val="ListParagraph"/>
        <w:numPr>
          <w:ilvl w:val="0"/>
          <w:numId w:val="2"/>
        </w:numPr>
        <w:spacing w:after="80"/>
        <w:jc w:val="both"/>
      </w:pPr>
      <w:r>
        <w:rPr>
          <w:sz w:val="22"/>
          <w:szCs w:val="22"/>
        </w:rPr>
        <w:t xml:space="preserve">Si LA EMPRESA termina con justa causa por incumplimiento grave, violación de confidencialidad, tergiversación de precios, o registro fraudulento de prospectos: LA PERSONA VENDEDORA pierde toda comisión sobre ventas no cerradas a esa fecha y toda comisión recurrente futura. Las comisiones ya causadas a la fecha de terminación se pagarán normalmente.</w:t>
      </w:r>
    </w:p>
    <w:p>
      <w:pPr>
        <w:pStyle w:val="Heading2"/>
        <w:spacing w:after="80" w:before="180"/>
      </w:pPr>
      <w:r>
        <w:rPr>
          <w:b/>
          <w:bCs/>
          <w:sz w:val="22"/>
          <w:szCs w:val="22"/>
        </w:rPr>
        <w:t xml:space="preserve">9. LEY APLICABLE Y JURISDICCIÓN</w:t>
      </w:r>
    </w:p>
    <w:p>
      <w:pPr>
        <w:spacing w:after="140"/>
        <w:jc w:val="both"/>
      </w:pPr>
      <w:r>
        <w:rPr>
          <w:sz w:val="22"/>
          <w:szCs w:val="22"/>
        </w:rPr>
        <w:t xml:space="preserve">Este contrato se rige por la ley colombiana. Cualquier controversia se someterá a los jueces de Medellín, con renuncia a cualquier otro fuero.</w:t>
      </w:r>
    </w:p>
    <w:p>
      <w:pPr>
        <w:spacing w:after="140"/>
        <w:jc w:val="both"/>
      </w:pPr>
      <w:r>
        <w:rPr>
          <w:sz w:val="22"/>
          <w:szCs w:val="22"/>
        </w:rPr>
        <w:t xml:space="preserve">En constancia se firma en Medellín, a los [DÍA] de [MES] de 2026.</w:t>
      </w:r>
    </w:p>
    <w:p>
      <w:pPr>
        <w:pBdr>
          <w:top w:val="single" w:color="000000" w:sz="6" w:space="6"/>
        </w:pBdr>
        <w:spacing w:after="40" w:before="500"/>
      </w:pPr>
      <w:r>
        <w:rPr>
          <w:sz w:val="22"/>
          <w:szCs w:val="22"/>
        </w:rPr>
        <w:t xml:space="preserve">MICHAEL CHARTRAND</w:t>
      </w:r>
    </w:p>
    <w:p>
      <w:pPr>
        <w:spacing w:after="140"/>
        <w:jc w:val="left"/>
      </w:pPr>
      <w:r>
        <w:rPr>
          <w:sz w:val="22"/>
          <w:szCs w:val="22"/>
        </w:rPr>
        <w:t xml:space="preserve">C.E. No. 507742 · Representante Legal</w:t>
      </w:r>
    </w:p>
    <w:p>
      <w:pPr>
        <w:spacing w:after="140"/>
        <w:jc w:val="left"/>
      </w:pPr>
      <w:r>
        <w:rPr>
          <w:b/>
          <w:bCs/>
          <w:sz w:val="22"/>
          <w:szCs w:val="22"/>
        </w:rPr>
        <w:t xml:space="preserve">NORTE SUR CONSULTING S.A.S. · NIT 901.956.771-1</w:t>
      </w:r>
    </w:p>
    <w:p>
      <w:pPr>
        <w:pBdr>
          <w:top w:val="single" w:color="000000" w:sz="6" w:space="6"/>
        </w:pBdr>
        <w:spacing w:after="40" w:before="500"/>
      </w:pPr>
      <w:r>
        <w:rPr>
          <w:sz w:val="22"/>
          <w:szCs w:val="22"/>
        </w:rPr>
        <w:t xml:space="preserve">MARIA CAMILA RAMIREZ</w:t>
      </w:r>
    </w:p>
    <w:p>
      <w:pPr>
        <w:spacing w:after="140"/>
        <w:jc w:val="left"/>
      </w:pPr>
      <w:r>
        <w:rPr>
          <w:sz w:val="22"/>
          <w:szCs w:val="22"/>
        </w:rPr>
        <w:t xml:space="preserve">C.C. No. [CÉDULA]</w:t>
      </w:r>
    </w:p>
    <w:p>
      <w:pPr>
        <w:spacing w:after="140"/>
        <w:jc w:val="left"/>
      </w:pPr>
      <w:r>
        <w:rPr>
          <w:b/>
          <w:bCs/>
          <w:sz w:val="22"/>
          <w:szCs w:val="22"/>
        </w:rPr>
        <w:t xml:space="preserve">LA PERSONA VENDEDORA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Norte Sur Consulting S.A.S. · NIT 901.956.771-1 · 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sz w:val="26"/>
      <w:szCs w:val="26"/>
    </w:rPr>
  </w:style>
  <w:style w:type="paragraph" w:styleId="Heading2">
    <w:name w:val="Heading 2"/>
    <w:basedOn w:val="Normal"/>
    <w:next w:val="Normal"/>
    <w:qFormat/>
    <w:pPr>
      <w:spacing w:after="8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 Comerciales · PymeWebPro</dc:title>
  <dc:creator>Norte Sur Consulting S.A.S.</dc:creator>
  <cp:lastModifiedBy>Un-named</cp:lastModifiedBy>
  <cp:revision>1</cp:revision>
  <dcterms:created xsi:type="dcterms:W3CDTF">2026-05-29T20:10:10.873Z</dcterms:created>
  <dcterms:modified xsi:type="dcterms:W3CDTF">2026-05-29T20:10:10.873Z</dcterms:modified>
</cp:coreProperties>
</file>

<file path=docProps/custom.xml><?xml version="1.0" encoding="utf-8"?>
<Properties xmlns="http://schemas.openxmlformats.org/officeDocument/2006/custom-properties" xmlns:vt="http://schemas.openxmlformats.org/officeDocument/2006/docPropsVTypes"/>
</file>