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5F7C" w14:textId="77777777" w:rsidR="0057706B" w:rsidRPr="0057706B" w:rsidRDefault="0057706B" w:rsidP="005770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7706B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14:paraId="3F4AEE37" w14:textId="77777777" w:rsidR="0057706B" w:rsidRPr="0057706B" w:rsidRDefault="0057706B" w:rsidP="0057706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7706B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14:paraId="38A18979" w14:textId="77777777" w:rsidR="0057706B" w:rsidRPr="0057706B" w:rsidRDefault="0057706B" w:rsidP="0057706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7706B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</w:p>
    <w:p w14:paraId="3933BDDB" w14:textId="2823CA77" w:rsidR="001C1E96" w:rsidRDefault="00C856EE"/>
    <w:p w14:paraId="001AF31A" w14:textId="6F2CDFFA" w:rsidR="0057706B" w:rsidRDefault="0057706B">
      <w:r>
        <w:t xml:space="preserve">Out of the 4000 Kickstarter campaigns studied, the highest rate of success were campaigns with goals of under the $1000 and then between $1000-4999. Goals asking for more and more money were less effective. Theatre by far had the most </w:t>
      </w:r>
      <w:proofErr w:type="spellStart"/>
      <w:r>
        <w:t>Kickstarters</w:t>
      </w:r>
      <w:proofErr w:type="spellEnd"/>
      <w:r>
        <w:t xml:space="preserve">, with an overall success rate </w:t>
      </w:r>
      <w:r w:rsidR="00D7270D">
        <w:t xml:space="preserve">of over 60%. Journalism campaigns fared the worst with all of them being </w:t>
      </w:r>
      <w:proofErr w:type="spellStart"/>
      <w:r w:rsidR="00D7270D">
        <w:t>canceld</w:t>
      </w:r>
      <w:proofErr w:type="spellEnd"/>
      <w:r w:rsidR="00D7270D">
        <w:t>, while Music campaigns had the highest success rates of all</w:t>
      </w:r>
      <w:r>
        <w:t xml:space="preserve"> </w:t>
      </w:r>
      <w:r w:rsidR="00D7270D">
        <w:t>main categories (77%).  Incidentally, May and June seemed to be the best time to start a campaign with December faring the worst.</w:t>
      </w:r>
    </w:p>
    <w:p w14:paraId="27995F46" w14:textId="41E8D82C" w:rsidR="00D7270D" w:rsidRDefault="00D7270D"/>
    <w:p w14:paraId="1CB9DE5D" w14:textId="69CB8492" w:rsidR="00D7270D" w:rsidRDefault="00C856EE">
      <w:r>
        <w:t xml:space="preserve">One of the biggest limitations to this dataset are the total amount of data points. 4000 seems like a good amount, but when broken up to categories and sub-categories, most of the ranges are from 20 to a couple hundred. </w:t>
      </w:r>
      <w:bookmarkStart w:id="0" w:name="_GoBack"/>
      <w:bookmarkEnd w:id="0"/>
    </w:p>
    <w:sectPr w:rsidR="00D7270D" w:rsidSect="00E8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45214"/>
    <w:multiLevelType w:val="multilevel"/>
    <w:tmpl w:val="012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EA"/>
    <w:rsid w:val="0057706B"/>
    <w:rsid w:val="00A31EFE"/>
    <w:rsid w:val="00C856EE"/>
    <w:rsid w:val="00D7270D"/>
    <w:rsid w:val="00E52EEA"/>
    <w:rsid w:val="00E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B694"/>
  <w15:chartTrackingRefBased/>
  <w15:docId w15:val="{2B6B4CF6-DFBE-5C42-86A4-0DF6A4D7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esteban</dc:creator>
  <cp:keywords/>
  <dc:description/>
  <cp:lastModifiedBy>michael esteban</cp:lastModifiedBy>
  <cp:revision>2</cp:revision>
  <dcterms:created xsi:type="dcterms:W3CDTF">2019-08-17T13:22:00Z</dcterms:created>
  <dcterms:modified xsi:type="dcterms:W3CDTF">2019-08-17T13:54:00Z</dcterms:modified>
</cp:coreProperties>
</file>