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University Timetable Engine</w:t>
      </w:r>
    </w:p>
    <w:p>
      <w:r>
        <w:br/>
      </w:r>
    </w:p>
    <w:p>
      <w:pPr>
        <w:jc w:val="center"/>
      </w:pPr>
      <w:r>
        <w:rPr>
          <w:b/>
          <w:color w:val="646464"/>
          <w:sz w:val="32"/>
        </w:rPr>
        <w:t>Comprehensive Business Proposal, Strategic Framework &amp; Technical Architecture</w:t>
      </w:r>
    </w:p>
    <w:p>
      <w:r>
        <w:br/>
        <w:br/>
        <w:br/>
        <w:br/>
        <w:br/>
        <w:br/>
      </w:r>
    </w:p>
    <w:p>
      <w:pPr>
        <w:jc w:val="center"/>
      </w:pPr>
      <w:r>
        <w:t>Prepared for: University Administration Boards</w:t>
        <w:br/>
        <w:t>Date: 2026</w:t>
        <w:br/>
        <w:t>Version: 3.0 (Enterprise Specification)</w:t>
      </w:r>
    </w:p>
    <w:p>
      <w:r>
        <w:br w:type="page"/>
      </w:r>
    </w:p>
    <w:p>
      <w:pPr>
        <w:pStyle w:val="Heading1"/>
        <w:spacing w:before="360" w:after="120"/>
      </w:pPr>
      <w:r>
        <w:t>1.0 Executive Summary</w:t>
      </w:r>
    </w:p>
    <w:p>
      <w:pPr>
        <w:spacing w:after="160" w:line="360" w:lineRule="auto"/>
        <w:jc w:val="both"/>
      </w:pPr>
      <w:r>
        <w:t>In the increasingly complex and intertwined ecosystem of modern higher education, administrative planning bottlenecks routinely stagnate critical campus resources infrastructure. Every single semester, highly paid and educated academic planners are tasked with an agonizing puzzle: mapping thousands of students, hundreds of faculty members, and severely limited physical infrastructure (such as standard lecture halls, specialized computer laboratories, and massive amphitheaters) into a highly rigid 5-day weekly grid.</w:t>
      </w:r>
    </w:p>
    <w:p>
      <w:pPr>
        <w:spacing w:after="160" w:line="360" w:lineRule="auto"/>
        <w:jc w:val="both"/>
      </w:pPr>
      <w:r>
        <w:t>Historically, this foundational process has been executed via rudimentary spreadsheets, legacy desktop software, or even physical magnetic whiteboards. The outcome is universally recognized as notoriously prone to catastrophic human error. The manifestations of these errors include double-booked lecturers struggling to be in two campuses at once, dangerously over-capacitated lecture halls violating local fire codes, and the overlapping of mandatory core courses which actively prevent students from graduating on time.</w:t>
      </w:r>
    </w:p>
    <w:p>
      <w:pPr>
        <w:spacing w:after="160" w:line="360" w:lineRule="auto"/>
        <w:jc w:val="both"/>
      </w:pPr>
      <w:r>
        <w:t>The Automated University Timetable Engine is a heavily optimized, deterministic, algorithm-driven Software as a Service (SaaS) solution architected from the ground up to eradicate these systemic inefficiencies globally. By purposefully leveraging advanced mathematical constraint-satisfaction algorithms rather than basic sequential placements, the proprietary platform aggressively digests massive, complex academic databases—including thousands of courses, varied student cohorts, and sprawling cross-campus departments. The result is a mathematically flawless, zero-conflict master schedule outputted in a matter of seconds rather than weeks.</w:t>
      </w:r>
    </w:p>
    <w:p>
      <w:pPr>
        <w:spacing w:after="160" w:line="360" w:lineRule="auto"/>
        <w:jc w:val="both"/>
      </w:pPr>
      <w:r>
        <w:t>This highly structured document serves as a systemic technical specification, a deep operational workflow manual, and a meticulously crafted strategic commercialization framework. It is intended to outline exactly how the proprietary platform technically functions at the codebase level, its specific target market demographics on a global scale, its overwhelming institutional value proposition over human labor, a scalable operational cost structure, and an aggressive Account-Based B2B marketing strategy specifically designed to capture elite institutional enterprise clients worldwide.</w:t>
      </w:r>
    </w:p>
    <w:p>
      <w:r>
        <w:br w:type="page"/>
      </w:r>
    </w:p>
    <w:p>
      <w:pPr>
        <w:pStyle w:val="Heading1"/>
        <w:spacing w:before="360" w:after="120"/>
      </w:pPr>
      <w:r>
        <w:t>2.0 The State of the Industry &amp; Problem Statement</w:t>
      </w:r>
    </w:p>
    <w:p>
      <w:pPr>
        <w:pStyle w:val="Heading2"/>
        <w:spacing w:before="360" w:after="120"/>
      </w:pPr>
      <w:r>
        <w:t>2.1 The Traditional Scheduling Crisis</w:t>
      </w:r>
    </w:p>
    <w:p>
      <w:pPr>
        <w:spacing w:after="160" w:line="360" w:lineRule="auto"/>
        <w:jc w:val="both"/>
      </w:pPr>
      <w:r>
        <w:t xml:space="preserve">The higher education logistics market remains decades behind consumer technology. Even in institutions with multimillion-dollar operating budgets, the deployment of time and spatial resources is managed via antiquated methods. As universities expand their admission intakes exponentially to drive revenue, the physical campus square footage rarely expands at the same rate. This creates incredible spatial friction. </w:t>
      </w:r>
    </w:p>
    <w:p>
      <w:pPr>
        <w:spacing w:after="160" w:line="360" w:lineRule="auto"/>
        <w:jc w:val="both"/>
      </w:pPr>
      <w:r>
        <w:t>Academic planners currently engage in a 4-to-6-week "negotiation war" prior to every semester. Faculty deans horde premium time slots (such as Tuesday 10:00 AM) and large lecture theaters, leading to intense political gridlock. Planners use Microsoft Excel to attempt to track three dynamic planes simultaneously: Lecturer Availability, Spatial Capacity, and Student Cohort Pathing. Because humans cannot actively calculate three-dimensional matrices across 5,000 independent variables, compromises are made. These compromises are the direct source of timetable clashes.</w:t>
      </w:r>
    </w:p>
    <w:p>
      <w:pPr>
        <w:pStyle w:val="Heading2"/>
        <w:spacing w:before="360" w:after="120"/>
      </w:pPr>
      <w:r>
        <w:t>2.2 The Financial Cost of Inefficiency</w:t>
      </w:r>
    </w:p>
    <w:p>
      <w:pPr>
        <w:spacing w:after="160" w:line="360" w:lineRule="auto"/>
        <w:jc w:val="both"/>
      </w:pPr>
      <w:r>
        <w:t>When a timetable is inefficient, the financial blowback to the university is multifaceted and severe, operating natively as a hidden operational tax:</w:t>
      </w:r>
    </w:p>
    <w:p>
      <w:pPr>
        <w:pStyle w:val="ListBullet"/>
        <w:spacing w:line="360" w:lineRule="auto" w:after="120"/>
      </w:pPr>
      <w:r>
        <w:t>The Administrative Payroll Tax: If a committee of four senior administrators spends five weeks resolving timetable clashes, the institution is burning roughly 800 hours of executive payroll on a task that yields zero academic or prestige output.</w:t>
      </w:r>
    </w:p>
    <w:p>
      <w:pPr>
        <w:pStyle w:val="ListBullet"/>
        <w:spacing w:line="360" w:lineRule="auto" w:after="120"/>
      </w:pPr>
      <w:r>
        <w:t>Real Estate Wastage: When a small 40-student seminar accidentally books a 500-seat main auditorium because the spreadsheet lacked dynamic capacity validation, the university is wasting climate control, electricity, and the opportunity cost of running a massive freshman lecture simultaneously.</w:t>
      </w:r>
    </w:p>
    <w:p>
      <w:pPr>
        <w:pStyle w:val="ListBullet"/>
        <w:spacing w:line="360" w:lineRule="auto" w:after="120"/>
      </w:pPr>
      <w:r>
        <w:t>Student Retention Drops: Overlapping mandatory courses forces students to manually drop subjects and extend their graduation timeline. Extending timelines leads to increased student frustration, higher dropout rates, and decreased alumni funding in the long term.</w:t>
      </w:r>
    </w:p>
    <w:p>
      <w:pPr>
        <w:spacing w:after="160" w:line="360" w:lineRule="auto"/>
        <w:jc w:val="both"/>
      </w:pPr>
      <w:r>
        <w:t>To mitigate these hidden taxes, a localized shift toward extreme automation is not a luxury software purchase but a fiscal necessity.</w:t>
      </w:r>
    </w:p>
    <w:p>
      <w:r>
        <w:br w:type="page"/>
      </w:r>
    </w:p>
    <w:p>
      <w:pPr>
        <w:pStyle w:val="Heading1"/>
        <w:spacing w:before="360" w:after="120"/>
      </w:pPr>
      <w:r>
        <w:t>3.0 System Architecture Overview</w:t>
      </w:r>
    </w:p>
    <w:p>
      <w:pPr>
        <w:spacing w:after="160" w:line="360" w:lineRule="auto"/>
        <w:jc w:val="both"/>
      </w:pPr>
      <w:r>
        <w:t>What distinctly separates this platform from generic off-the-shelf calendar applications (like Google Calendar or basic CRM schedulers) is its deep native comprehension of strict university operational constraints. The software is constructed on a specialized decoupled backend engine, utilizing a multi-pass capability checker that mathematically ensures absolute precision before yielding results.</w:t>
      </w:r>
    </w:p>
    <w:p>
      <w:pPr>
        <w:pStyle w:val="Heading2"/>
        <w:spacing w:before="360" w:after="120"/>
      </w:pPr>
      <w:r>
        <w:t>3.1 Full-Stack Technical Paradigm</w:t>
      </w:r>
    </w:p>
    <w:p>
      <w:pPr>
        <w:spacing w:after="160" w:line="360" w:lineRule="auto"/>
        <w:jc w:val="both"/>
      </w:pPr>
      <w:r>
        <w:t>The application utilizes a decoupled, API-first architecture designed to allow the backend logic processor to operate entirely independently of the frontend visualization matrices. This ensures maximum server stability and future-proofs the application for native mobile application integrations (iOS/Android).</w:t>
      </w:r>
    </w:p>
    <w:p>
      <w:pPr>
        <w:pStyle w:val="ListBullet"/>
        <w:spacing w:line="360" w:lineRule="auto" w:after="120"/>
      </w:pPr>
      <w:r>
        <w:t>Frontend (Visualization &amp; Interaction Layer): Powered by React.js &amp; TypeScript, enabling rapid client-side rendering of dense data matrices without triggering heavy-page reloads. It manages client-side filtering, UI animations, and physical print-layout generation native to the browser.</w:t>
      </w:r>
    </w:p>
    <w:p>
      <w:pPr>
        <w:pStyle w:val="ListBullet"/>
        <w:spacing w:line="360" w:lineRule="auto" w:after="120"/>
      </w:pPr>
      <w:r>
        <w:t>Backend (Logic, Algorithms, and API Pipeline): Driven by Django and Python. Python’s unparalleled dominance in data science and complex mathematics makes it the optimal choice for the constraint-satisfaction scheduling algorithm parsing tens of thousands of matrix nodes per second.</w:t>
      </w:r>
    </w:p>
    <w:p>
      <w:pPr>
        <w:pStyle w:val="ListBullet"/>
        <w:spacing w:line="360" w:lineRule="auto" w:after="120"/>
      </w:pPr>
      <w:r>
        <w:t>Database Architecture (State &amp; Relational Persistence): Relational data is strictly maintained in PostgreSQL. Given the deeply intertwined relationships between a Department, a Lecturer, a Course, and a specific Hall, a robust relational SQL database guarantees data integrity through strict foreign key constraints and cascaded deletions.</w:t>
      </w:r>
    </w:p>
    <w:p>
      <w:pPr>
        <w:pStyle w:val="Heading2"/>
        <w:spacing w:before="360" w:after="120"/>
      </w:pPr>
      <w:r>
        <w:t>3.2 The Constraint-Satisfaction Routing Engine</w:t>
      </w:r>
    </w:p>
    <w:p>
      <w:pPr>
        <w:spacing w:after="160" w:line="360" w:lineRule="auto"/>
        <w:jc w:val="both"/>
      </w:pPr>
      <w:r>
        <w:t>Algorithmically, scheduling a university is equivalent to the classic mathematical "Backpack Problem" or "N-Queens Problem," scaled exponentially. The scheduling engine does not merely "find an empty slot." Instead, it builds an immense three-dimensional matrix of time (Days/Hours), space (Lecture Halls), and actors (Student cohorts/Lecturers).</w:t>
      </w:r>
    </w:p>
    <w:p>
      <w:pPr>
        <w:spacing w:after="160" w:line="360" w:lineRule="auto"/>
        <w:jc w:val="both"/>
      </w:pPr>
      <w:r>
        <w:t>During the initial execution pass, the algorithm runs purely to establish negative space. It maps every single Hall’s physical capacity limit, and every single Lecturer’s stated unavailability day (e.g., "Professor X is not on campus on Fridays"). Only after mapping where courses CANNOT go, does the recursive assignment process begin.</w:t>
      </w:r>
    </w:p>
    <w:p>
      <w:r>
        <w:br w:type="page"/>
      </w:r>
    </w:p>
    <w:p>
      <w:pPr>
        <w:pStyle w:val="Heading1"/>
        <w:spacing w:before="360" w:after="120"/>
      </w:pPr>
      <w:r>
        <w:t>4.0 Core Algorithmic Functions (Deep Dive)</w:t>
      </w:r>
    </w:p>
    <w:p>
      <w:pPr>
        <w:spacing w:after="160" w:line="360" w:lineRule="auto"/>
        <w:jc w:val="both"/>
      </w:pPr>
      <w:r>
        <w:t>Every placement generated by the engine must mathematically survive four distinct filtration layers before being permanently committed to the PostgreSQL relational database.</w:t>
      </w:r>
    </w:p>
    <w:p>
      <w:pPr>
        <w:pStyle w:val="Heading2"/>
        <w:spacing w:before="360" w:after="120"/>
      </w:pPr>
      <w:r>
        <w:t>4.1 Lecturer Zero-Conflict Enforcement</w:t>
      </w:r>
    </w:p>
    <w:p>
      <w:pPr>
        <w:spacing w:after="160" w:line="360" w:lineRule="auto"/>
        <w:jc w:val="both"/>
      </w:pPr>
      <w:r>
        <w:t>A lecturer cannot physically exist in two different college campuses simultaneously. While humans tracking spreadsheets across separate departments often miss overlaps (e.g., the Science department assigns Prof. Smith at 10 AM, while Engineering independently assigns Prof. Smith at 10 AM), our master algorithm possesses total global view.</w:t>
      </w:r>
    </w:p>
    <w:p>
      <w:pPr>
        <w:spacing w:after="160" w:line="360" w:lineRule="auto"/>
        <w:jc w:val="both"/>
      </w:pPr>
      <w:r>
        <w:t>Upon attempting to schedule a course, the engine instantly queries the `LecturerUnavailability` matrix. It verifies the targeted Day, Time-Block, and Duration against every previously scheduled node tied to that specific `Lecturer ID`. If a collision is mapped, the algorithm abandons the time slot and immediately iterates to the next valid configuration.</w:t>
      </w:r>
    </w:p>
    <w:p>
      <w:pPr>
        <w:pStyle w:val="Heading2"/>
        <w:spacing w:before="360" w:after="120"/>
      </w:pPr>
      <w:r>
        <w:t>4.2 Intelligent Capacity &amp; Upper-Bound Constraint Scaling</w:t>
      </w:r>
    </w:p>
    <w:p>
      <w:pPr>
        <w:spacing w:after="160" w:line="360" w:lineRule="auto"/>
        <w:jc w:val="both"/>
      </w:pPr>
      <w:r>
        <w:t>Traditional, primitive scheduling algorithms only utilize a "Lower Bound Limit." They ask the database: "Is the capacity of Hall X &gt;= the student count?" While mathematically functional, this logic allows disastrous resource allocation where a 15-person specialized tutorial is allocated to an 800-seat massive amphitheater simply because 800 is greater than 15.</w:t>
      </w:r>
    </w:p>
    <w:p>
      <w:pPr>
        <w:spacing w:after="160" w:line="360" w:lineRule="auto"/>
        <w:jc w:val="both"/>
      </w:pPr>
      <w:r>
        <w:t>Our engine introduces the Proprietary Upper-Bound Multiplier Constraint. The algorithm strictly requires the hall capacity to be greater than the student count, but fundamentally LESS than the student count multiplied by our capacity threshold constant (or a minimal global baseline). This actively barricades intimate seminars from stealing massive campus infrastructure, strategically saving critical theaters for massive mandatory faculty courses.</w:t>
      </w:r>
    </w:p>
    <w:p>
      <w:pPr>
        <w:pStyle w:val="Heading2"/>
        <w:spacing w:before="360" w:after="120"/>
      </w:pPr>
      <w:r>
        <w:t>4.3 Cross-Listed (Shared Session) Normalization</w:t>
      </w:r>
    </w:p>
    <w:p>
      <w:pPr>
        <w:spacing w:after="160" w:line="360" w:lineRule="auto"/>
        <w:jc w:val="both"/>
      </w:pPr>
      <w:r>
        <w:t>In highly complex academic institutions, standard courses (like GNS101 or MTH101) are mandatory across widely disparate faculties. The legacy process dictates that the professor must teach the identical exact curriculum five separate times in a week to different departments.</w:t>
      </w:r>
    </w:p>
    <w:p>
      <w:pPr>
        <w:spacing w:after="160" w:line="360" w:lineRule="auto"/>
        <w:jc w:val="both"/>
      </w:pPr>
      <w:r>
        <w:t>Our `Shared Session ID` architecture acts as a mathematical unifier. The system algorithm parses the entire thousands-row course database hunting for matching session IDs. Before allocating a single timeslot, it artificially amalgamates these disparately logged courses into a singular "Mega-Cohort." It aggregates their exact joint student capacities, assigns a single time-slot, and discovers a massive combined-capacity hall. This inherently maximizes lecturer efficiency and immediately frees up four additional lecture blocks for the university.</w:t>
      </w:r>
    </w:p>
    <w:p>
      <w:pPr>
        <w:pStyle w:val="Heading2"/>
        <w:spacing w:before="360" w:after="120"/>
      </w:pPr>
      <w:r>
        <w:t>4.4 Temporal Contiguity &amp; Duration Partitioning Constraints</w:t>
      </w:r>
    </w:p>
    <w:p>
      <w:pPr>
        <w:spacing w:after="160" w:line="360" w:lineRule="auto"/>
        <w:jc w:val="both"/>
      </w:pPr>
      <w:r>
        <w:t>Academic retention drops precipitously when students are subjected to endless, unbroken lectures. Currently, a 3-unit course could accidentally be scheduled for three uninterrupted hours on a Monday afternoon. The engine utilizes Duration Partitioning logic.</w:t>
      </w:r>
    </w:p>
    <w:p>
      <w:pPr>
        <w:spacing w:after="160" w:line="360" w:lineRule="auto"/>
        <w:jc w:val="both"/>
      </w:pPr>
      <w:r>
        <w:t>When assessing heavy credit-load courses, the software refuses to assign monolithic blocks. Instead, it systematically splits heavy loads. A 3-hour requirement is algorithmically split into a 2-hour session and a subsequent 1-hour session. Furthermore, the engine cross-references the assigned Day, actively ensuring the 1-hour session does not land on the same afternoon as the 2-hour session, promoting healthy knowledge retention sequences across the week.</w:t>
      </w:r>
    </w:p>
    <w:p>
      <w:r>
        <w:br w:type="page"/>
      </w:r>
    </w:p>
    <w:p>
      <w:pPr>
        <w:pStyle w:val="Heading1"/>
        <w:spacing w:before="360" w:after="120"/>
      </w:pPr>
      <w:r>
        <w:t>5.0 Frontend Capabilities &amp; Administrator Experience</w:t>
      </w:r>
    </w:p>
    <w:p>
      <w:pPr>
        <w:spacing w:after="160" w:line="360" w:lineRule="auto"/>
        <w:jc w:val="both"/>
      </w:pPr>
      <w:r>
        <w:t>The most advanced mathematics are entirely useless if the human interface operating them is hostile. The architectural philosophy for the frontend dashboard is strict minimalism. We conceal the terrifying complexity of the relational database behind simple, rounded, highly responsive controls.</w:t>
      </w:r>
    </w:p>
    <w:p>
      <w:pPr>
        <w:pStyle w:val="Heading2"/>
        <w:spacing w:before="360" w:after="120"/>
      </w:pPr>
      <w:r>
        <w:t>5.1 Agile Bulk Data Onboarding Modules</w:t>
      </w:r>
    </w:p>
    <w:p>
      <w:pPr>
        <w:spacing w:after="160" w:line="360" w:lineRule="auto"/>
        <w:jc w:val="both"/>
      </w:pPr>
      <w:r>
        <w:t>A new university client possesses tens of thousands of legacy records. Expecting administrators to manually type 4,000 courses into webforms guarantees immediate client churn. The platform features robust CSV and Excel ingestion pipelines.</w:t>
      </w:r>
    </w:p>
    <w:p>
      <w:pPr>
        <w:spacing w:after="160" w:line="360" w:lineRule="auto"/>
        <w:jc w:val="both"/>
      </w:pPr>
      <w:r>
        <w:t>The administrator simply drags and drops their raw institutional spreadsheets. The frontend securely bundles this payload and pushes it to the backend engine where custom parsers strictly validate the data types. Within milliseconds, massive institutional ecosystems—Colleges, Departments, Staff Rolls, and Resource Halls—are instantiated in the database dynamically.</w:t>
      </w:r>
    </w:p>
    <w:p>
      <w:pPr>
        <w:pStyle w:val="Heading2"/>
        <w:spacing w:before="360" w:after="120"/>
      </w:pPr>
      <w:r>
        <w:t>5.2 Dynamic Matrix Visualizations &amp; Micro-Interactions</w:t>
      </w:r>
    </w:p>
    <w:p>
      <w:pPr>
        <w:spacing w:after="160" w:line="360" w:lineRule="auto"/>
        <w:jc w:val="both"/>
      </w:pPr>
      <w:r>
        <w:t>The generated timetable is visualized using a heavily customized, scrollable CSS-grid representation of the week. To allow administrators to rapidly scan data flows visually rather than textually, heavy color theory is leveraged. Classes are natively color-coded by their Academic Level. For example, all 100-Level freshman courses are tinted in emerald greens, 200-Level in greys, and 400-Level senior blocks in crimson reds. Within a fraction of a second of viewing the grid, an administrator instinctively understands the cohort density layout.</w:t>
      </w:r>
    </w:p>
    <w:p>
      <w:pPr>
        <w:pStyle w:val="Heading2"/>
        <w:spacing w:before="360" w:after="120"/>
      </w:pPr>
      <w:r>
        <w:t>5.3 Multi-Dimensional Filtering &amp; Diagnostic Toggles</w:t>
      </w:r>
    </w:p>
    <w:p>
      <w:pPr>
        <w:spacing w:after="160" w:line="360" w:lineRule="auto"/>
        <w:jc w:val="both"/>
      </w:pPr>
      <w:r>
        <w:t>A master timetable for a 40,000-student university looks like white noise when viewed simultaneously. The application features strict client-side reactive filtering. Without requiring subsequent slower network requests, a university registrar can use dropdown controls to instantly collapse the global view. They can isolate the grid to exclusively display the College of Engineering, instantly zoom into exclusively 300-Level schedules, or view exclusively what classes are happening inside "Lecture Theater A" next week. The capability to visually debug and audit the generated data instantaneously builds profound institutional trust.</w:t>
      </w:r>
    </w:p>
    <w:p>
      <w:pPr>
        <w:pStyle w:val="Heading2"/>
        <w:spacing w:before="360" w:after="120"/>
      </w:pPr>
      <w:r>
        <w:t>5.4 The Custom Printer CSS Export Renderer</w:t>
      </w:r>
    </w:p>
    <w:p>
      <w:pPr>
        <w:spacing w:after="160" w:line="360" w:lineRule="auto"/>
        <w:jc w:val="both"/>
      </w:pPr>
      <w:r>
        <w:t>Despite pushes for complete digital transformation, global higher education relies heavily on tangible notice-boards. Converting a complex, scrolling HTML web application into a clean physical print is notoriously difficult in web development.</w:t>
      </w:r>
    </w:p>
    <w:p>
      <w:pPr>
        <w:spacing w:after="160" w:line="360" w:lineRule="auto"/>
        <w:jc w:val="both"/>
      </w:pPr>
      <w:r>
        <w:t>The UI features a specific Print Portal ecosystem. When activated, native CSS Media Queries strip away entirely non-essential interface elements—sidebars, navigation headers, generation buttons, and drop shadows are removed. The entire matrix rescales dynamically to adhere strictly to A4 landscape paginations. The font replaces aesthetic weights with high-legibility Arial, replacing colored backgrounds with sharp contrast borders, allowing universities to generate formal, crisp physical campus bulletins instantly.</w:t>
      </w:r>
    </w:p>
    <w:p>
      <w:r>
        <w:br w:type="page"/>
      </w:r>
    </w:p>
    <w:p>
      <w:pPr>
        <w:pStyle w:val="Heading1"/>
        <w:spacing w:before="360" w:after="120"/>
      </w:pPr>
      <w:r>
        <w:t>6.0 Target Market Analysis &amp; Operational Demographics</w:t>
      </w:r>
    </w:p>
    <w:p>
      <w:pPr>
        <w:spacing w:after="160" w:line="360" w:lineRule="auto"/>
        <w:jc w:val="both"/>
      </w:pPr>
      <w:r>
        <w:t>Our software provides no value to tiny operations (like a local tennis club with 4 instructors). Our Total Addressable Market (TAM) is strictly limited to rigorous, large-scale educational operations. However, this is one of the most profitable, recession-proof enterprise sectors in global economics.</w:t>
      </w:r>
    </w:p>
    <w:p>
      <w:pPr>
        <w:pStyle w:val="Heading2"/>
        <w:spacing w:before="360" w:after="120"/>
      </w:pPr>
      <w:r>
        <w:t>6.1 Tier 1: Mega-Universities &amp; State Colleges (Primary Focus)</w:t>
      </w:r>
    </w:p>
    <w:p>
      <w:pPr>
        <w:spacing w:after="160" w:line="360" w:lineRule="auto"/>
        <w:jc w:val="both"/>
      </w:pPr>
      <w:r>
        <w:t>Profile: Institutions containing anywhere from 10,000 to upwards of 60,000 students. These institutions behave effectively like independent small cities. They hold diverse arrays of massive faculties (Medicine, Law, Engineering, Arts) which frequently intermix. Due to massive student populations, lecture hall capacity is the absolute primary constraint.</w:t>
      </w:r>
    </w:p>
    <w:p>
      <w:pPr>
        <w:spacing w:after="160" w:line="360" w:lineRule="auto"/>
        <w:jc w:val="both"/>
      </w:pPr>
      <w:r>
        <w:t>Actionable Pain Point: The scheduling process here is a massive, multi-week logistical undertaking often managed by a dedicated board of 10+ employees. The risk profile is extreme; a scheduling misstep could cause cascading failures across tens of thousands of student accounts.</w:t>
      </w:r>
    </w:p>
    <w:p>
      <w:pPr>
        <w:pStyle w:val="Heading2"/>
        <w:spacing w:before="360" w:after="120"/>
      </w:pPr>
      <w:r>
        <w:t>6.2 Tier 2: Polytechnics &amp; Standard Institutes of Technology</w:t>
      </w:r>
    </w:p>
    <w:p>
      <w:pPr>
        <w:spacing w:after="160" w:line="360" w:lineRule="auto"/>
        <w:jc w:val="both"/>
      </w:pPr>
      <w:r>
        <w:t>Profile: Institutions housing 2,000 to 15,000 students characterized by an extremely heavy reliance on highly specialized infrastructure such as biochemical laboratories, architecture studios, and heavy-machinery workshops.</w:t>
      </w:r>
    </w:p>
    <w:p>
      <w:pPr>
        <w:spacing w:after="160" w:line="360" w:lineRule="auto"/>
        <w:jc w:val="both"/>
      </w:pPr>
      <w:r>
        <w:t>Actionable Pain Point: Unlike standard lecture halls which are universally adaptable, a chemistry lab can exclusively host chemistry courses. Standard calendar software utterly fails to manage these hard geographical resource constraints, making our constraint-satisfaction engine highly desirable.</w:t>
      </w:r>
    </w:p>
    <w:p>
      <w:pPr>
        <w:pStyle w:val="Heading2"/>
        <w:spacing w:before="360" w:after="120"/>
      </w:pPr>
      <w:r>
        <w:t>6.3 Tier 3: Elite High Schools &amp; Global Corporate Academies</w:t>
      </w:r>
    </w:p>
    <w:p>
      <w:pPr>
        <w:spacing w:after="160" w:line="360" w:lineRule="auto"/>
        <w:jc w:val="both"/>
      </w:pPr>
      <w:r>
        <w:t>Profile: Massive secondary schools transitioning away from standard homeroom paradigms towards university-lite modular elective structures, alongside massive corporate training bootcamps spinning up transient employee cohorts.</w:t>
      </w:r>
    </w:p>
    <w:p>
      <w:pPr>
        <w:spacing w:after="160" w:line="360" w:lineRule="auto"/>
        <w:jc w:val="both"/>
      </w:pPr>
      <w:r>
        <w:t>Actionable Pain Point: They suffer from high agility demands. Instructors call in sick, and massive sudden shifts in cohort sizes demand an engine that can discard its schedule and instantly recalculate a brand new master grid in 10 seconds.</w:t>
      </w:r>
    </w:p>
    <w:p>
      <w:pPr>
        <w:pStyle w:val="Heading2"/>
        <w:spacing w:before="360" w:after="120"/>
      </w:pPr>
      <w:r>
        <w:t>6.4 Persona Deep Dive: The Triumvirate of Academic Purchasing</w:t>
      </w:r>
    </w:p>
    <w:p>
      <w:pPr>
        <w:spacing w:after="160" w:line="360" w:lineRule="auto"/>
        <w:jc w:val="both"/>
      </w:pPr>
      <w:r>
        <w:t>B2B Enterprise deals operate on consensus. To successfully onboard an institution, our commercial outreach must simultaneously satisfy three entirely distinct human psyches.</w:t>
      </w:r>
    </w:p>
    <w:p>
      <w:pPr>
        <w:pStyle w:val="ListBullet"/>
        <w:spacing w:line="360" w:lineRule="auto" w:after="120"/>
      </w:pPr>
      <w:r>
        <w:t>The Director of Academic Planning (The Champion): Their primary motivation is sanity. They want to completely eradicate the paralyzing stress, late-night spreadsheets, and relentless staff complaints characteristic of the semester prep-week. They buy based strictly on Software Accuracy and Emotional Relief.</w:t>
      </w:r>
    </w:p>
    <w:p>
      <w:pPr>
        <w:pStyle w:val="ListBullet"/>
        <w:spacing w:line="360" w:lineRule="auto" w:after="120"/>
      </w:pPr>
      <w:r>
        <w:t>The Vice-Chancellor / Provost (The Economic Buyer): They operate at 30,000 feet. They care about institutional prestige, reducing wasteful administrative payroll bloat, budget efficiency, and guaranteeing a seamless operational experience for paying students. They buy exclusively based on demonstrable ROI (Return on Investment).</w:t>
      </w:r>
    </w:p>
    <w:p>
      <w:pPr>
        <w:pStyle w:val="ListBullet"/>
        <w:spacing w:line="360" w:lineRule="auto" w:after="120"/>
      </w:pPr>
      <w:r>
        <w:t>The Head of University IT (The Technical Veto): Their default position for external software is suspicion. They care strictly about data governance compliance, cloud security, uptime Service Level Agreements (SLAs), and the capability to pull timetable data via endpoints to populate student dashboards. They buy based on Reliability and Technological Moderism.</w:t>
      </w:r>
    </w:p>
    <w:p>
      <w:r>
        <w:br w:type="page"/>
      </w:r>
    </w:p>
    <w:p>
      <w:pPr>
        <w:pStyle w:val="Heading1"/>
        <w:spacing w:before="360" w:after="120"/>
      </w:pPr>
      <w:r>
        <w:t>7.0 Business Model &amp; SaaS Economics</w:t>
      </w:r>
    </w:p>
    <w:p>
      <w:pPr>
        <w:spacing w:after="160" w:line="360" w:lineRule="auto"/>
        <w:jc w:val="both"/>
      </w:pPr>
      <w:r>
        <w:t>The enterprise explicitly functions on a B2B Software as a Service (SaaS) architecture. Unlike direct-to-consumer software lacking lock-in, university enterprise software yields historically high operational reliance. Once an institution fully ports its departments, lecturers, and historical paths into our database framework, their churn risk drops to near-zero as migrating away represents incredible administrative operational distress.</w:t>
      </w:r>
    </w:p>
    <w:p>
      <w:pPr>
        <w:pStyle w:val="Heading2"/>
        <w:spacing w:before="360" w:after="120"/>
      </w:pPr>
      <w:r>
        <w:t>7.1 Underlying OpEx Model (Operational Expenditure)</w:t>
      </w:r>
    </w:p>
    <w:p>
      <w:pPr>
        <w:spacing w:after="160" w:line="360" w:lineRule="auto"/>
        <w:jc w:val="both"/>
      </w:pPr>
      <w:r>
        <w:t>Because the engine operates asynchronously on cloud environments, the variable cost to serve an additional university is effectively negligible. This yields astronomically high gross software profit margins.</w:t>
      </w:r>
    </w:p>
    <w:p>
      <w:pPr>
        <w:pStyle w:val="ListBullet"/>
        <w:spacing w:line="360" w:lineRule="auto" w:after="120"/>
      </w:pPr>
      <w:r>
        <w:t>Cloud Architecture &amp; Computation: Relies on managed scalable server hosting methodologies via providers such as Vercel/AWS, intrinsically executing heavy data sets via PostgreSQL instances. Compute cost fluctuates dynamically on algorithm invocation but averages highly stably across non-peak semester months.</w:t>
      </w:r>
    </w:p>
    <w:p>
      <w:pPr>
        <w:pStyle w:val="ListBullet"/>
        <w:spacing w:line="360" w:lineRule="auto" w:after="120"/>
      </w:pPr>
      <w:r>
        <w:t>Dedicated Customer Success Staffing: High-touch enterprise software requires exceptional hand-holding during initial week-1 deployment. Human resources are deployed strictly to help older university registrars map their historical CSV spreadsheets into our correct formats to ensure their onboarding experience yields total institutional faith in the product.</w:t>
      </w:r>
    </w:p>
    <w:p>
      <w:pPr>
        <w:pStyle w:val="ListBullet"/>
        <w:spacing w:line="360" w:lineRule="auto" w:after="120"/>
      </w:pPr>
      <w:r>
        <w:t>Corporate Legal &amp; Governance Security: Institutional data carries extreme liability. Significant ongoing capitalization is deployed against continual penetration testing algorithms, SOC-2 compliance audits, and data obfuscation methodologies.</w:t>
      </w:r>
    </w:p>
    <w:p>
      <w:pPr>
        <w:pStyle w:val="Heading2"/>
        <w:spacing w:before="360" w:after="120"/>
      </w:pPr>
      <w:r>
        <w:t>7.2 Optimized Tiered Monetization Strategy</w:t>
      </w:r>
    </w:p>
    <w:p>
      <w:pPr>
        <w:spacing w:after="160" w:line="360" w:lineRule="auto"/>
        <w:jc w:val="both"/>
      </w:pPr>
      <w:r>
        <w:t>Pricing must never be advertised as a generic cost per user. It is framed as an Institutional License scaled strictly by the maximum processing capacity required.</w:t>
      </w:r>
    </w:p>
    <w:p>
      <w:pPr>
        <w:spacing w:after="160" w:line="360" w:lineRule="auto"/>
        <w:jc w:val="both"/>
      </w:pPr>
      <w:r>
        <w:rPr>
          <w:b/>
        </w:rPr>
        <w:t>Tier 1: Intramural / Institute Initial License ($3,500/yr)</w:t>
      </w:r>
      <w:r>
        <w:t xml:space="preserve"> </w:t>
      </w:r>
    </w:p>
    <w:p>
      <w:pPr>
        <w:spacing w:after="160" w:line="360" w:lineRule="auto"/>
        <w:jc w:val="both"/>
      </w:pPr>
      <w:r>
        <w:t>Specifically calibrated for independent faculties or highly agile corporate bootcamps. The engine limits total concurrent student tracking to 2,000 metrics and standard priority generation capabilities. It acts as an incredible initial entry wedge to eventually upsell massive university overarching networks.</w:t>
      </w:r>
    </w:p>
    <w:p>
      <w:pPr>
        <w:spacing w:after="160" w:line="360" w:lineRule="auto"/>
        <w:jc w:val="both"/>
      </w:pPr>
      <w:r>
        <w:rPr>
          <w:b/>
        </w:rPr>
        <w:t>Tier 2: Professional University Pipeline ($9,500/yr)</w:t>
      </w:r>
      <w:r>
        <w:t xml:space="preserve"> </w:t>
      </w:r>
    </w:p>
    <w:p>
      <w:pPr>
        <w:spacing w:after="160" w:line="360" w:lineRule="auto"/>
        <w:jc w:val="both"/>
      </w:pPr>
      <w:r>
        <w:t>The target sweet spot. Fully operationalization for state universities tracking up to 15,000 simultaneous students. Empowers full cross-listing capability, dedicated SLA infrastructure, and prioritized bandwidth ensuring 10-second master schedule completions despite heavy load densities.</w:t>
      </w:r>
    </w:p>
    <w:p>
      <w:pPr>
        <w:spacing w:after="160" w:line="360" w:lineRule="auto"/>
        <w:jc w:val="both"/>
      </w:pPr>
      <w:r>
        <w:rPr>
          <w:b/>
        </w:rPr>
        <w:t>Tier 3: Enterprise Unlimited Framework ($25,000+/yr Custom SLA)</w:t>
      </w:r>
      <w:r>
        <w:t xml:space="preserve"> </w:t>
      </w:r>
    </w:p>
    <w:p>
      <w:pPr>
        <w:spacing w:after="160" w:line="360" w:lineRule="auto"/>
        <w:jc w:val="both"/>
      </w:pPr>
      <w:r>
        <w:t>Deployed strictly for massive, multi-campus university conglomerations scaling past 40,000 students. This tier purchases physically isolated cloud databases, direct API webhook integrations mapped natively into their pre-existing generic Student Information Systems, and massive white-labeling capabilities (modifying our software natively into their distinct university visual brand).</w:t>
      </w:r>
    </w:p>
    <w:p>
      <w:r>
        <w:br w:type="page"/>
      </w:r>
    </w:p>
    <w:p>
      <w:pPr>
        <w:pStyle w:val="Heading1"/>
        <w:spacing w:before="360" w:after="120"/>
      </w:pPr>
      <w:r>
        <w:t>8.0 Go-To-Market (GTM) Acquisition Strategy</w:t>
      </w:r>
    </w:p>
    <w:p>
      <w:pPr>
        <w:spacing w:after="160" w:line="360" w:lineRule="auto"/>
        <w:jc w:val="both"/>
      </w:pPr>
      <w:r>
        <w:t>The execution of a B2C strategy (such as indiscriminate Google Ads or Facebook awareness campaigns) represents total economic failure within higher education. The process relies inherently on highly targeted Account-Based Marketing (ABM) and elite relationship negotiation.</w:t>
      </w:r>
    </w:p>
    <w:p>
      <w:pPr>
        <w:pStyle w:val="Heading2"/>
        <w:spacing w:before="360" w:after="120"/>
      </w:pPr>
      <w:r>
        <w:t>8.1 The "Trojan Horse" Free Pilot Penetration</w:t>
      </w:r>
    </w:p>
    <w:p>
      <w:pPr>
        <w:spacing w:after="160" w:line="360" w:lineRule="auto"/>
        <w:jc w:val="both"/>
      </w:pPr>
      <w:r>
        <w:t>University purchasing departments operate with extreme, risk-averse bureaucracy, frequently stalling software procurements for upwards of eighteen months. To entirely circumvent administrative gridlock, our sales mechanism leverages micro-deployments. We locate a massive target university and identify its most chaotic, scheduling-dense subset (e.g., The highly complex College of Engineering).</w:t>
      </w:r>
    </w:p>
    <w:p>
      <w:pPr>
        <w:spacing w:after="160" w:line="360" w:lineRule="auto"/>
        <w:jc w:val="both"/>
      </w:pPr>
      <w:r>
        <w:t>We approach the Dean of this isolated college directly with an overwhelming offer: A 100% Free, NO-Obligation Pilot Software deployment for their personal department for a single semester. We demand nothing from central IT or the purchasing board.</w:t>
      </w:r>
    </w:p>
    <w:p>
      <w:pPr>
        <w:spacing w:after="160" w:line="360" w:lineRule="auto"/>
        <w:jc w:val="both"/>
      </w:pPr>
      <w:r>
        <w:t>The psychological goal is immediate proof mapping. The human Engineering planners spend four grueling weeks formulating a schedule littered with five catastrophic hall clashes. While they suffer, we process their data on a Zoom call in 10 seconds to mathematical perfection. After experiencing seamless reality, the Dean of Engineering becomes a fiercely loyal internal champion who leverages their internal academic authority to force the Vice-Chancellor to procure the system globally for the broader university.</w:t>
      </w:r>
    </w:p>
    <w:p>
      <w:pPr>
        <w:pStyle w:val="Heading2"/>
        <w:spacing w:before="360" w:after="120"/>
      </w:pPr>
      <w:r>
        <w:t>8.2 Hyper-Targeted Outbound Executive Outreach</w:t>
      </w:r>
    </w:p>
    <w:p>
      <w:pPr>
        <w:spacing w:after="160" w:line="360" w:lineRule="auto"/>
        <w:jc w:val="both"/>
      </w:pPr>
      <w:r>
        <w:t>The deployment of highly curated sequence architectures using LinkedIn Sales Navigator to scrape explicitly for specific terminologies such as "Director of Academic Planning" within defined geographical boundaries. Messaging revolves heavily around emphasizing operational relief.</w:t>
      </w:r>
    </w:p>
    <w:p>
      <w:pPr>
        <w:spacing w:after="160" w:line="360" w:lineRule="auto"/>
        <w:jc w:val="both"/>
      </w:pPr>
      <w:r>
        <w:t>The pitch focuses solely on institutional pain: "We recently fully eradicated 100% of lecture scheduling hall clashes for University XYZ, reallocating exactly 400 senior administrative hours back into academic operations this semester alone. Our engine currently natively handles constraints you process locally via Excel logic. Are you available for a 15-minute mock generation demo next week?"</w:t>
      </w:r>
    </w:p>
    <w:p>
      <w:pPr>
        <w:pStyle w:val="Heading2"/>
        <w:spacing w:before="360" w:after="120"/>
      </w:pPr>
      <w:r>
        <w:t>8.3 Educational Authority Building (B2B SEO Magnetism)</w:t>
      </w:r>
    </w:p>
    <w:p>
      <w:pPr>
        <w:spacing w:after="160" w:line="360" w:lineRule="auto"/>
        <w:jc w:val="both"/>
      </w:pPr>
      <w:r>
        <w:t>We actively fund the publication of intensely scrutinized, data-driven academic whitepapers. Topics include "The True End-of-Run Financial Cost of Recurrent Timetable Clashes in Higher Education Organizations." These deep intellectual pieces act as highly effective B2B SEO (Search Engine Optimization) flytraps. When high-level academic administrators Google desperate queries like "best automated university timetable generator," they are directed toward deep-dive institutional consulting whitepapers rather than generic software sales pages.</w:t>
      </w:r>
    </w:p>
    <w:p>
      <w:r>
        <w:br w:type="page"/>
      </w:r>
    </w:p>
    <w:p>
      <w:pPr>
        <w:pStyle w:val="Heading1"/>
        <w:spacing w:before="360" w:after="120"/>
      </w:pPr>
      <w:r>
        <w:t>9.0 Future Roadmaps &amp; Algorithmic Escalation</w:t>
      </w:r>
    </w:p>
    <w:p>
      <w:pPr>
        <w:spacing w:after="160" w:line="360" w:lineRule="auto"/>
        <w:jc w:val="both"/>
      </w:pPr>
      <w:r>
        <w:t>To consistently maintain an impenetrable competitive operational moat against upstart educational suites, and to continually reduce institutional churn over multi-year software life cycles, the active development roadmap targets three distinct enterprise escalations.</w:t>
      </w:r>
    </w:p>
    <w:p>
      <w:pPr>
        <w:pStyle w:val="Heading2"/>
        <w:spacing w:before="360" w:after="120"/>
      </w:pPr>
      <w:r>
        <w:t>9.1 Machine Learning Predictive Resource Allocation</w:t>
      </w:r>
    </w:p>
    <w:p>
      <w:pPr>
        <w:spacing w:after="160" w:line="360" w:lineRule="auto"/>
        <w:jc w:val="both"/>
      </w:pPr>
      <w:r>
        <w:t>Transitioning from a strictly deterministic constraint tracker into a predictive modeling core. By natively feeding massive amounts of university historical enrollment data over trailing five-year segments, an embedded internal AI layer will reliably forecast which obscure elective courses have high probability densities of becoming overenrolled in the upcoming semester. This enables planners to secure significantly larger amphitheaters weeks prior to student physical registration influxes, resolving massive resource constraints before they physically manifest.</w:t>
      </w:r>
    </w:p>
    <w:p>
      <w:pPr>
        <w:pStyle w:val="Heading2"/>
        <w:spacing w:before="360" w:after="120"/>
      </w:pPr>
      <w:r>
        <w:t>9.2 Decentralized Role-Based Access Controls (RBAC)</w:t>
      </w:r>
    </w:p>
    <w:p>
      <w:pPr>
        <w:spacing w:after="160" w:line="360" w:lineRule="auto"/>
        <w:jc w:val="both"/>
      </w:pPr>
      <w:r>
        <w:t>Expanding the primary application away from a singular central administrative engine into a decentralized campus calendar suite. Utilizing strict authentication frameworks (JWT), individual lecturers will directly securely log into a unique sub-portal to define their personal unavailability matrices. Instead of administrators painstakingly chasing emails to define the `LecturerUnavailability` matrix tables, the master database organically updates dynamically via crowd-sourced faculty inputs.</w:t>
      </w:r>
    </w:p>
    <w:p>
      <w:pPr>
        <w:pStyle w:val="Heading2"/>
        <w:spacing w:before="360" w:after="120"/>
      </w:pPr>
      <w:r>
        <w:t>9.3 External Learning Management System Synergies</w:t>
      </w:r>
    </w:p>
    <w:p>
      <w:pPr>
        <w:spacing w:after="160" w:line="360" w:lineRule="auto"/>
        <w:jc w:val="both"/>
      </w:pPr>
      <w:r>
        <w:t>Forging native bridge ecosystems utilizing automated RESTful and GraphQL endpoints to securely interface directly with massive consumer student networks like Canvas LMS, Moodle, and Blackboard. Upon a successful master generation by administrators, the engine automatically calculates micro-student variables and dynamically injects precise scheduling nodes directly into student centralized accounts, allowing seamless integration natively into personal Google Calendar or Apple iCal widgets instantly, fully automating the institutional lifecycle from admin to end-user.</w:t>
      </w:r>
    </w:p>
    <w:p>
      <w:r>
        <w:br w:type="page"/>
      </w:r>
    </w:p>
    <w:p>
      <w:pPr>
        <w:pStyle w:val="Heading1"/>
        <w:spacing w:before="360" w:after="120"/>
      </w:pPr>
      <w:r>
        <w:t>10.0 Conclusion</w:t>
      </w:r>
    </w:p>
    <w:p>
      <w:pPr>
        <w:spacing w:after="160" w:line="360" w:lineRule="auto"/>
        <w:jc w:val="both"/>
      </w:pPr>
      <w:r>
        <w:t>The Automated University Timetable Engine represents far more than just a scheduling convenience; it constitutes a profound digital transformation of an institution’s core operational logistics. By migrating off fundamentally broken human computational methodologies and completely automating constraint matrices, a university intrinsically regains absolute operational control over its massive real estate footprint and its elite high-value academic staff resources. The outcome is absolute efficiency, minimized bureaucratic financial overhead waste, incredibly rapid scalability deployments, and an inherently superior administrative experience for both dedicated faculty members and enrolled students globally.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