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B365D"/>
          <w:sz w:val="48"/>
        </w:rPr>
        <w:t>Google Antigravity &amp; AI Agents</w:t>
      </w:r>
    </w:p>
    <w:p>
      <w:pPr>
        <w:spacing w:after="320"/>
      </w:pPr>
      <w:r>
        <w:rPr>
          <w:rFonts w:ascii="Segoe UI" w:hAnsi="Segoe UI"/>
          <w:i/>
          <w:color w:val="2E5B88"/>
          <w:sz w:val="24"/>
        </w:rPr>
        <w:t>The Complete Beginner's Guide — A Practical, Zero-Code Handbook</w:t>
      </w:r>
    </w:p>
    <w:p>
      <w:pPr>
        <w:spacing w:before="240" w:after="80"/>
      </w:pPr>
      <w:r>
        <w:rPr>
          <w:rFonts w:ascii="Segoe UI" w:hAnsi="Segoe UI"/>
          <w:b/>
          <w:color w:val="1B365D"/>
          <w:sz w:val="32"/>
        </w:rPr>
        <w:t>Welcome to Antigravity</w:t>
      </w:r>
    </w:p>
    <w:p>
      <w:r>
        <w:t>Welcome! If you have never written a line of code in your life, or if the term 'AI Agent' sounds intimidating, you are in the right place.</w:t>
      </w:r>
    </w:p>
    <w:p>
      <w:r>
        <w:t>This guide was created specifically for beginners. It strips away technical jargon to explain what an AI Agent actually is, what Google Antigravity does, how to talk to it in plain English, and how to use it right now for everyday writing, research, and planning tasks.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0" w:after="40"/>
            </w:pPr>
            <w:r>
              <w:rPr>
                <w:rFonts w:ascii="Calibri" w:hAnsi="Calibri"/>
                <w:b/>
                <w:color w:val="1B365D"/>
                <w:sz w:val="21"/>
              </w:rPr>
              <w:t>★ THE GOLDEN PROMISE</w:t>
              <w:br/>
            </w:r>
            <w:r>
              <w:rPr>
                <w:rFonts w:ascii="Calibri" w:hAnsi="Calibri"/>
                <w:color w:val="222222"/>
                <w:sz w:val="21"/>
              </w:rPr>
              <w:t>You do NOT need to know programming or computer science. If you know how to write an email or text message, you have all the skill required to use Antigravity.</w:t>
            </w:r>
          </w:p>
        </w:tc>
      </w:tr>
    </w:tbl>
    <w:p>
      <w:pPr>
        <w:spacing w:after="80"/>
      </w:pPr>
    </w:p>
    <w:p>
      <w:pPr>
        <w:spacing w:before="280" w:after="80"/>
      </w:pPr>
      <w:r>
        <w:rPr>
          <w:rFonts w:ascii="Segoe UI" w:hAnsi="Segoe UI"/>
          <w:b/>
          <w:color w:val="1B365D"/>
          <w:sz w:val="32"/>
        </w:rPr>
        <w:t>Chapter 1: What is an AI Agent?</w:t>
      </w:r>
    </w:p>
    <w:p>
      <w:r>
        <w:t>To understand Antigravity, we must first understand the fundamental difference between a standard chatbot and an AI agent.</w:t>
      </w:r>
    </w:p>
    <w:tbl>
      <w:tblPr>
        <w:tblW w:type="auto" w:w="0"/>
        <w:jc w:val="center"/>
        <w:tblLayout w:type="fixed"/>
        <w:tblLook w:firstColumn="1" w:firstRow="1" w:lastColumn="0" w:lastRow="0" w:noHBand="0" w:noVBand="1" w:val="04A0"/>
      </w:tblPr>
      <w:tblGrid>
        <w:gridCol w:w="4608"/>
        <w:gridCol w:w="4752"/>
      </w:tblGrid>
      <w:tr>
        <w:tc>
          <w:tcPr>
            <w:tcW w:type="dxa" w:w="4680"/>
            <w:shd w:fill="1B365D"/>
            <w:tcMar>
              <w:top w:w="100" w:type="dxa"/>
              <w:bottom w:w="100" w:type="dxa"/>
              <w:left w:w="120" w:type="dxa"/>
              <w:right w:w="120" w:type="dxa"/>
            </w:tcMar>
          </w:tcPr>
          <w:p>
            <w:pPr>
              <w:spacing w:after="0"/>
            </w:pPr>
            <w:r>
              <w:rPr>
                <w:rFonts w:ascii="Calibri" w:hAnsi="Calibri"/>
                <w:b/>
                <w:color w:val="FFFFFF"/>
                <w:sz w:val="21"/>
              </w:rPr>
              <w:t>Standard AI Chatbot (e.g., ChatGPT web)</w:t>
            </w:r>
          </w:p>
        </w:tc>
        <w:tc>
          <w:tcPr>
            <w:tcW w:type="dxa" w:w="4680"/>
            <w:shd w:fill="1B365D"/>
            <w:tcMar>
              <w:top w:w="100" w:type="dxa"/>
              <w:bottom w:w="100" w:type="dxa"/>
              <w:left w:w="120" w:type="dxa"/>
              <w:right w:w="120" w:type="dxa"/>
            </w:tcMar>
          </w:tcPr>
          <w:p>
            <w:pPr>
              <w:spacing w:after="0"/>
            </w:pPr>
            <w:r>
              <w:rPr>
                <w:rFonts w:ascii="Calibri" w:hAnsi="Calibri"/>
                <w:b/>
                <w:color w:val="FFFFFF"/>
                <w:sz w:val="21"/>
              </w:rPr>
              <w:t>AI Agent (Antigravity)</w:t>
            </w:r>
          </w:p>
        </w:tc>
      </w:tr>
      <w:tr>
        <w:tc>
          <w:tcPr>
            <w:tcW w:type="dxa" w:w="4680"/>
            <w:shd w:fill="F7F9FB"/>
            <w:tcMar>
              <w:top w:w="80" w:type="dxa"/>
              <w:bottom w:w="80" w:type="dxa"/>
              <w:left w:w="120" w:type="dxa"/>
              <w:right w:w="120" w:type="dxa"/>
            </w:tcMar>
          </w:tcPr>
          <w:p>
            <w:pPr>
              <w:spacing w:after="0"/>
            </w:pPr>
            <w:r>
              <w:rPr>
                <w:rFonts w:ascii="Calibri" w:hAnsi="Calibri"/>
                <w:color w:val="222222"/>
                <w:sz w:val="20"/>
              </w:rPr>
              <w:t>Like a conversational encyclopedia with no hands. It can only talk back with text inside a browser tab.</w:t>
            </w:r>
          </w:p>
        </w:tc>
        <w:tc>
          <w:tcPr>
            <w:tcW w:type="dxa" w:w="4680"/>
            <w:shd w:fill="F7F9FB"/>
            <w:tcMar>
              <w:top w:w="80" w:type="dxa"/>
              <w:bottom w:w="80" w:type="dxa"/>
              <w:left w:w="120" w:type="dxa"/>
              <w:right w:w="120" w:type="dxa"/>
            </w:tcMar>
          </w:tcPr>
          <w:p>
            <w:pPr>
              <w:spacing w:after="0"/>
            </w:pPr>
            <w:r>
              <w:rPr>
                <w:rFonts w:ascii="Calibri" w:hAnsi="Calibri"/>
                <w:color w:val="222222"/>
                <w:sz w:val="20"/>
              </w:rPr>
              <w:t>Like a digital assistant with hands and eyes. It can read your actual files, organize folders, and complete real tasks.</w:t>
            </w:r>
          </w:p>
        </w:tc>
      </w:tr>
      <w:tr>
        <w:tc>
          <w:tcPr>
            <w:tcW w:type="dxa" w:w="4680"/>
            <w:shd w:fill="FFFFFF"/>
            <w:tcMar>
              <w:top w:w="80" w:type="dxa"/>
              <w:bottom w:w="80" w:type="dxa"/>
              <w:left w:w="120" w:type="dxa"/>
              <w:right w:w="120" w:type="dxa"/>
            </w:tcMar>
          </w:tcPr>
          <w:p>
            <w:pPr>
              <w:spacing w:after="0"/>
            </w:pPr>
            <w:r>
              <w:rPr>
                <w:rFonts w:ascii="Calibri" w:hAnsi="Calibri"/>
                <w:color w:val="222222"/>
                <w:sz w:val="20"/>
              </w:rPr>
              <w:t>You must manually copy and paste text back and forth between apps and save files yourself.</w:t>
            </w:r>
          </w:p>
        </w:tc>
        <w:tc>
          <w:tcPr>
            <w:tcW w:type="dxa" w:w="4680"/>
            <w:shd w:fill="FFFFFF"/>
            <w:tcMar>
              <w:top w:w="80" w:type="dxa"/>
              <w:bottom w:w="80" w:type="dxa"/>
              <w:left w:w="120" w:type="dxa"/>
              <w:right w:w="120" w:type="dxa"/>
            </w:tcMar>
          </w:tcPr>
          <w:p>
            <w:pPr>
              <w:spacing w:after="0"/>
            </w:pPr>
            <w:r>
              <w:rPr>
                <w:rFonts w:ascii="Calibri" w:hAnsi="Calibri"/>
                <w:color w:val="222222"/>
                <w:sz w:val="20"/>
              </w:rPr>
              <w:t>It works directly inside your project folder, creating documents, searching the web, and saving results for you.</w:t>
            </w:r>
          </w:p>
        </w:tc>
      </w:tr>
    </w:tbl>
    <w:p>
      <w:pPr>
        <w:spacing w:after="120"/>
      </w:pPr>
    </w:p>
    <w:p>
      <w:pPr>
        <w:spacing w:before="280" w:after="80"/>
      </w:pPr>
      <w:r>
        <w:rPr>
          <w:rFonts w:ascii="Segoe UI" w:hAnsi="Segoe UI"/>
          <w:b/>
          <w:color w:val="1B365D"/>
          <w:sz w:val="32"/>
        </w:rPr>
        <w:t>Chapter 2: What is Google Antigravity?</w:t>
      </w:r>
    </w:p>
    <w:p>
      <w:r>
        <w:t>Google Antigravity is the dedicated desktop workspace where these AI agents collaborate with you. Think of it as a smart digital desk.</w:t>
      </w:r>
    </w:p>
    <w:p>
      <w:r>
        <w:t>Instead of opening multiple browser tabs, searching Google, copying text into Word, and formatting tables manually, Antigravity lets you state your final goal in plain English. The agent then performs those multi-step tasks right in front of you.</w:t>
      </w:r>
    </w:p>
    <w:p>
      <w:pPr>
        <w:spacing w:before="280" w:after="80"/>
      </w:pPr>
      <w:r>
        <w:rPr>
          <w:rFonts w:ascii="Segoe UI" w:hAnsi="Segoe UI"/>
          <w:b/>
          <w:color w:val="1B365D"/>
          <w:sz w:val="32"/>
        </w:rPr>
        <w:t>Chapter 3: Tour of Your Screen</w:t>
      </w:r>
    </w:p>
    <w:p>
      <w:r>
        <w:t>When you open Antigravity, the interface is clean and simple:</w:t>
      </w:r>
    </w:p>
    <w:p>
      <w:pPr>
        <w:pStyle w:val="ListBullet"/>
        <w:spacing w:after="60"/>
      </w:pPr>
      <w:r>
        <w:rPr>
          <w:b/>
          <w:color w:val="2E5B88"/>
        </w:rPr>
        <w:t xml:space="preserve">The Chat Canvas (Center): </w:t>
      </w:r>
      <w:r>
        <w:rPr>
          <w:color w:val="222222"/>
        </w:rPr>
        <w:t>The conversation area where you type instructions and review responses.</w:t>
      </w:r>
    </w:p>
    <w:p>
      <w:pPr>
        <w:pStyle w:val="ListBullet"/>
        <w:spacing w:after="60"/>
      </w:pPr>
      <w:r>
        <w:rPr>
          <w:b/>
          <w:color w:val="2E5B88"/>
        </w:rPr>
        <w:t xml:space="preserve">The @ Mention Key: </w:t>
      </w:r>
      <w:r>
        <w:rPr>
          <w:color w:val="222222"/>
        </w:rPr>
        <w:t>Type '@' in the chat bar to bring up a list of files. Selecting a file (like @notes.txt) lets the agent read it instantly.</w:t>
      </w:r>
    </w:p>
    <w:p>
      <w:pPr>
        <w:pStyle w:val="ListBullet"/>
        <w:spacing w:after="60"/>
      </w:pPr>
      <w:r>
        <w:rPr>
          <w:b/>
          <w:color w:val="2E5B88"/>
        </w:rPr>
        <w:t xml:space="preserve">The / Slash Commands: </w:t>
      </w:r>
      <w:r>
        <w:rPr>
          <w:color w:val="222222"/>
        </w:rPr>
        <w:t>Type '/' to see built-in workflows (e.g., /plan to map out a project, or /browser to research the web).</w:t>
      </w:r>
    </w:p>
    <w:p>
      <w:pPr>
        <w:pStyle w:val="ListBullet"/>
        <w:spacing w:after="60"/>
      </w:pPr>
      <w:r>
        <w:rPr>
          <w:b/>
          <w:color w:val="2E5B88"/>
        </w:rPr>
        <w:t xml:space="preserve">The Artifact Viewer (Right Panel): </w:t>
      </w:r>
      <w:r>
        <w:rPr>
          <w:color w:val="222222"/>
        </w:rPr>
        <w:t>When the agent generates a large document, report, or guide, it displays it in a dedicated side-panel called an Artifact so your chat stays clean and easy to read.</w:t>
      </w:r>
    </w:p>
    <w:p>
      <w:pPr>
        <w:spacing w:before="280" w:after="80"/>
      </w:pPr>
      <w:r>
        <w:rPr>
          <w:rFonts w:ascii="Segoe UI" w:hAnsi="Segoe UI"/>
          <w:b/>
          <w:color w:val="1B365D"/>
          <w:sz w:val="32"/>
        </w:rPr>
        <w:t>Chapter 4: How the Agent Works Behind the Scenes</w:t>
      </w:r>
    </w:p>
    <w:p>
      <w:r>
        <w:t>Whenever you submit a request, the agent follows three distinct steps:</w:t>
      </w:r>
    </w:p>
    <w:p>
      <w:pPr>
        <w:spacing w:before="120" w:after="40"/>
      </w:pPr>
      <w:r>
        <w:rPr>
          <w:rFonts w:ascii="Segoe UI" w:hAnsi="Segoe UI"/>
          <w:b/>
          <w:color w:val="2E5B88"/>
          <w:sz w:val="24"/>
        </w:rPr>
        <w:t>• Step 1: Think (Planning)</w:t>
      </w:r>
    </w:p>
    <w:p>
      <w:pPr>
        <w:spacing w:after="80"/>
      </w:pPr>
      <w:r>
        <w:t>The agent reads your prompt, figures out the necessary steps, and decides which tools it needs.</w:t>
      </w:r>
    </w:p>
    <w:p>
      <w:pPr>
        <w:spacing w:before="120" w:after="40"/>
      </w:pPr>
      <w:r>
        <w:rPr>
          <w:rFonts w:ascii="Segoe UI" w:hAnsi="Segoe UI"/>
          <w:b/>
          <w:color w:val="2E5B88"/>
          <w:sz w:val="24"/>
        </w:rPr>
        <w:t>• Step 2: Act (Using Tools)</w:t>
      </w:r>
    </w:p>
    <w:p>
      <w:pPr>
        <w:spacing w:after="80"/>
      </w:pPr>
      <w:r>
        <w:t>The agent uses digital tools to read files, search the web, analyze documents, or format text.</w:t>
      </w:r>
    </w:p>
    <w:p>
      <w:pPr>
        <w:spacing w:before="120" w:after="40"/>
      </w:pPr>
      <w:r>
        <w:rPr>
          <w:rFonts w:ascii="Segoe UI" w:hAnsi="Segoe UI"/>
          <w:b/>
          <w:color w:val="2E5B88"/>
          <w:sz w:val="24"/>
        </w:rPr>
        <w:t>• Step 3: Deliver (Presentation)</w:t>
      </w:r>
    </w:p>
    <w:p>
      <w:pPr>
        <w:spacing w:after="80"/>
      </w:pPr>
      <w:r>
        <w:t>The agent reviews the output and presents the clean, finished result directly to you.</w:t>
      </w:r>
    </w:p>
    <w:p>
      <w:pPr>
        <w:spacing w:before="280" w:after="80"/>
      </w:pPr>
      <w:r>
        <w:rPr>
          <w:rFonts w:ascii="Segoe UI" w:hAnsi="Segoe UI"/>
          <w:b/>
          <w:color w:val="1B365D"/>
          <w:sz w:val="32"/>
        </w:rPr>
        <w:t>Chapter 5: Everyday Playbook for Non-Coders</w:t>
      </w:r>
    </w:p>
    <w:p>
      <w:r>
        <w:t>Here are practical ways you can start using Antigravity immediately:</w:t>
      </w:r>
    </w:p>
    <w:tbl>
      <w:tblPr>
        <w:tblW w:type="auto" w:w="0"/>
        <w:jc w:val="center"/>
        <w:tblLayout w:type="fixed"/>
        <w:tblLook w:firstColumn="1" w:firstRow="1" w:lastColumn="0" w:lastRow="0" w:noHBand="0" w:noVBand="1" w:val="04A0"/>
      </w:tblPr>
      <w:tblGrid>
        <w:gridCol w:w="2160"/>
        <w:gridCol w:w="3600"/>
        <w:gridCol w:w="3600"/>
      </w:tblGrid>
      <w:tr>
        <w:tc>
          <w:tcPr>
            <w:tcW w:type="dxa" w:w="3120"/>
            <w:shd w:fill="1B365D"/>
            <w:tcMar>
              <w:top w:w="100" w:type="dxa"/>
              <w:bottom w:w="100" w:type="dxa"/>
              <w:left w:w="100" w:type="dxa"/>
              <w:right w:w="100" w:type="dxa"/>
            </w:tcMar>
          </w:tcPr>
          <w:p>
            <w:pPr>
              <w:spacing w:after="0"/>
            </w:pPr>
            <w:r>
              <w:rPr>
                <w:rFonts w:ascii="Calibri" w:hAnsi="Calibri"/>
                <w:b/>
                <w:color w:val="FFFFFF"/>
                <w:sz w:val="20"/>
              </w:rPr>
              <w:t>Category</w:t>
            </w:r>
          </w:p>
        </w:tc>
        <w:tc>
          <w:tcPr>
            <w:tcW w:type="dxa" w:w="3120"/>
            <w:shd w:fill="1B365D"/>
            <w:tcMar>
              <w:top w:w="100" w:type="dxa"/>
              <w:bottom w:w="100" w:type="dxa"/>
              <w:left w:w="100" w:type="dxa"/>
              <w:right w:w="100" w:type="dxa"/>
            </w:tcMar>
          </w:tcPr>
          <w:p>
            <w:pPr>
              <w:spacing w:after="0"/>
            </w:pPr>
            <w:r>
              <w:rPr>
                <w:rFonts w:ascii="Calibri" w:hAnsi="Calibri"/>
                <w:b/>
                <w:color w:val="FFFFFF"/>
                <w:sz w:val="20"/>
              </w:rPr>
              <w:t>What You Type</w:t>
            </w:r>
          </w:p>
        </w:tc>
        <w:tc>
          <w:tcPr>
            <w:tcW w:type="dxa" w:w="3120"/>
            <w:shd w:fill="1B365D"/>
            <w:tcMar>
              <w:top w:w="100" w:type="dxa"/>
              <w:bottom w:w="100" w:type="dxa"/>
              <w:left w:w="100" w:type="dxa"/>
              <w:right w:w="100" w:type="dxa"/>
            </w:tcMar>
          </w:tcPr>
          <w:p>
            <w:pPr>
              <w:spacing w:after="0"/>
            </w:pPr>
            <w:r>
              <w:rPr>
                <w:rFonts w:ascii="Calibri" w:hAnsi="Calibri"/>
                <w:b/>
                <w:color w:val="FFFFFF"/>
                <w:sz w:val="20"/>
              </w:rPr>
              <w:t>What Antigravity Does</w:t>
            </w:r>
          </w:p>
        </w:tc>
      </w:tr>
      <w:tr>
        <w:tc>
          <w:tcPr>
            <w:tcW w:type="dxa" w:w="3120"/>
            <w:shd w:fill="F7F9FB"/>
            <w:tcMar>
              <w:top w:w="80" w:type="dxa"/>
              <w:bottom w:w="80" w:type="dxa"/>
              <w:left w:w="100" w:type="dxa"/>
              <w:right w:w="100" w:type="dxa"/>
            </w:tcMar>
          </w:tcPr>
          <w:p>
            <w:pPr>
              <w:spacing w:after="0"/>
            </w:pPr>
            <w:r>
              <w:rPr>
                <w:rFonts w:ascii="Calibri" w:hAnsi="Calibri"/>
                <w:color w:val="222222"/>
                <w:sz w:val="19"/>
              </w:rPr>
              <w:t>Writing &amp; Editing</w:t>
            </w:r>
          </w:p>
        </w:tc>
        <w:tc>
          <w:tcPr>
            <w:tcW w:type="dxa" w:w="3120"/>
            <w:shd w:fill="F7F9FB"/>
            <w:tcMar>
              <w:top w:w="80" w:type="dxa"/>
              <w:bottom w:w="80" w:type="dxa"/>
              <w:left w:w="100" w:type="dxa"/>
              <w:right w:w="100" w:type="dxa"/>
            </w:tcMar>
          </w:tcPr>
          <w:p>
            <w:pPr>
              <w:spacing w:after="0"/>
            </w:pPr>
            <w:r>
              <w:rPr>
                <w:rFonts w:ascii="Calibri" w:hAnsi="Calibri"/>
                <w:color w:val="222222"/>
                <w:sz w:val="19"/>
              </w:rPr>
              <w:t>"Draft a polite email asking a client to pay an overdue invoice within 5 business days."</w:t>
            </w:r>
          </w:p>
        </w:tc>
        <w:tc>
          <w:tcPr>
            <w:tcW w:type="dxa" w:w="3120"/>
            <w:shd w:fill="F7F9FB"/>
            <w:tcMar>
              <w:top w:w="80" w:type="dxa"/>
              <w:bottom w:w="80" w:type="dxa"/>
              <w:left w:w="100" w:type="dxa"/>
              <w:right w:w="100" w:type="dxa"/>
            </w:tcMar>
          </w:tcPr>
          <w:p>
            <w:pPr>
              <w:spacing w:after="0"/>
            </w:pPr>
            <w:r>
              <w:rPr>
                <w:rFonts w:ascii="Calibri" w:hAnsi="Calibri"/>
                <w:color w:val="222222"/>
                <w:sz w:val="19"/>
              </w:rPr>
              <w:t>Drafts a polished, professional email ready to send.</w:t>
            </w:r>
          </w:p>
        </w:tc>
      </w:tr>
      <w:tr>
        <w:tc>
          <w:tcPr>
            <w:tcW w:type="dxa" w:w="3120"/>
            <w:shd w:fill="FFFFFF"/>
            <w:tcMar>
              <w:top w:w="80" w:type="dxa"/>
              <w:bottom w:w="80" w:type="dxa"/>
              <w:left w:w="100" w:type="dxa"/>
              <w:right w:w="100" w:type="dxa"/>
            </w:tcMar>
          </w:tcPr>
          <w:p>
            <w:pPr>
              <w:spacing w:after="0"/>
            </w:pPr>
            <w:r>
              <w:rPr>
                <w:rFonts w:ascii="Calibri" w:hAnsi="Calibri"/>
                <w:color w:val="222222"/>
                <w:sz w:val="19"/>
              </w:rPr>
              <w:t>Document Summary</w:t>
            </w:r>
          </w:p>
        </w:tc>
        <w:tc>
          <w:tcPr>
            <w:tcW w:type="dxa" w:w="3120"/>
            <w:shd w:fill="FFFFFF"/>
            <w:tcMar>
              <w:top w:w="80" w:type="dxa"/>
              <w:bottom w:w="80" w:type="dxa"/>
              <w:left w:w="100" w:type="dxa"/>
              <w:right w:w="100" w:type="dxa"/>
            </w:tcMar>
          </w:tcPr>
          <w:p>
            <w:pPr>
              <w:spacing w:after="0"/>
            </w:pPr>
            <w:r>
              <w:rPr>
                <w:rFonts w:ascii="Calibri" w:hAnsi="Calibri"/>
                <w:color w:val="222222"/>
                <w:sz w:val="19"/>
              </w:rPr>
              <w:t>"Read @notes.txt and summarize the top 3 action items and deadlines."</w:t>
            </w:r>
          </w:p>
        </w:tc>
        <w:tc>
          <w:tcPr>
            <w:tcW w:type="dxa" w:w="3120"/>
            <w:shd w:fill="FFFFFF"/>
            <w:tcMar>
              <w:top w:w="80" w:type="dxa"/>
              <w:bottom w:w="80" w:type="dxa"/>
              <w:left w:w="100" w:type="dxa"/>
              <w:right w:w="100" w:type="dxa"/>
            </w:tcMar>
          </w:tcPr>
          <w:p>
            <w:pPr>
              <w:spacing w:after="0"/>
            </w:pPr>
            <w:r>
              <w:rPr>
                <w:rFonts w:ascii="Calibri" w:hAnsi="Calibri"/>
                <w:color w:val="222222"/>
                <w:sz w:val="19"/>
              </w:rPr>
              <w:t>Scans your file and highlights only essential takeaways.</w:t>
            </w:r>
          </w:p>
        </w:tc>
      </w:tr>
      <w:tr>
        <w:tc>
          <w:tcPr>
            <w:tcW w:type="dxa" w:w="3120"/>
            <w:shd w:fill="F7F9FB"/>
            <w:tcMar>
              <w:top w:w="80" w:type="dxa"/>
              <w:bottom w:w="80" w:type="dxa"/>
              <w:left w:w="100" w:type="dxa"/>
              <w:right w:w="100" w:type="dxa"/>
            </w:tcMar>
          </w:tcPr>
          <w:p>
            <w:pPr>
              <w:spacing w:after="0"/>
            </w:pPr>
            <w:r>
              <w:rPr>
                <w:rFonts w:ascii="Calibri" w:hAnsi="Calibri"/>
                <w:color w:val="222222"/>
                <w:sz w:val="19"/>
              </w:rPr>
              <w:t>Live Web Research</w:t>
            </w:r>
          </w:p>
        </w:tc>
        <w:tc>
          <w:tcPr>
            <w:tcW w:type="dxa" w:w="3120"/>
            <w:shd w:fill="F7F9FB"/>
            <w:tcMar>
              <w:top w:w="80" w:type="dxa"/>
              <w:bottom w:w="80" w:type="dxa"/>
              <w:left w:w="100" w:type="dxa"/>
              <w:right w:w="100" w:type="dxa"/>
            </w:tcMar>
          </w:tcPr>
          <w:p>
            <w:pPr>
              <w:spacing w:after="0"/>
            </w:pPr>
            <w:r>
              <w:rPr>
                <w:rFonts w:ascii="Calibri" w:hAnsi="Calibri"/>
                <w:color w:val="222222"/>
                <w:sz w:val="19"/>
              </w:rPr>
              <w:t>"Compare the 3 top noise-canceling headphones under $200 in a neat table."</w:t>
            </w:r>
          </w:p>
        </w:tc>
        <w:tc>
          <w:tcPr>
            <w:tcW w:type="dxa" w:w="3120"/>
            <w:shd w:fill="F7F9FB"/>
            <w:tcMar>
              <w:top w:w="80" w:type="dxa"/>
              <w:bottom w:w="80" w:type="dxa"/>
              <w:left w:w="100" w:type="dxa"/>
              <w:right w:w="100" w:type="dxa"/>
            </w:tcMar>
          </w:tcPr>
          <w:p>
            <w:pPr>
              <w:spacing w:after="0"/>
            </w:pPr>
            <w:r>
              <w:rPr>
                <w:rFonts w:ascii="Calibri" w:hAnsi="Calibri"/>
                <w:color w:val="222222"/>
                <w:sz w:val="19"/>
              </w:rPr>
              <w:t>Conducts searches and builds a comparison matrix of pros, cons, and prices.</w:t>
            </w:r>
          </w:p>
        </w:tc>
      </w:tr>
      <w:tr>
        <w:tc>
          <w:tcPr>
            <w:tcW w:type="dxa" w:w="3120"/>
            <w:shd w:fill="FFFFFF"/>
            <w:tcMar>
              <w:top w:w="80" w:type="dxa"/>
              <w:bottom w:w="80" w:type="dxa"/>
              <w:left w:w="100" w:type="dxa"/>
              <w:right w:w="100" w:type="dxa"/>
            </w:tcMar>
          </w:tcPr>
          <w:p>
            <w:pPr>
              <w:spacing w:after="0"/>
            </w:pPr>
            <w:r>
              <w:rPr>
                <w:rFonts w:ascii="Calibri" w:hAnsi="Calibri"/>
                <w:color w:val="222222"/>
                <w:sz w:val="19"/>
              </w:rPr>
              <w:t>Planning &amp; Schedules</w:t>
            </w:r>
          </w:p>
        </w:tc>
        <w:tc>
          <w:tcPr>
            <w:tcW w:type="dxa" w:w="3120"/>
            <w:shd w:fill="FFFFFF"/>
            <w:tcMar>
              <w:top w:w="80" w:type="dxa"/>
              <w:bottom w:w="80" w:type="dxa"/>
              <w:left w:w="100" w:type="dxa"/>
              <w:right w:w="100" w:type="dxa"/>
            </w:tcMar>
          </w:tcPr>
          <w:p>
            <w:pPr>
              <w:spacing w:after="0"/>
            </w:pPr>
            <w:r>
              <w:rPr>
                <w:rFonts w:ascii="Calibri" w:hAnsi="Calibri"/>
                <w:color w:val="222222"/>
                <w:sz w:val="19"/>
              </w:rPr>
              <w:t>"Create a 4-week beginner walking-to-jogging exercise plan."</w:t>
            </w:r>
          </w:p>
        </w:tc>
        <w:tc>
          <w:tcPr>
            <w:tcW w:type="dxa" w:w="3120"/>
            <w:shd w:fill="FFFFFF"/>
            <w:tcMar>
              <w:top w:w="80" w:type="dxa"/>
              <w:bottom w:w="80" w:type="dxa"/>
              <w:left w:w="100" w:type="dxa"/>
              <w:right w:w="100" w:type="dxa"/>
            </w:tcMar>
          </w:tcPr>
          <w:p>
            <w:pPr>
              <w:spacing w:after="0"/>
            </w:pPr>
            <w:r>
              <w:rPr>
                <w:rFonts w:ascii="Calibri" w:hAnsi="Calibri"/>
                <w:color w:val="222222"/>
                <w:sz w:val="19"/>
              </w:rPr>
              <w:t>Builds an organized, day-by-day progression with rest days.</w:t>
            </w:r>
          </w:p>
        </w:tc>
      </w:tr>
      <w:tr>
        <w:tc>
          <w:tcPr>
            <w:tcW w:type="dxa" w:w="3120"/>
            <w:shd w:fill="F7F9FB"/>
            <w:tcMar>
              <w:top w:w="80" w:type="dxa"/>
              <w:bottom w:w="80" w:type="dxa"/>
              <w:left w:w="100" w:type="dxa"/>
              <w:right w:w="100" w:type="dxa"/>
            </w:tcMar>
          </w:tcPr>
          <w:p>
            <w:pPr>
              <w:spacing w:after="0"/>
            </w:pPr>
            <w:r>
              <w:rPr>
                <w:rFonts w:ascii="Calibri" w:hAnsi="Calibri"/>
                <w:color w:val="222222"/>
                <w:sz w:val="19"/>
              </w:rPr>
              <w:t>Brainstorming</w:t>
            </w:r>
          </w:p>
        </w:tc>
        <w:tc>
          <w:tcPr>
            <w:tcW w:type="dxa" w:w="3120"/>
            <w:shd w:fill="F7F9FB"/>
            <w:tcMar>
              <w:top w:w="80" w:type="dxa"/>
              <w:bottom w:w="80" w:type="dxa"/>
              <w:left w:w="100" w:type="dxa"/>
              <w:right w:w="100" w:type="dxa"/>
            </w:tcMar>
          </w:tcPr>
          <w:p>
            <w:pPr>
              <w:spacing w:after="0"/>
            </w:pPr>
            <w:r>
              <w:rPr>
                <w:rFonts w:ascii="Calibri" w:hAnsi="Calibri"/>
                <w:color w:val="222222"/>
                <w:sz w:val="19"/>
              </w:rPr>
              <w:t>"Give me 5 catchy names and taglines for an online plant shop."</w:t>
            </w:r>
          </w:p>
        </w:tc>
        <w:tc>
          <w:tcPr>
            <w:tcW w:type="dxa" w:w="3120"/>
            <w:shd w:fill="F7F9FB"/>
            <w:tcMar>
              <w:top w:w="80" w:type="dxa"/>
              <w:bottom w:w="80" w:type="dxa"/>
              <w:left w:w="100" w:type="dxa"/>
              <w:right w:w="100" w:type="dxa"/>
            </w:tcMar>
          </w:tcPr>
          <w:p>
            <w:pPr>
              <w:spacing w:after="0"/>
            </w:pPr>
            <w:r>
              <w:rPr>
                <w:rFonts w:ascii="Calibri" w:hAnsi="Calibri"/>
                <w:color w:val="222222"/>
                <w:sz w:val="19"/>
              </w:rPr>
              <w:t>Brainstorms creative angles and explains the concept behind each.</w:t>
            </w:r>
          </w:p>
        </w:tc>
      </w:tr>
    </w:tbl>
    <w:p>
      <w:pPr>
        <w:spacing w:after="160"/>
      </w:pPr>
    </w:p>
    <w:p>
      <w:pPr>
        <w:spacing w:before="280" w:after="80"/>
      </w:pPr>
      <w:r>
        <w:rPr>
          <w:rFonts w:ascii="Segoe UI" w:hAnsi="Segoe UI"/>
          <w:b/>
          <w:color w:val="1B365D"/>
          <w:sz w:val="32"/>
        </w:rPr>
        <w:t>Chapter 6: The Art of Prompting (The 3-Part Formula)</w:t>
      </w:r>
    </w:p>
    <w:p>
      <w:r>
        <w:t>You don't need magic keywords. Just remember this simple 3-part formula whenever you ask for something:</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0" w:after="40"/>
            </w:pPr>
            <w:r>
              <w:rPr>
                <w:rFonts w:ascii="Calibri" w:hAnsi="Calibri"/>
                <w:b/>
                <w:color w:val="1B365D"/>
                <w:sz w:val="21"/>
              </w:rPr>
              <w:t>★ THE 3-PART PROMPT FORMULA</w:t>
              <w:br/>
            </w:r>
            <w:r>
              <w:rPr>
                <w:rFonts w:ascii="Calibri" w:hAnsi="Calibri"/>
                <w:color w:val="222222"/>
                <w:sz w:val="21"/>
              </w:rPr>
              <w:t>[ROLE] + [TASK] + [FORMAT]</w:t>
              <w:br/>
              <w:br/>
              <w:t>1. Role: Who should the agent act as? (e.g., 'Act as an executive editor...')</w:t>
              <w:br/>
              <w:t>2. Task: What exact work needs doing? (e.g., 'Review my draft letter and fix tone...')</w:t>
              <w:br/>
              <w:t>3. Format: How should it be delivered? (e.g., 'Present the revised letter with 3 bulleted explanations of what was changed.')</w:t>
            </w:r>
          </w:p>
        </w:tc>
      </w:tr>
    </w:tbl>
    <w:p>
      <w:pPr>
        <w:spacing w:after="80"/>
      </w:pPr>
    </w:p>
    <w:p>
      <w:pPr>
        <w:spacing w:before="280" w:after="80"/>
      </w:pPr>
      <w:r>
        <w:rPr>
          <w:rFonts w:ascii="Segoe UI" w:hAnsi="Segoe UI"/>
          <w:b/>
          <w:color w:val="1B365D"/>
          <w:sz w:val="32"/>
        </w:rPr>
        <w:t>Chapter 7: Beginner FAQ</w:t>
      </w:r>
    </w:p>
    <w:p>
      <w:pPr>
        <w:spacing w:before="120" w:after="40"/>
      </w:pPr>
      <w:r>
        <w:rPr>
          <w:b/>
          <w:color w:val="2E5B88"/>
        </w:rPr>
        <w:t>Q: Do I need any programming experience?</w:t>
      </w:r>
    </w:p>
    <w:p>
      <w:pPr>
        <w:spacing w:after="80"/>
      </w:pPr>
      <w:r>
        <w:rPr>
          <w:color w:val="222222"/>
        </w:rPr>
        <w:t>A: No. Antigravity understands standard plain English. Talk to it just as you would talk to a helpful coworker.</w:t>
      </w:r>
    </w:p>
    <w:p>
      <w:pPr>
        <w:spacing w:before="120" w:after="40"/>
      </w:pPr>
      <w:r>
        <w:rPr>
          <w:b/>
          <w:color w:val="2E5B88"/>
        </w:rPr>
        <w:t>Q: Can the agent delete files on my computer by mistake?</w:t>
      </w:r>
    </w:p>
    <w:p>
      <w:pPr>
        <w:spacing w:after="80"/>
      </w:pPr>
      <w:r>
        <w:rPr>
          <w:color w:val="222222"/>
        </w:rPr>
        <w:t>A: No. Antigravity operates inside strict safety boundaries and workspace permissions. It cannot delete or damage files without explicit authorization.</w:t>
      </w:r>
    </w:p>
    <w:p>
      <w:pPr>
        <w:spacing w:before="120" w:after="40"/>
      </w:pPr>
      <w:r>
        <w:rPr>
          <w:b/>
          <w:color w:val="2E5B88"/>
        </w:rPr>
        <w:t>Q: What if the agent makes a mistake?</w:t>
      </w:r>
    </w:p>
    <w:p>
      <w:pPr>
        <w:spacing w:after="80"/>
      </w:pPr>
      <w:r>
        <w:rPr>
          <w:color w:val="222222"/>
        </w:rPr>
        <w:t>A: Treat it like a conversation! Simply tell it what to adjust: 'Make that shorter,' 'Change the tone to casual,' or 'Remove section 2.' You never need to start over.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