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560"/>
              <w:left w:type="dxa" w:w="560"/>
              <w:bottom w:type="dxa" w:w="560"/>
              <w:right w:type="dxa" w:w="560"/>
            </w:tcMar>
          </w:tcPr>
          <w:p>
            <w:pPr>
              <w:spacing w:after="100" w:before="0"/>
            </w:pPr>
            <w:r>
              <w:rPr>
                <w:rFonts w:ascii="Arial" w:cs="Arial" w:eastAsia="Arial" w:hAnsi="Arial"/>
                <w:b/>
                <w:bCs/>
                <w:color w:val="FFFFFF"/>
                <w:sz w:val="44"/>
                <w:szCs w:val="44"/>
              </w:rPr>
              <w:t xml:space="preserve">UCSC Developer Analytics Tool</w:t>
            </w:r>
          </w:p>
          <w:p>
            <w:pPr>
              <w:spacing w:after="200" w:before="0"/>
            </w:pPr>
            <w:r>
              <w:rPr>
                <w:rFonts w:ascii="Arial" w:cs="Arial" w:eastAsia="Arial" w:hAnsi="Arial"/>
                <w:color w:val="A5B4FC"/>
                <w:sz w:val="26"/>
                <w:szCs w:val="26"/>
              </w:rPr>
              <w:t xml:space="preserve">Design &amp; Developer Notes  —  Analysis Results Page</w:t>
            </w:r>
          </w:p>
          <w:p>
            <w:pPr>
              <w:spacing w:after="0" w:before="0"/>
            </w:pPr>
            <w:r>
              <w:rPr>
                <w:rFonts w:ascii="Arial" w:cs="Arial" w:eastAsia="Arial" w:hAnsi="Arial"/>
                <w:color w:val="818CF8"/>
                <w:sz w:val="20"/>
                <w:szCs w:val="20"/>
              </w:rPr>
              <w:t xml:space="preserve">Designer: Gozde Guner   |   May 2026   |   v1.0</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Purpose of This Document</w:t>
            </w:r>
          </w:p>
        </w:tc>
      </w:tr>
    </w:tbl>
    <w:p>
      <w:pPr>
        <w:spacing w:after="0" w:before="160"/>
      </w:pPr>
      <w:r>
        <w:t xml:space="preserve"/>
      </w:r>
    </w:p>
    <w:p>
      <w:pPr>
        <w:spacing w:after="80" w:before="0"/>
      </w:pPr>
      <w:r>
        <w:rPr>
          <w:rFonts w:ascii="Arial" w:cs="Arial" w:eastAsia="Arial" w:hAnsi="Arial"/>
          <w:color w:val="111827"/>
          <w:sz w:val="20"/>
          <w:szCs w:val="20"/>
        </w:rPr>
        <w:t xml:space="preserve">This document captures the design decisions, component logic, UX rules, and developer implementation notes for the Analysis Results page of the UCSC Developer Analytics Tool. It is a handoff reference for the engineering team and for future design iterations.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4F46E5" w:sz="20"/>
              <w:bottom w:val="nil"/>
              <w:right w:val="nil"/>
            </w:tcBorders>
            <w:shd w:fill="EEF2FF" w:val="clear"/>
            <w:tcMar>
              <w:top w:type="dxa" w:w="140"/>
              <w:left w:type="dxa" w:w="240"/>
              <w:bottom w:type="dxa" w:w="140"/>
              <w:right w:type="dxa" w:w="200"/>
            </w:tcMar>
          </w:tcPr>
          <w:p>
            <w:pPr>
              <w:spacing w:after="60" w:before="0"/>
            </w:pPr>
            <w:r>
              <w:rPr>
                <w:rFonts w:ascii="Arial" w:cs="Arial" w:eastAsia="Arial" w:hAnsi="Arial"/>
                <w:b/>
                <w:bCs/>
                <w:color w:val="4F46E5"/>
                <w:sz w:val="20"/>
                <w:szCs w:val="20"/>
              </w:rPr>
              <w:t xml:space="preserve">Core product goal</w:t>
            </w:r>
          </w:p>
          <w:p>
            <w:pPr>
              <w:spacing w:after="0" w:before="0"/>
            </w:pPr>
            <w:r>
              <w:rPr>
                <w:rFonts w:ascii="Arial" w:cs="Arial" w:eastAsia="Arial" w:hAnsi="Arial"/>
                <w:color w:val="111827"/>
                <w:sz w:val="20"/>
                <w:szCs w:val="20"/>
              </w:rPr>
              <w:t xml:space="preserve">The tool acts as a development coach, not just a metrics dashboard. Every section must answer three questions: What is happening? Why does it matter? What should the student do next?</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1. Page Structure — Analysis Results</w:t>
            </w:r>
          </w:p>
        </w:tc>
      </w:tr>
    </w:tbl>
    <w:p>
      <w:pPr>
        <w:spacing w:after="0" w:before="160"/>
      </w:pPr>
      <w:r>
        <w:t xml:space="preserve"/>
      </w:r>
    </w:p>
    <w:p>
      <w:pPr>
        <w:spacing w:after="80" w:before="0"/>
      </w:pPr>
      <w:r>
        <w:rPr>
          <w:rFonts w:ascii="Arial" w:cs="Arial" w:eastAsia="Arial" w:hAnsi="Arial"/>
          <w:color w:val="111827"/>
          <w:sz w:val="20"/>
          <w:szCs w:val="20"/>
        </w:rPr>
        <w:t xml:space="preserve">The Analysis Results page is one long scrollable page divided into five vertical zones. There is no pagination between zones. All zones are visible on page load.</w:t>
      </w:r>
    </w:p>
    <w:p>
      <w:pPr>
        <w:spacing w:after="0" w:before="120"/>
      </w:pPr>
      <w:r>
        <w:t xml:space="preserve"/>
      </w:r>
    </w:p>
    <w:p>
      <w:pPr>
        <w:spacing w:after="80" w:before="240"/>
      </w:pPr>
      <w:r>
        <w:rPr>
          <w:rFonts w:ascii="Arial" w:cs="Arial" w:eastAsia="Arial" w:hAnsi="Arial"/>
          <w:b/>
          <w:bCs/>
          <w:color w:val="0F1B2D"/>
          <w:sz w:val="24"/>
          <w:szCs w:val="24"/>
        </w:rPr>
        <w:t xml:space="preserve">Zone 1 — Top Navigation</w:t>
      </w:r>
    </w:p>
    <w:p>
      <w:pPr>
        <w:spacing w:after="80" w:before="0"/>
      </w:pPr>
      <w:r>
        <w:rPr>
          <w:rFonts w:ascii="Arial" w:cs="Arial" w:eastAsia="Arial" w:hAnsi="Arial"/>
          <w:color w:val="111827"/>
          <w:sz w:val="20"/>
          <w:szCs w:val="20"/>
        </w:rPr>
        <w:t xml:space="preserve">Persistent site-wide navigation bar. Logo left, nav links center (Analyze, My Repos, Docs, Research, GitHub, email), Export JSON + Run New Analysis buttons right. Height 57px, subtle bottom border.</w:t>
      </w:r>
    </w:p>
    <w:p>
      <w:pPr>
        <w:spacing w:after="0" w:before="80"/>
      </w:pPr>
      <w:r>
        <w:t xml:space="preserve"/>
      </w:r>
    </w:p>
    <w:p>
      <w:pPr>
        <w:spacing w:after="80" w:before="240"/>
      </w:pPr>
      <w:r>
        <w:rPr>
          <w:rFonts w:ascii="Arial" w:cs="Arial" w:eastAsia="Arial" w:hAnsi="Arial"/>
          <w:b/>
          <w:bCs/>
          <w:color w:val="0F1B2D"/>
          <w:sz w:val="24"/>
          <w:szCs w:val="24"/>
        </w:rPr>
        <w:t xml:space="preserve">Zone 2 — Repo Profile Banner</w:t>
      </w:r>
    </w:p>
    <w:p>
      <w:pPr>
        <w:spacing w:after="80" w:before="0"/>
      </w:pPr>
      <w:r>
        <w:rPr>
          <w:rFonts w:ascii="Arial" w:cs="Arial" w:eastAsia="Arial" w:hAnsi="Arial"/>
          <w:color w:val="111827"/>
          <w:sz w:val="20"/>
          <w:szCs w:val="20"/>
        </w:rPr>
        <w:t xml:space="preserve">A compact single-strip banner. Shows student GitHub avatar, name, email, and key snapshot stats in one line: commit count, primary language percentage, contributor count, last analyzed date and commit SHA. Context only — no actions here. Inspired by SonarQube's project header style.</w:t>
      </w:r>
    </w:p>
    <w:p>
      <w:pPr>
        <w:spacing w:after="0" w:before="80"/>
      </w:pPr>
      <w:r>
        <w:t xml:space="preserve"/>
      </w:r>
    </w:p>
    <w:p>
      <w:pPr>
        <w:spacing w:after="80" w:before="240"/>
      </w:pPr>
      <w:r>
        <w:rPr>
          <w:rFonts w:ascii="Arial" w:cs="Arial" w:eastAsia="Arial" w:hAnsi="Arial"/>
          <w:b/>
          <w:bCs/>
          <w:color w:val="0F1B2D"/>
          <w:sz w:val="24"/>
          <w:szCs w:val="24"/>
        </w:rPr>
        <w:t xml:space="preserve">Zone 3 — Coach Summary (YOUR COACH SAYS)</w:t>
      </w:r>
    </w:p>
    <w:p>
      <w:pPr>
        <w:spacing w:after="80" w:before="0"/>
      </w:pPr>
      <w:r>
        <w:rPr>
          <w:rFonts w:ascii="Arial" w:cs="Arial" w:eastAsia="Arial" w:hAnsi="Arial"/>
          <w:color w:val="111827"/>
          <w:sz w:val="20"/>
          <w:szCs w:val="20"/>
        </w:rPr>
        <w:t xml:space="preserve">The most important section on the page. Always visible, always appears before score cards. Contains three parts: a green strengths box, a red/amber opportunity box, and a purple action prompt. See Section 2 for full logic.</w:t>
      </w:r>
    </w:p>
    <w:p>
      <w:pPr>
        <w:spacing w:after="0" w:before="80"/>
      </w:pPr>
      <w:r>
        <w:t xml:space="preserve"/>
      </w:r>
    </w:p>
    <w:p>
      <w:pPr>
        <w:spacing w:after="80" w:before="240"/>
      </w:pPr>
      <w:r>
        <w:rPr>
          <w:rFonts w:ascii="Arial" w:cs="Arial" w:eastAsia="Arial" w:hAnsi="Arial"/>
          <w:b/>
          <w:bCs/>
          <w:color w:val="0F1B2D"/>
          <w:sz w:val="24"/>
          <w:szCs w:val="24"/>
        </w:rPr>
        <w:t xml:space="preserve">Zone 4 — General Score Cards</w:t>
      </w:r>
    </w:p>
    <w:p>
      <w:pPr>
        <w:spacing w:after="80" w:before="0"/>
      </w:pPr>
      <w:r>
        <w:rPr>
          <w:rFonts w:ascii="Arial" w:cs="Arial" w:eastAsia="Arial" w:hAnsi="Arial"/>
          <w:color w:val="111827"/>
          <w:sz w:val="20"/>
          <w:szCs w:val="20"/>
        </w:rPr>
        <w:t xml:space="preserve">A horizontal row of 5 cards, one per SDLC phase. Ordered from strongest score (left) to weakest score (right). The weakest card is visually emphasized with a colored border and START HERE label. Cards are clickable — they activate the corresponding detail tab. See Section 3 for full logic.</w:t>
      </w:r>
    </w:p>
    <w:p>
      <w:pPr>
        <w:spacing w:after="0" w:before="80"/>
      </w:pPr>
      <w:r>
        <w:t xml:space="preserve"/>
      </w:r>
    </w:p>
    <w:p>
      <w:pPr>
        <w:spacing w:after="80" w:before="240"/>
      </w:pPr>
      <w:r>
        <w:rPr>
          <w:rFonts w:ascii="Arial" w:cs="Arial" w:eastAsia="Arial" w:hAnsi="Arial"/>
          <w:b/>
          <w:bCs/>
          <w:color w:val="0F1B2D"/>
          <w:sz w:val="24"/>
          <w:szCs w:val="24"/>
        </w:rPr>
        <w:t xml:space="preserve">Zone 5 — Detail Tabs</w:t>
      </w:r>
    </w:p>
    <w:p>
      <w:pPr>
        <w:spacing w:after="80" w:before="0"/>
      </w:pPr>
      <w:r>
        <w:rPr>
          <w:rFonts w:ascii="Arial" w:cs="Arial" w:eastAsia="Arial" w:hAnsi="Arial"/>
          <w:color w:val="111827"/>
          <w:sz w:val="20"/>
          <w:szCs w:val="20"/>
        </w:rPr>
        <w:t xml:space="preserve">Eight tabs: Commit Habits, Testing, Code Quality, React Components, Code Complexity, Code Risks, AI Maturity (Soon), Dataset (Soon). The tab for the lowest-scoring phase opens by default on page load. Each tab has a structured 4-part layout. See Section 4 for full logic.</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2. Coach Summary — YOUR COACH SAYS</w:t>
            </w:r>
          </w:p>
        </w:tc>
      </w:tr>
    </w:tbl>
    <w:p>
      <w:pPr>
        <w:spacing w:after="0" w:before="160"/>
      </w:pPr>
      <w:r>
        <w:t xml:space="preserve"/>
      </w:r>
    </w:p>
    <w:p>
      <w:pPr>
        <w:spacing w:after="80" w:before="0"/>
      </w:pPr>
      <w:r>
        <w:rPr>
          <w:rFonts w:ascii="Arial" w:cs="Arial" w:eastAsia="Arial" w:hAnsi="Arial"/>
          <w:color w:val="111827"/>
          <w:sz w:val="20"/>
          <w:szCs w:val="20"/>
        </w:rPr>
        <w:t xml:space="preserve">A full-width card with the small-caps label YOUR COACH SAYS. Contains three stacked parts, each with a distinct color. This section always surfaces the student's most important takeaway and updates dynamically every time a new analysis is run.</w:t>
      </w:r>
    </w:p>
    <w:p>
      <w:pPr>
        <w:spacing w:after="0" w:before="120"/>
      </w:pPr>
      <w:r>
        <w:t xml:space="preserve"/>
      </w:r>
    </w:p>
    <w:p>
      <w:pPr>
        <w:spacing w:after="60" w:before="180"/>
      </w:pPr>
      <w:r>
        <w:rPr>
          <w:rFonts w:ascii="Arial" w:cs="Arial" w:eastAsia="Arial" w:hAnsi="Arial"/>
          <w:b/>
          <w:bCs/>
          <w:color w:val="4F46E5"/>
          <w:sz w:val="21"/>
          <w:szCs w:val="21"/>
        </w:rPr>
        <w:t xml:space="preserve">Part A — What You're Doing Well (Green Box)</w:t>
      </w:r>
    </w:p>
    <w:p>
      <w:pPr>
        <w:spacing w:after="80" w:before="0"/>
      </w:pPr>
      <w:r>
        <w:rPr>
          <w:rFonts w:ascii="Arial" w:cs="Arial" w:eastAsia="Arial" w:hAnsi="Arial"/>
          <w:color w:val="111827"/>
          <w:sz w:val="20"/>
          <w:szCs w:val="20"/>
        </w:rPr>
        <w:t xml:space="preserve">Always leads. Highlights the student's strongest phase(s) in positive, encouraging language. Green left accent border. Content derived from whichever phases score Strong or Good.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6A34A" w:sz="20"/>
              <w:bottom w:val="nil"/>
              <w:right w:val="nil"/>
            </w:tcBorders>
            <w:shd w:fill="F0FDF4" w:val="clear"/>
            <w:tcMar>
              <w:top w:type="dxa" w:w="140"/>
              <w:left w:type="dxa" w:w="240"/>
              <w:bottom w:type="dxa" w:w="140"/>
              <w:right w:type="dxa" w:w="200"/>
            </w:tcMar>
          </w:tcPr>
          <w:p>
            <w:pPr>
              <w:spacing w:after="60" w:before="0"/>
            </w:pPr>
            <w:r>
              <w:rPr>
                <w:rFonts w:ascii="Arial" w:cs="Arial" w:eastAsia="Arial" w:hAnsi="Arial"/>
                <w:b/>
                <w:bCs/>
                <w:color w:val="16A34A"/>
                <w:sz w:val="20"/>
                <w:szCs w:val="20"/>
              </w:rPr>
              <w:t xml:space="preserve">Language rule</w:t>
            </w:r>
          </w:p>
          <w:p>
            <w:pPr>
              <w:spacing w:after="0" w:before="0"/>
            </w:pPr>
            <w:r>
              <w:rPr>
                <w:rFonts w:ascii="Arial" w:cs="Arial" w:eastAsia="Arial" w:hAnsi="Arial"/>
                <w:color w:val="111827"/>
                <w:sz w:val="20"/>
                <w:szCs w:val="20"/>
              </w:rPr>
              <w:t xml:space="preserve">Never use negative framing in this box. 'Your commit cadence is strong — 65 commits with consistent frequency puts you ahead of most teams this quarter' not 'You have no commit problems.' Lead with confidence.</w:t>
            </w:r>
          </w:p>
        </w:tc>
      </w:tr>
    </w:tbl>
    <w:p>
      <w:pPr>
        <w:spacing w:after="0" w:before="120"/>
      </w:pPr>
      <w:r>
        <w:t xml:space="preserve"/>
      </w:r>
    </w:p>
    <w:p>
      <w:pPr>
        <w:spacing w:after="60" w:before="180"/>
      </w:pPr>
      <w:r>
        <w:rPr>
          <w:rFonts w:ascii="Arial" w:cs="Arial" w:eastAsia="Arial" w:hAnsi="Arial"/>
          <w:b/>
          <w:bCs/>
          <w:color w:val="4F46E5"/>
          <w:sz w:val="21"/>
          <w:szCs w:val="21"/>
        </w:rPr>
        <w:t xml:space="preserve">Part B — Your Biggest Opportunity (Red or Amber Box)</w:t>
      </w:r>
    </w:p>
    <w:p>
      <w:pPr>
        <w:spacing w:after="80" w:before="0"/>
      </w:pPr>
      <w:r>
        <w:rPr>
          <w:rFonts w:ascii="Arial" w:cs="Arial" w:eastAsia="Arial" w:hAnsi="Arial"/>
          <w:color w:val="111827"/>
          <w:sz w:val="20"/>
          <w:szCs w:val="20"/>
        </w:rPr>
        <w:t xml:space="preserve">Points directly to the lowest-scoring phase. Forward-looking, encouraging language — frame it as an opportunity, not a failure. Box color reflects severity: red border for Critical, amber for Needs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45309" w:sz="20"/>
              <w:bottom w:val="nil"/>
              <w:right w:val="nil"/>
            </w:tcBorders>
            <w:shd w:fill="FEFCE8" w:val="clear"/>
            <w:tcMar>
              <w:top w:type="dxa" w:w="140"/>
              <w:left w:type="dxa" w:w="240"/>
              <w:bottom w:type="dxa" w:w="140"/>
              <w:right w:type="dxa" w:w="200"/>
            </w:tcMar>
          </w:tcPr>
          <w:p>
            <w:pPr>
              <w:spacing w:after="60" w:before="0"/>
            </w:pPr>
            <w:r>
              <w:rPr>
                <w:rFonts w:ascii="Arial" w:cs="Arial" w:eastAsia="Arial" w:hAnsi="Arial"/>
                <w:b/>
                <w:bCs/>
                <w:color w:val="B45309"/>
                <w:sz w:val="20"/>
                <w:szCs w:val="20"/>
              </w:rPr>
              <w:t xml:space="preserve">Language rule</w:t>
            </w:r>
          </w:p>
          <w:p>
            <w:pPr>
              <w:spacing w:after="0" w:before="0"/>
            </w:pPr>
            <w:r>
              <w:rPr>
                <w:rFonts w:ascii="Arial" w:cs="Arial" w:eastAsia="Arial" w:hAnsi="Arial"/>
                <w:color w:val="111827"/>
                <w:sz w:val="20"/>
                <w:szCs w:val="20"/>
              </w:rPr>
              <w:t xml:space="preserve">Frame weakness as opportunity. 'Testing is where you can make the highest-impact improvement this quarter — and your existing commit discipline makes it completely achievable' not 'Your testing score is critically low.'</w:t>
            </w:r>
          </w:p>
        </w:tc>
      </w:tr>
    </w:tbl>
    <w:p>
      <w:pPr>
        <w:spacing w:after="0" w:before="120"/>
      </w:pPr>
      <w:r>
        <w:t xml:space="preserve"/>
      </w:r>
    </w:p>
    <w:p>
      <w:pPr>
        <w:spacing w:after="60" w:before="180"/>
      </w:pPr>
      <w:r>
        <w:rPr>
          <w:rFonts w:ascii="Arial" w:cs="Arial" w:eastAsia="Arial" w:hAnsi="Arial"/>
          <w:b/>
          <w:bCs/>
          <w:color w:val="4F46E5"/>
          <w:sz w:val="21"/>
          <w:szCs w:val="21"/>
        </w:rPr>
        <w:t xml:space="preserve">Part C — Coach Action Prompt (Purple Box)</w:t>
      </w:r>
    </w:p>
    <w:p>
      <w:pPr>
        <w:spacing w:after="80" w:before="0"/>
      </w:pPr>
      <w:r>
        <w:rPr>
          <w:rFonts w:ascii="Arial" w:cs="Arial" w:eastAsia="Arial" w:hAnsi="Arial"/>
          <w:color w:val="111827"/>
          <w:sz w:val="20"/>
          <w:szCs w:val="20"/>
        </w:rPr>
        <w:t xml:space="preserve">A single, specific, actionable next step. Always includes a direct reference to which tab to go to. This is the bridge between the summary and the detail tabs below. It ends with a link: '+ See full [Phase] breakdown'.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6D28D9" w:sz="20"/>
              <w:bottom w:val="nil"/>
              <w:right w:val="nil"/>
            </w:tcBorders>
            <w:shd w:fill="F5F3FF" w:val="clear"/>
            <w:tcMar>
              <w:top w:type="dxa" w:w="140"/>
              <w:left w:type="dxa" w:w="240"/>
              <w:bottom w:type="dxa" w:w="140"/>
              <w:right w:type="dxa" w:w="200"/>
            </w:tcMar>
          </w:tcPr>
          <w:p>
            <w:pPr>
              <w:spacing w:after="60" w:before="0"/>
            </w:pPr>
            <w:r>
              <w:rPr>
                <w:rFonts w:ascii="Arial" w:cs="Arial" w:eastAsia="Arial" w:hAnsi="Arial"/>
                <w:b/>
                <w:bCs/>
                <w:color w:val="6D28D9"/>
                <w:sz w:val="20"/>
                <w:szCs w:val="20"/>
              </w:rPr>
              <w:t xml:space="preserve">Example copy</w:t>
            </w:r>
          </w:p>
          <w:p>
            <w:pPr>
              <w:spacing w:after="0" w:before="0"/>
            </w:pPr>
            <w:r>
              <w:rPr>
                <w:rFonts w:ascii="Arial" w:cs="Arial" w:eastAsia="Arial" w:hAnsi="Arial"/>
                <w:color w:val="111827"/>
                <w:sz w:val="20"/>
                <w:szCs w:val="20"/>
              </w:rPr>
              <w:t xml:space="preserve">→ Your highest-impact improvement this quarter is Testing. Head to the Testing tab below to see exactly what to do and how to improve your score.</w:t>
            </w:r>
          </w:p>
        </w:tc>
      </w:tr>
    </w:tbl>
    <w:p>
      <w:pPr>
        <w:spacing w:after="0" w:before="120"/>
      </w:pPr>
      <w:r>
        <w:t xml:space="preserve"/>
      </w:r>
    </w:p>
    <w:p>
      <w:pPr>
        <w:spacing w:after="60" w:before="180"/>
      </w:pPr>
      <w:r>
        <w:rPr>
          <w:rFonts w:ascii="Arial" w:cs="Arial" w:eastAsia="Arial" w:hAnsi="Arial"/>
          <w:b/>
          <w:bCs/>
          <w:color w:val="4F46E5"/>
          <w:sz w:val="21"/>
          <w:szCs w:val="21"/>
        </w:rPr>
        <w:t xml:space="preserve">Dynamic Behavior</w:t>
      </w:r>
    </w:p>
    <w:p>
      <w:pPr>
        <w:spacing w:after="80" w:before="0"/>
      </w:pPr>
      <w:r>
        <w:rPr>
          <w:rFonts w:ascii="Arial" w:cs="Arial" w:eastAsia="Arial" w:hAnsi="Arial"/>
          <w:color w:val="111827"/>
          <w:sz w:val="20"/>
          <w:szCs w:val="20"/>
        </w:rPr>
        <w:t xml:space="preserve">The Coach Summary is not static copy. It updates on every new analysis run as scores change. As a student improves their weakest area, the Coach Summary reflects the new state. A previously red opportunity may become amber, and a new weakest area takes its place.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4F46E5" w:sz="20"/>
              <w:bottom w:val="nil"/>
              <w:right w:val="nil"/>
            </w:tcBorders>
            <w:shd w:fill="EEF2FF" w:val="clear"/>
            <w:tcMar>
              <w:top w:type="dxa" w:w="140"/>
              <w:left w:type="dxa" w:w="240"/>
              <w:bottom w:type="dxa" w:w="140"/>
              <w:right w:type="dxa" w:w="200"/>
            </w:tcMar>
          </w:tcPr>
          <w:p>
            <w:pPr>
              <w:spacing w:after="60" w:before="0"/>
            </w:pPr>
            <w:r>
              <w:rPr>
                <w:rFonts w:ascii="Arial" w:cs="Arial" w:eastAsia="Arial" w:hAnsi="Arial"/>
                <w:b/>
                <w:bCs/>
                <w:color w:val="4F46E5"/>
                <w:sz w:val="20"/>
                <w:szCs w:val="20"/>
              </w:rPr>
              <w:t xml:space="preserve">Dev note</w:t>
            </w:r>
          </w:p>
          <w:p>
            <w:pPr>
              <w:spacing w:after="0" w:before="0"/>
            </w:pPr>
            <w:r>
              <w:rPr>
                <w:rFonts w:ascii="Arial" w:cs="Arial" w:eastAsia="Arial" w:hAnsi="Arial"/>
                <w:color w:val="111827"/>
                <w:sz w:val="20"/>
                <w:szCs w:val="20"/>
              </w:rPr>
              <w:t xml:space="preserve">All three boxes are driven by the phase scores in the current report_json. No hardcoded copy. Implement a rule-based template system where score thresholds map to coaching sentence templates. Templates to be defined collaboratively between design and engineering.</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3. General Score Cards</w:t>
            </w:r>
          </w:p>
        </w:tc>
      </w:tr>
    </w:tbl>
    <w:p>
      <w:pPr>
        <w:spacing w:after="0" w:before="160"/>
      </w:pPr>
      <w:r>
        <w:t xml:space="preserve"/>
      </w:r>
    </w:p>
    <w:p>
      <w:pPr>
        <w:spacing w:after="80" w:before="0"/>
      </w:pPr>
      <w:r>
        <w:rPr>
          <w:rFonts w:ascii="Arial" w:cs="Arial" w:eastAsia="Arial" w:hAnsi="Arial"/>
          <w:color w:val="111827"/>
          <w:sz w:val="20"/>
          <w:szCs w:val="20"/>
        </w:rPr>
        <w:t xml:space="preserve">Five cards in a horizontal row below the Coach Summary. One card per SDLC phase. Gives the student a quick health snapshot across all areas before they explore the detail tabs.</w:t>
      </w:r>
    </w:p>
    <w:p>
      <w:pPr>
        <w:spacing w:after="0" w:before="120"/>
      </w:pPr>
      <w:r>
        <w:t xml:space="preserve"/>
      </w:r>
    </w:p>
    <w:p>
      <w:pPr>
        <w:spacing w:after="80" w:before="240"/>
      </w:pPr>
      <w:r>
        <w:rPr>
          <w:rFonts w:ascii="Arial" w:cs="Arial" w:eastAsia="Arial" w:hAnsi="Arial"/>
          <w:b/>
          <w:bCs/>
          <w:color w:val="0F1B2D"/>
          <w:sz w:val="24"/>
          <w:szCs w:val="24"/>
        </w:rPr>
        <w:t xml:space="preserve">Card Order — Strongest to Weakest (Left to Right)</w:t>
      </w:r>
    </w:p>
    <w:p>
      <w:pPr>
        <w:spacing w:after="80" w:before="0"/>
      </w:pPr>
      <w:r>
        <w:rPr>
          <w:rFonts w:ascii="Arial" w:cs="Arial" w:eastAsia="Arial" w:hAnsi="Arial"/>
          <w:color w:val="111827"/>
          <w:sz w:val="20"/>
          <w:szCs w:val="20"/>
        </w:rPr>
        <w:t xml:space="preserve">Cards are ordered dynamically at render time from highest score (left) to lowest score (right). This is not a fixed order — it changes as scores change across analysis runs. The weakest card always appears on the right and receives visual emphasis.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D1D5DB" w:sz="20"/>
              <w:bottom w:val="nil"/>
              <w:right w:val="nil"/>
            </w:tcBorders>
            <w:shd w:fill="F8F9FA" w:val="clear"/>
            <w:tcMar>
              <w:top w:type="dxa" w:w="140"/>
              <w:left w:type="dxa" w:w="240"/>
              <w:bottom w:type="dxa" w:w="140"/>
              <w:right w:type="dxa" w:w="200"/>
            </w:tcMar>
          </w:tcPr>
          <w:p>
            <w:pPr>
              <w:spacing w:after="60" w:before="0"/>
            </w:pPr>
            <w:r>
              <w:rPr>
                <w:rFonts w:ascii="Arial" w:cs="Arial" w:eastAsia="Arial" w:hAnsi="Arial"/>
                <w:b/>
                <w:bCs/>
                <w:color w:val="D1D5DB"/>
                <w:sz w:val="20"/>
                <w:szCs w:val="20"/>
              </w:rPr>
              <w:t xml:space="preserve">Current scottyUX example order</w:t>
            </w:r>
          </w:p>
          <w:p>
            <w:pPr>
              <w:spacing w:after="0" w:before="0"/>
            </w:pPr>
            <w:r>
              <w:rPr>
                <w:rFonts w:ascii="Arial" w:cs="Arial" w:eastAsia="Arial" w:hAnsi="Arial"/>
                <w:color w:val="111827"/>
                <w:sz w:val="20"/>
                <w:szCs w:val="20"/>
              </w:rPr>
              <w:t xml:space="preserve">Commit Habits 82 (Strong)  →  Code Risks 78 (Good)  →  Code Quality 58 (Needs Work)  →  React Components 54 (Needs Work)  →  Testing 12 (Critical — START HERE)</w:t>
            </w:r>
          </w:p>
        </w:tc>
      </w:tr>
    </w:tbl>
    <w:p>
      <w:pPr>
        <w:spacing w:after="0" w:before="120"/>
      </w:pPr>
      <w:r>
        <w:t xml:space="preserve"/>
      </w:r>
    </w:p>
    <w:p>
      <w:pPr>
        <w:spacing w:after="80" w:before="240"/>
      </w:pPr>
      <w:r>
        <w:rPr>
          <w:rFonts w:ascii="Arial" w:cs="Arial" w:eastAsia="Arial" w:hAnsi="Arial"/>
          <w:b/>
          <w:bCs/>
          <w:color w:val="0F1B2D"/>
          <w:sz w:val="24"/>
          <w:szCs w:val="24"/>
        </w:rPr>
        <w:t xml:space="preserve">Card Anatomy — Five Elements</w:t>
      </w:r>
    </w:p>
    <w:p>
      <w:pPr>
        <w:pStyle w:val="ListParagraph"/>
        <w:numPr>
          <w:ilvl w:val="0"/>
          <w:numId w:val="2"/>
        </w:numPr>
        <w:spacing w:after="40" w:before="40"/>
      </w:pPr>
      <w:r>
        <w:rPr>
          <w:rFonts w:ascii="Arial" w:cs="Arial" w:eastAsia="Arial" w:hAnsi="Arial"/>
          <w:color w:val="111827"/>
          <w:sz w:val="20"/>
          <w:szCs w:val="20"/>
        </w:rPr>
        <w:t xml:space="preserve">Phase name — e.g. 'Commit Habits', 'React Components', 'Testing'</w:t>
      </w:r>
    </w:p>
    <w:p>
      <w:pPr>
        <w:pStyle w:val="ListParagraph"/>
        <w:numPr>
          <w:ilvl w:val="0"/>
          <w:numId w:val="2"/>
        </w:numPr>
        <w:spacing w:after="40" w:before="40"/>
      </w:pPr>
      <w:r>
        <w:rPr>
          <w:rFonts w:ascii="Arial" w:cs="Arial" w:eastAsia="Arial" w:hAnsi="Arial"/>
          <w:color w:val="111827"/>
          <w:sz w:val="20"/>
          <w:szCs w:val="20"/>
        </w:rPr>
        <w:t xml:space="preserve">Status badge — color-coded pill. See badge rules below.</w:t>
      </w:r>
    </w:p>
    <w:p>
      <w:pPr>
        <w:pStyle w:val="ListParagraph"/>
        <w:numPr>
          <w:ilvl w:val="0"/>
          <w:numId w:val="2"/>
        </w:numPr>
        <w:spacing w:after="40" w:before="40"/>
      </w:pPr>
      <w:r>
        <w:rPr>
          <w:rFonts w:ascii="Arial" w:cs="Arial" w:eastAsia="Arial" w:hAnsi="Arial"/>
          <w:color w:val="111827"/>
          <w:sz w:val="20"/>
          <w:szCs w:val="20"/>
        </w:rPr>
        <w:t xml:space="preserve">Score number — large, bold, colored to match badge status</w:t>
      </w:r>
    </w:p>
    <w:p>
      <w:pPr>
        <w:pStyle w:val="ListParagraph"/>
        <w:numPr>
          <w:ilvl w:val="0"/>
          <w:numId w:val="2"/>
        </w:numPr>
        <w:spacing w:after="40" w:before="40"/>
      </w:pPr>
      <w:r>
        <w:rPr>
          <w:rFonts w:ascii="Arial" w:cs="Arial" w:eastAsia="Arial" w:hAnsi="Arial"/>
          <w:color w:val="111827"/>
          <w:sz w:val="20"/>
          <w:szCs w:val="20"/>
        </w:rPr>
        <w:t xml:space="preserve">One-line plain English summary — e.g. 'Consistent cadence, healthy commit frequency'</w:t>
      </w:r>
    </w:p>
    <w:p>
      <w:pPr>
        <w:pStyle w:val="ListParagraph"/>
        <w:numPr>
          <w:ilvl w:val="0"/>
          <w:numId w:val="2"/>
        </w:numPr>
        <w:spacing w:after="40" w:before="40"/>
      </w:pPr>
      <w:r>
        <w:rPr>
          <w:rFonts w:ascii="Arial" w:cs="Arial" w:eastAsia="Arial" w:hAnsi="Arial"/>
          <w:color w:val="111827"/>
          <w:sz w:val="20"/>
          <w:szCs w:val="20"/>
        </w:rPr>
        <w:t xml:space="preserve">'View details →' link — activates the corresponding tab and scrolls to Zone 5</w:t>
      </w:r>
    </w:p>
    <w:p>
      <w:pPr>
        <w:spacing w:after="0" w:before="80"/>
      </w:pPr>
      <w:r>
        <w:t xml:space="preserve"/>
      </w:r>
    </w:p>
    <w:p>
      <w:pPr>
        <w:spacing w:after="80" w:before="0"/>
      </w:pPr>
      <w:r>
        <w:rPr>
          <w:rFonts w:ascii="Arial" w:cs="Arial" w:eastAsia="Arial" w:hAnsi="Arial"/>
          <w:color w:val="111827"/>
          <w:sz w:val="20"/>
          <w:szCs w:val="20"/>
        </w:rPr>
        <w:t xml:space="preserve">The card with the lowest score also gets: a 'START HERE' label above the card, a colored border matching its status color, and a very subtle background tint.</w:t>
      </w:r>
    </w:p>
    <w:p>
      <w:pPr>
        <w:spacing w:after="0" w:before="120"/>
      </w:pPr>
      <w:r>
        <w:t xml:space="preserve"/>
      </w:r>
    </w:p>
    <w:p>
      <w:pPr>
        <w:spacing w:after="80" w:before="240"/>
      </w:pPr>
      <w:r>
        <w:rPr>
          <w:rFonts w:ascii="Arial" w:cs="Arial" w:eastAsia="Arial" w:hAnsi="Arial"/>
          <w:b/>
          <w:bCs/>
          <w:color w:val="0F1B2D"/>
          <w:sz w:val="24"/>
          <w:szCs w:val="24"/>
        </w:rPr>
        <w:t xml:space="preserve">Status Badge Rules — Four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D1FAE5" w:val="clear"/>
            <w:tcMar>
              <w:top w:type="dxa" w:w="80"/>
              <w:left w:type="dxa" w:w="140"/>
              <w:bottom w:type="dxa" w:w="80"/>
              <w:right w:type="dxa" w:w="140"/>
            </w:tcMar>
          </w:tcPr>
          <w:p>
            <w:pPr>
              <w:jc w:val="center"/>
            </w:pPr>
            <w:r>
              <w:rPr>
                <w:rFonts w:ascii="Arial" w:cs="Arial" w:eastAsia="Arial" w:hAnsi="Arial"/>
                <w:b/>
                <w:bCs/>
                <w:color w:val="16A34A"/>
                <w:sz w:val="18"/>
                <w:szCs w:val="18"/>
              </w:rPr>
              <w:t xml:space="preserve">Strong</w:t>
            </w:r>
          </w:p>
        </w:tc>
        <w:tc>
          <w:tcPr>
            <w:tcW w:type="dxa" w:w="7920"/>
            <w:tcBorders>
              <w:top w:val="nil"/>
              <w:left w:val="nil"/>
              <w:bottom w:val="nil"/>
              <w:right w:val="nil"/>
            </w:tcBorders>
            <w:shd w:fill="F8F9FA" w:val="clear"/>
            <w:tcMar>
              <w:top w:type="dxa" w:w="80"/>
              <w:left w:type="dxa" w:w="160"/>
              <w:bottom w:type="dxa" w:w="80"/>
              <w:right w:type="dxa" w:w="140"/>
            </w:tcMar>
          </w:tcPr>
          <w:p>
            <w:r>
              <w:rPr>
                <w:rFonts w:ascii="Arial" w:cs="Arial" w:eastAsia="Arial" w:hAnsi="Arial"/>
                <w:color w:val="111827"/>
                <w:sz w:val="19"/>
                <w:szCs w:val="19"/>
              </w:rPr>
              <w:t xml:space="preserve">Score in the healthy top range. Green pill. Area is working well, no action needed.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DBEAFE" w:val="clear"/>
            <w:tcMar>
              <w:top w:type="dxa" w:w="80"/>
              <w:left w:type="dxa" w:w="140"/>
              <w:bottom w:type="dxa" w:w="80"/>
              <w:right w:type="dxa" w:w="140"/>
            </w:tcMar>
          </w:tcPr>
          <w:p>
            <w:pPr>
              <w:jc w:val="center"/>
            </w:pPr>
            <w:r>
              <w:rPr>
                <w:rFonts w:ascii="Arial" w:cs="Arial" w:eastAsia="Arial" w:hAnsi="Arial"/>
                <w:b/>
                <w:bCs/>
                <w:color w:val="1D4ED8"/>
                <w:sz w:val="18"/>
                <w:szCs w:val="18"/>
              </w:rPr>
              <w:t xml:space="preserve">Good</w:t>
            </w:r>
          </w:p>
        </w:tc>
        <w:tc>
          <w:tcPr>
            <w:tcW w:type="dxa" w:w="7920"/>
            <w:tcBorders>
              <w:top w:val="nil"/>
              <w:left w:val="nil"/>
              <w:bottom w:val="nil"/>
              <w:right w:val="nil"/>
            </w:tcBorders>
            <w:shd w:fill="F8F9FA" w:val="clear"/>
            <w:tcMar>
              <w:top w:type="dxa" w:w="80"/>
              <w:left w:type="dxa" w:w="160"/>
              <w:bottom w:type="dxa" w:w="80"/>
              <w:right w:type="dxa" w:w="140"/>
            </w:tcMar>
          </w:tcPr>
          <w:p>
            <w:r>
              <w:rPr>
                <w:rFonts w:ascii="Arial" w:cs="Arial" w:eastAsia="Arial" w:hAnsi="Arial"/>
                <w:color w:val="111827"/>
                <w:sz w:val="19"/>
                <w:szCs w:val="19"/>
              </w:rPr>
              <w:t xml:space="preserve">Score is healthy with minor room for improvement. Blue pill.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FEF3C7" w:val="clear"/>
            <w:tcMar>
              <w:top w:type="dxa" w:w="80"/>
              <w:left w:type="dxa" w:w="140"/>
              <w:bottom w:type="dxa" w:w="80"/>
              <w:right w:type="dxa" w:w="140"/>
            </w:tcMar>
          </w:tcPr>
          <w:p>
            <w:pPr>
              <w:jc w:val="center"/>
            </w:pPr>
            <w:r>
              <w:rPr>
                <w:rFonts w:ascii="Arial" w:cs="Arial" w:eastAsia="Arial" w:hAnsi="Arial"/>
                <w:b/>
                <w:bCs/>
                <w:color w:val="B45309"/>
                <w:sz w:val="18"/>
                <w:szCs w:val="18"/>
              </w:rPr>
              <w:t xml:space="preserve">Needs Work</w:t>
            </w:r>
          </w:p>
        </w:tc>
        <w:tc>
          <w:tcPr>
            <w:tcW w:type="dxa" w:w="7920"/>
            <w:tcBorders>
              <w:top w:val="nil"/>
              <w:left w:val="nil"/>
              <w:bottom w:val="nil"/>
              <w:right w:val="nil"/>
            </w:tcBorders>
            <w:shd w:fill="F8F9FA" w:val="clear"/>
            <w:tcMar>
              <w:top w:type="dxa" w:w="80"/>
              <w:left w:type="dxa" w:w="160"/>
              <w:bottom w:type="dxa" w:w="80"/>
              <w:right w:type="dxa" w:w="140"/>
            </w:tcMar>
          </w:tcPr>
          <w:p>
            <w:r>
              <w:rPr>
                <w:rFonts w:ascii="Arial" w:cs="Arial" w:eastAsia="Arial" w:hAnsi="Arial"/>
                <w:color w:val="111827"/>
                <w:sz w:val="19"/>
                <w:szCs w:val="19"/>
              </w:rPr>
              <w:t xml:space="preserve">Score is below the healthy threshold. Amber pill. Student should address this area.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left w:val="nil"/>
              <w:bottom w:val="nil"/>
              <w:right w:val="nil"/>
            </w:tcBorders>
            <w:shd w:fill="FEE2E2" w:val="clear"/>
            <w:tcMar>
              <w:top w:type="dxa" w:w="80"/>
              <w:left w:type="dxa" w:w="140"/>
              <w:bottom w:type="dxa" w:w="80"/>
              <w:right w:type="dxa" w:w="140"/>
            </w:tcMar>
          </w:tcPr>
          <w:p>
            <w:pPr>
              <w:jc w:val="center"/>
            </w:pPr>
            <w:r>
              <w:rPr>
                <w:rFonts w:ascii="Arial" w:cs="Arial" w:eastAsia="Arial" w:hAnsi="Arial"/>
                <w:b/>
                <w:bCs/>
                <w:color w:val="DC2626"/>
                <w:sz w:val="18"/>
                <w:szCs w:val="18"/>
              </w:rPr>
              <w:t xml:space="preserve">Critical</w:t>
            </w:r>
          </w:p>
        </w:tc>
        <w:tc>
          <w:tcPr>
            <w:tcW w:type="dxa" w:w="7920"/>
            <w:tcBorders>
              <w:top w:val="nil"/>
              <w:left w:val="nil"/>
              <w:bottom w:val="nil"/>
              <w:right w:val="nil"/>
            </w:tcBorders>
            <w:shd w:fill="F8F9FA" w:val="clear"/>
            <w:tcMar>
              <w:top w:type="dxa" w:w="80"/>
              <w:left w:type="dxa" w:w="160"/>
              <w:bottom w:type="dxa" w:w="80"/>
              <w:right w:type="dxa" w:w="140"/>
            </w:tcMar>
          </w:tcPr>
          <w:p>
            <w:r>
              <w:rPr>
                <w:rFonts w:ascii="Arial" w:cs="Arial" w:eastAsia="Arial" w:hAnsi="Arial"/>
                <w:color w:val="111827"/>
                <w:sz w:val="19"/>
                <w:szCs w:val="19"/>
              </w:rPr>
              <w:t xml:space="preserve">Score is significantly below threshold. Red pill. Gets START HERE label and colored card border.</w:t>
            </w:r>
          </w:p>
        </w:tc>
      </w:tr>
    </w:tbl>
    <w:p>
      <w:pPr>
        <w:spacing w:after="0" w:before="120"/>
      </w:pPr>
      <w:r>
        <w:t xml:space="preserve"/>
      </w:r>
    </w:p>
    <w:p>
      <w:pPr>
        <w:spacing w:after="80" w:before="240"/>
      </w:pPr>
      <w:r>
        <w:rPr>
          <w:rFonts w:ascii="Arial" w:cs="Arial" w:eastAsia="Arial" w:hAnsi="Arial"/>
          <w:b/>
          <w:bCs/>
          <w:color w:val="0F1B2D"/>
          <w:sz w:val="24"/>
          <w:szCs w:val="24"/>
        </w:rPr>
        <w:t xml:space="preserve">Badge Rule — When NOT to Show a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45309" w:sz="20"/>
              <w:bottom w:val="nil"/>
              <w:right w:val="nil"/>
            </w:tcBorders>
            <w:shd w:fill="FEFCE8" w:val="clear"/>
            <w:tcMar>
              <w:top w:type="dxa" w:w="140"/>
              <w:left w:type="dxa" w:w="240"/>
              <w:bottom w:type="dxa" w:w="140"/>
              <w:right w:type="dxa" w:w="200"/>
            </w:tcMar>
          </w:tcPr>
          <w:p>
            <w:pPr>
              <w:spacing w:after="60" w:before="0"/>
            </w:pPr>
            <w:r>
              <w:rPr>
                <w:rFonts w:ascii="Arial" w:cs="Arial" w:eastAsia="Arial" w:hAnsi="Arial"/>
                <w:b/>
                <w:bCs/>
                <w:color w:val="B45309"/>
                <w:sz w:val="20"/>
                <w:szCs w:val="20"/>
              </w:rPr>
              <w:t xml:space="preserve">Rule: No badge for count-only or informational metrics</w:t>
            </w:r>
          </w:p>
          <w:p>
            <w:pPr>
              <w:spacing w:after="0" w:before="0"/>
            </w:pPr>
            <w:r>
              <w:rPr>
                <w:rFonts w:ascii="Arial" w:cs="Arial" w:eastAsia="Arial" w:hAnsi="Arial"/>
                <w:color w:val="111827"/>
                <w:sz w:val="20"/>
                <w:szCs w:val="20"/>
              </w:rPr>
              <w:t xml:space="preserve">Only show a status badge when the metric has a clear good/bad threshold that applies universally. Raw count metrics (e.g. Total Functions: 947, TSX Files Analyzed: 66, Test Files: 24) are informational — their meaning depends on codebase size and has no universal pass/fail threshold. For these, show value and explanation only, with no badge. Ask: does a higher number always mean better or worse for any codebase? If not, no badge.</w:t>
            </w:r>
          </w:p>
        </w:tc>
      </w:tr>
    </w:tbl>
    <w:p>
      <w:pPr>
        <w:spacing w:after="0" w:before="120"/>
      </w:pPr>
      <w:r>
        <w:t xml:space="preserve"/>
      </w:r>
    </w:p>
    <w:p>
      <w:pPr>
        <w:spacing w:after="80" w:before="240"/>
      </w:pPr>
      <w:r>
        <w:rPr>
          <w:rFonts w:ascii="Arial" w:cs="Arial" w:eastAsia="Arial" w:hAnsi="Arial"/>
          <w:b/>
          <w:bCs/>
          <w:color w:val="0F1B2D"/>
          <w:sz w:val="24"/>
          <w:szCs w:val="24"/>
        </w:rPr>
        <w:t xml:space="preserve">Card Interactivity</w:t>
      </w:r>
    </w:p>
    <w:p>
      <w:pPr>
        <w:spacing w:after="80" w:before="0"/>
      </w:pPr>
      <w:r>
        <w:rPr>
          <w:rFonts w:ascii="Arial" w:cs="Arial" w:eastAsia="Arial" w:hAnsi="Arial"/>
          <w:color w:val="111827"/>
          <w:sz w:val="20"/>
          <w:szCs w:val="20"/>
        </w:rPr>
        <w:t xml:space="preserve">Every score card is fully clickable. Clicking anywhere on the card (or the 'View details →' link) activates the corresponding detail tab in Zone 5 and smoothly scrolls the page down to it. Cards act as navigation anchors, not just display elements.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4. Detail Tabs — Structure &amp; Rules</w:t>
            </w:r>
          </w:p>
        </w:tc>
      </w:tr>
    </w:tbl>
    <w:p>
      <w:pPr>
        <w:spacing w:after="0" w:before="160"/>
      </w:pPr>
      <w:r>
        <w:t xml:space="preserve"/>
      </w:r>
    </w:p>
    <w:p>
      <w:pPr>
        <w:spacing w:after="80" w:before="0"/>
      </w:pPr>
      <w:r>
        <w:rPr>
          <w:rFonts w:ascii="Arial" w:cs="Arial" w:eastAsia="Arial" w:hAnsi="Arial"/>
          <w:color w:val="111827"/>
          <w:sz w:val="20"/>
          <w:szCs w:val="20"/>
        </w:rPr>
        <w:t xml:space="preserve">Eight tabs total. Six are live: Commit Habits, Testing, Code Quality, React Components, Code Complexity, Code Risks. AI Maturity and Dataset appear in the tab bar greyed out with a 'Soon' pill — they are visible to communicate the roadmap without confusing students.</w:t>
      </w:r>
    </w:p>
    <w:p>
      <w:pPr>
        <w:spacing w:after="0" w:before="120"/>
      </w:pPr>
      <w:r>
        <w:t xml:space="preserve"/>
      </w:r>
    </w:p>
    <w:p>
      <w:pPr>
        <w:spacing w:after="80" w:before="240"/>
      </w:pPr>
      <w:r>
        <w:rPr>
          <w:rFonts w:ascii="Arial" w:cs="Arial" w:eastAsia="Arial" w:hAnsi="Arial"/>
          <w:b/>
          <w:bCs/>
          <w:color w:val="0F1B2D"/>
          <w:sz w:val="24"/>
          <w:szCs w:val="24"/>
        </w:rPr>
        <w:t xml:space="preserve">Default Active Tab</w:t>
      </w:r>
    </w:p>
    <w:p>
      <w:pPr>
        <w:spacing w:after="80" w:before="0"/>
      </w:pPr>
      <w:r>
        <w:rPr>
          <w:rFonts w:ascii="Arial" w:cs="Arial" w:eastAsia="Arial" w:hAnsi="Arial"/>
          <w:color w:val="111827"/>
          <w:sz w:val="20"/>
          <w:szCs w:val="20"/>
        </w:rPr>
        <w:t xml:space="preserve">The tab with the lowest-scoring phase opens by default on page load. Students are immediately directed to their biggest improvement area without needing to click. In our current example data, Testing (score 12) opens by default.</w:t>
      </w:r>
    </w:p>
    <w:p>
      <w:pPr>
        <w:spacing w:after="0" w:before="120"/>
      </w:pPr>
      <w:r>
        <w:t xml:space="preserve"/>
      </w:r>
    </w:p>
    <w:p>
      <w:pPr>
        <w:spacing w:after="80" w:before="240"/>
      </w:pPr>
      <w:r>
        <w:rPr>
          <w:rFonts w:ascii="Arial" w:cs="Arial" w:eastAsia="Arial" w:hAnsi="Arial"/>
          <w:b/>
          <w:bCs/>
          <w:color w:val="0F1B2D"/>
          <w:sz w:val="24"/>
          <w:szCs w:val="24"/>
        </w:rPr>
        <w:t xml:space="preserve">Tab Content — 4-Part Structure</w:t>
      </w:r>
    </w:p>
    <w:p>
      <w:pPr>
        <w:spacing w:after="80" w:before="0"/>
      </w:pPr>
      <w:r>
        <w:rPr>
          <w:rFonts w:ascii="Arial" w:cs="Arial" w:eastAsia="Arial" w:hAnsi="Arial"/>
          <w:color w:val="111827"/>
          <w:sz w:val="20"/>
          <w:szCs w:val="20"/>
        </w:rPr>
        <w:t xml:space="preserve">Every tab follows the same four-part vertical structure in this order:</w:t>
      </w:r>
    </w:p>
    <w:p>
      <w:pPr>
        <w:spacing w:after="0" w:before="80"/>
      </w:pPr>
      <w:r>
        <w:t xml:space="preserve"/>
      </w:r>
    </w:p>
    <w:p>
      <w:pPr>
        <w:pStyle w:val="ListParagraph"/>
        <w:numPr>
          <w:ilvl w:val="0"/>
          <w:numId w:val="3"/>
        </w:numPr>
        <w:spacing w:after="40" w:before="60"/>
      </w:pPr>
      <w:r>
        <w:rPr>
          <w:rFonts w:ascii="Arial" w:cs="Arial" w:eastAsia="Arial" w:hAnsi="Arial"/>
          <w:b/>
          <w:bCs/>
          <w:color w:val="111827"/>
          <w:sz w:val="20"/>
          <w:szCs w:val="20"/>
        </w:rPr>
        <w:t xml:space="preserve">Tab Intro / Feedback Box</w:t>
      </w:r>
    </w:p>
    <w:p>
      <w:pPr>
        <w:spacing w:after="80" w:before="0"/>
      </w:pPr>
      <w:r>
        <w:rPr>
          <w:rFonts w:ascii="Arial" w:cs="Arial" w:eastAsia="Arial" w:hAnsi="Arial"/>
          <w:color w:val="111827"/>
          <w:sz w:val="20"/>
          <w:szCs w:val="20"/>
        </w:rPr>
        <w:t xml:space="preserve">Full-width card at the top of the tab content. The left accent border color matches the tab's current status (red for Critical, amber for Needs Work, green for Strong). Contains 2–4 sentences of plain English explaining what the data shows for this specific phase. This is the student's first read when they arrive at the tab.</w:t>
      </w:r>
    </w:p>
    <w:p>
      <w:pPr>
        <w:spacing w:after="0" w:before="80"/>
      </w:pPr>
      <w:r>
        <w:t xml:space="preserve"/>
      </w:r>
    </w:p>
    <w:p>
      <w:pPr>
        <w:pStyle w:val="ListParagraph"/>
        <w:numPr>
          <w:ilvl w:val="0"/>
          <w:numId w:val="3"/>
        </w:numPr>
        <w:spacing w:after="40" w:before="60"/>
      </w:pPr>
      <w:r>
        <w:rPr>
          <w:rFonts w:ascii="Arial" w:cs="Arial" w:eastAsia="Arial" w:hAnsi="Arial"/>
          <w:b/>
          <w:bCs/>
          <w:color w:val="111827"/>
          <w:sz w:val="20"/>
          <w:szCs w:val="20"/>
        </w:rPr>
        <w:t xml:space="preserve">Core Signals</w:t>
      </w:r>
    </w:p>
    <w:p>
      <w:pPr>
        <w:spacing w:after="80" w:before="0"/>
      </w:pPr>
      <w:r>
        <w:rPr>
          <w:rFonts w:ascii="Arial" w:cs="Arial" w:eastAsia="Arial" w:hAnsi="Arial"/>
          <w:color w:val="111827"/>
          <w:sz w:val="20"/>
          <w:szCs w:val="20"/>
        </w:rPr>
        <w:t xml:space="preserve">A labeled section (small-caps label 'CORE SIGNALS') containing the 2–3 most important metrics for this phase. Each metric is a card showing: metric name, status badge where applicable, large value number, and a 2–3 sentence plain English explanation of what the value means and why it matters to the student.</w:t>
      </w:r>
    </w:p>
    <w:p>
      <w:pPr>
        <w:spacing w:after="0" w:before="80"/>
      </w:pPr>
      <w:r>
        <w:t xml:space="preserve"/>
      </w:r>
    </w:p>
    <w:p>
      <w:pPr>
        <w:pStyle w:val="ListParagraph"/>
        <w:numPr>
          <w:ilvl w:val="0"/>
          <w:numId w:val="3"/>
        </w:numPr>
        <w:spacing w:after="40" w:before="60"/>
      </w:pPr>
      <w:r>
        <w:rPr>
          <w:rFonts w:ascii="Arial" w:cs="Arial" w:eastAsia="Arial" w:hAnsi="Arial"/>
          <w:b/>
          <w:bCs/>
          <w:color w:val="111827"/>
          <w:sz w:val="20"/>
          <w:szCs w:val="20"/>
        </w:rPr>
        <w:t xml:space="preserve">Additional Signals (when needed)</w:t>
      </w:r>
    </w:p>
    <w:p>
      <w:pPr>
        <w:spacing w:after="80" w:before="0"/>
      </w:pPr>
      <w:r>
        <w:rPr>
          <w:rFonts w:ascii="Arial" w:cs="Arial" w:eastAsia="Arial" w:hAnsi="Arial"/>
          <w:color w:val="111827"/>
          <w:sz w:val="20"/>
          <w:szCs w:val="20"/>
        </w:rPr>
        <w:t xml:space="preserve">A labeled section ('ADDITIONAL SIGNALS') with supplementary metrics in the same card format. Not all tabs need this section — include it only when there are meaningful secondary metrics beyond the core three. The label visually separates these from Core Signals.</w:t>
      </w:r>
    </w:p>
    <w:p>
      <w:pPr>
        <w:spacing w:after="0" w:before="80"/>
      </w:pPr>
      <w:r>
        <w:t xml:space="preserve"/>
      </w:r>
    </w:p>
    <w:p>
      <w:pPr>
        <w:pStyle w:val="ListParagraph"/>
        <w:numPr>
          <w:ilvl w:val="0"/>
          <w:numId w:val="3"/>
        </w:numPr>
        <w:spacing w:after="40" w:before="60"/>
      </w:pPr>
      <w:r>
        <w:rPr>
          <w:rFonts w:ascii="Arial" w:cs="Arial" w:eastAsia="Arial" w:hAnsi="Arial"/>
          <w:b/>
          <w:bCs/>
          <w:color w:val="111827"/>
          <w:sz w:val="20"/>
          <w:szCs w:val="20"/>
        </w:rPr>
        <w:t xml:space="preserve">Detail Tables, Charts &amp; Coach How-to-Improve</w:t>
      </w:r>
    </w:p>
    <w:p>
      <w:pPr>
        <w:spacing w:after="80" w:before="0"/>
      </w:pPr>
      <w:r>
        <w:rPr>
          <w:rFonts w:ascii="Arial" w:cs="Arial" w:eastAsia="Arial" w:hAnsi="Arial"/>
          <w:color w:val="111827"/>
          <w:sz w:val="20"/>
          <w:szCs w:val="20"/>
        </w:rPr>
        <w:t xml:space="preserve">Phase-specific data tables or visualizations appear here (e.g. Top Complexity Hotspots table, Commit Activity heatmap, Risk Profile quadrant matrix). These are followed by the How to Improve section which is always the last element in every tab — a 'Start Here' immediate action box plus 2–4 numbered next steps specific to the actual data, never generic advice.</w:t>
      </w:r>
    </w:p>
    <w:p>
      <w:pPr>
        <w:spacing w:after="0" w:before="120"/>
      </w:pPr>
      <w:r>
        <w:t xml:space="preserve"/>
      </w:r>
    </w:p>
    <w:p>
      <w:pPr>
        <w:spacing w:after="80" w:before="240"/>
      </w:pPr>
      <w:r>
        <w:rPr>
          <w:rFonts w:ascii="Arial" w:cs="Arial" w:eastAsia="Arial" w:hAnsi="Arial"/>
          <w:b/>
          <w:bCs/>
          <w:color w:val="0F1B2D"/>
          <w:sz w:val="24"/>
          <w:szCs w:val="24"/>
        </w:rPr>
        <w:t xml:space="preserve">Tab Intro Box — Color Alignment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4F46E5" w:sz="20"/>
              <w:bottom w:val="nil"/>
              <w:right w:val="nil"/>
            </w:tcBorders>
            <w:shd w:fill="EEF2FF" w:val="clear"/>
            <w:tcMar>
              <w:top w:type="dxa" w:w="140"/>
              <w:left w:type="dxa" w:w="240"/>
              <w:bottom w:type="dxa" w:w="140"/>
              <w:right w:type="dxa" w:w="200"/>
            </w:tcMar>
          </w:tcPr>
          <w:p>
            <w:pPr>
              <w:spacing w:after="60" w:before="0"/>
            </w:pPr>
            <w:r>
              <w:rPr>
                <w:rFonts w:ascii="Arial" w:cs="Arial" w:eastAsia="Arial" w:hAnsi="Arial"/>
                <w:b/>
                <w:bCs/>
                <w:color w:val="4F46E5"/>
                <w:sz w:val="20"/>
                <w:szCs w:val="20"/>
              </w:rPr>
              <w:t xml:space="preserve">Rule: Tab intro border color must match the tab's status badge color</w:t>
            </w:r>
          </w:p>
          <w:p>
            <w:pPr>
              <w:spacing w:after="0" w:before="0"/>
            </w:pPr>
            <w:r>
              <w:rPr>
                <w:rFonts w:ascii="Arial" w:cs="Arial" w:eastAsia="Arial" w:hAnsi="Arial"/>
                <w:color w:val="111827"/>
                <w:sz w:val="20"/>
                <w:szCs w:val="20"/>
              </w:rPr>
              <w:t xml:space="preserve">Critical tab → red left border. Needs Work tab → amber left border. Good tab → blue left border. Strong tab → green left border. This creates immediate visual alignment between the score card color the student clicked and the tab content they land on.</w:t>
            </w:r>
          </w:p>
        </w:tc>
      </w:tr>
    </w:tbl>
    <w:p>
      <w:pPr>
        <w:spacing w:after="0" w:before="120"/>
      </w:pPr>
      <w:r>
        <w:t xml:space="preserve"/>
      </w:r>
    </w:p>
    <w:p>
      <w:pPr>
        <w:spacing w:after="80" w:before="240"/>
      </w:pPr>
      <w:r>
        <w:rPr>
          <w:rFonts w:ascii="Arial" w:cs="Arial" w:eastAsia="Arial" w:hAnsi="Arial"/>
          <w:b/>
          <w:bCs/>
          <w:color w:val="0F1B2D"/>
          <w:sz w:val="24"/>
          <w:szCs w:val="24"/>
        </w:rPr>
        <w:t xml:space="preserve">Metric Card Badge — Repeat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45309" w:sz="20"/>
              <w:bottom w:val="nil"/>
              <w:right w:val="nil"/>
            </w:tcBorders>
            <w:shd w:fill="FEFCE8" w:val="clear"/>
            <w:tcMar>
              <w:top w:type="dxa" w:w="140"/>
              <w:left w:type="dxa" w:w="240"/>
              <w:bottom w:type="dxa" w:w="140"/>
              <w:right w:type="dxa" w:w="200"/>
            </w:tcMar>
          </w:tcPr>
          <w:p>
            <w:pPr>
              <w:spacing w:after="60" w:before="0"/>
            </w:pPr>
            <w:r>
              <w:rPr>
                <w:rFonts w:ascii="Arial" w:cs="Arial" w:eastAsia="Arial" w:hAnsi="Arial"/>
                <w:b/>
                <w:bCs/>
                <w:color w:val="B45309"/>
                <w:sz w:val="20"/>
                <w:szCs w:val="20"/>
              </w:rPr>
              <w:t xml:space="preserve">Rule: Only badge metrics with a universal directional threshold</w:t>
            </w:r>
          </w:p>
          <w:p>
            <w:pPr>
              <w:spacing w:after="0" w:before="0"/>
            </w:pPr>
            <w:r>
              <w:rPr>
                <w:rFonts w:ascii="Arial" w:cs="Arial" w:eastAsia="Arial" w:hAnsi="Arial"/>
                <w:color w:val="111827"/>
                <w:sz w:val="20"/>
                <w:szCs w:val="20"/>
              </w:rPr>
              <w:t xml:space="preserve">Inside tab metric cards, show a status badge only when the metric has a clear good/bad direction for any codebase. Do not show badges on count-only or size-dependent metrics (e.g. Total Functions, TSX Files Analyzed, Test Files count, Component count). Show value and explanation only for these.</w:t>
            </w:r>
          </w:p>
        </w:tc>
      </w:tr>
    </w:tbl>
    <w:p>
      <w:pPr>
        <w:spacing w:after="0" w:before="120"/>
      </w:pPr>
      <w:r>
        <w:t xml:space="preserve"/>
      </w:r>
    </w:p>
    <w:p>
      <w:pPr>
        <w:spacing w:after="80" w:before="240"/>
      </w:pPr>
      <w:r>
        <w:rPr>
          <w:rFonts w:ascii="Arial" w:cs="Arial" w:eastAsia="Arial" w:hAnsi="Arial"/>
          <w:b/>
          <w:bCs/>
          <w:color w:val="0F1B2D"/>
          <w:sz w:val="24"/>
          <w:szCs w:val="24"/>
        </w:rPr>
        <w:t xml:space="preserve">Info Icon (ⓘ)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6D28D9" w:sz="20"/>
              <w:bottom w:val="nil"/>
              <w:right w:val="nil"/>
            </w:tcBorders>
            <w:shd w:fill="F5F3FF" w:val="clear"/>
            <w:tcMar>
              <w:top w:type="dxa" w:w="140"/>
              <w:left w:type="dxa" w:w="240"/>
              <w:bottom w:type="dxa" w:w="140"/>
              <w:right w:type="dxa" w:w="200"/>
            </w:tcMar>
          </w:tcPr>
          <w:p>
            <w:pPr>
              <w:spacing w:after="60" w:before="0"/>
            </w:pPr>
            <w:r>
              <w:rPr>
                <w:rFonts w:ascii="Arial" w:cs="Arial" w:eastAsia="Arial" w:hAnsi="Arial"/>
                <w:b/>
                <w:bCs/>
                <w:color w:val="6D28D9"/>
                <w:sz w:val="20"/>
                <w:szCs w:val="20"/>
              </w:rPr>
              <w:t xml:space="preserve">Rule: Use info icon for metrics with non-obvious scale direction</w:t>
            </w:r>
          </w:p>
          <w:p>
            <w:pPr>
              <w:spacing w:after="0" w:before="0"/>
            </w:pPr>
            <w:r>
              <w:rPr>
                <w:rFonts w:ascii="Arial" w:cs="Arial" w:eastAsia="Arial" w:hAnsi="Arial"/>
                <w:color w:val="111827"/>
                <w:sz w:val="20"/>
                <w:szCs w:val="20"/>
              </w:rPr>
              <w:t xml:space="preserve">Some metrics are not intuitive to read without context — for example, Risk Index where 1.00 is the worst possible value, not the best. Add a small info icon (ⓘ) next to the metric label. On hover or tap it shows a tooltip explaining how to read the scale. Keeps cards clean while preventing student confusion.</w:t>
            </w:r>
          </w:p>
        </w:tc>
      </w:tr>
    </w:tbl>
    <w:p>
      <w:pPr>
        <w:spacing w:after="0" w:before="120"/>
      </w:pPr>
      <w:r>
        <w:t xml:space="preserve"/>
      </w:r>
    </w:p>
    <w:p>
      <w:pPr>
        <w:spacing w:after="80" w:before="240"/>
      </w:pPr>
      <w:r>
        <w:rPr>
          <w:rFonts w:ascii="Arial" w:cs="Arial" w:eastAsia="Arial" w:hAnsi="Arial"/>
          <w:b/>
          <w:bCs/>
          <w:color w:val="0F1B2D"/>
          <w:sz w:val="24"/>
          <w:szCs w:val="24"/>
        </w:rPr>
        <w:t xml:space="preserve">No Data State</w:t>
      </w:r>
    </w:p>
    <w:p>
      <w:pPr>
        <w:spacing w:after="80" w:before="0"/>
      </w:pPr>
      <w:r>
        <w:rPr>
          <w:rFonts w:ascii="Arial" w:cs="Arial" w:eastAsia="Arial" w:hAnsi="Arial"/>
          <w:color w:val="111827"/>
          <w:sz w:val="20"/>
          <w:szCs w:val="20"/>
        </w:rPr>
        <w:t xml:space="preserve">When a metric requires data not available in the current analysis run (e.g. Median Commit Size and Commit Entropy which require local git analysis):</w:t>
      </w:r>
    </w:p>
    <w:p>
      <w:pPr>
        <w:pStyle w:val="ListParagraph"/>
        <w:numPr>
          <w:ilvl w:val="0"/>
          <w:numId w:val="2"/>
        </w:numPr>
        <w:spacing w:after="40" w:before="40"/>
      </w:pPr>
      <w:r>
        <w:rPr>
          <w:rFonts w:ascii="Arial" w:cs="Arial" w:eastAsia="Arial" w:hAnsi="Arial"/>
          <w:color w:val="111827"/>
          <w:sz w:val="20"/>
          <w:szCs w:val="20"/>
        </w:rPr>
        <w:t xml:space="preserve">Show a neutral 'No Data' grey badge instead of a status badge</w:t>
      </w:r>
    </w:p>
    <w:p>
      <w:pPr>
        <w:pStyle w:val="ListParagraph"/>
        <w:numPr>
          <w:ilvl w:val="0"/>
          <w:numId w:val="2"/>
        </w:numPr>
        <w:spacing w:after="40" w:before="40"/>
      </w:pPr>
      <w:r>
        <w:rPr>
          <w:rFonts w:ascii="Arial" w:cs="Arial" w:eastAsia="Arial" w:hAnsi="Arial"/>
          <w:color w:val="111827"/>
          <w:sz w:val="20"/>
          <w:szCs w:val="20"/>
        </w:rPr>
        <w:t xml:space="preserve">Do not show a numeric value alongside the No Data badge — hide the value entirely to avoid confusing 0 (zero value) with no data (missing data)</w:t>
      </w:r>
    </w:p>
    <w:p>
      <w:pPr>
        <w:pStyle w:val="ListParagraph"/>
        <w:numPr>
          <w:ilvl w:val="0"/>
          <w:numId w:val="2"/>
        </w:numPr>
        <w:spacing w:after="40" w:before="40"/>
      </w:pPr>
      <w:r>
        <w:rPr>
          <w:rFonts w:ascii="Arial" w:cs="Arial" w:eastAsia="Arial" w:hAnsi="Arial"/>
          <w:color w:val="111827"/>
          <w:sz w:val="20"/>
          <w:szCs w:val="20"/>
        </w:rPr>
        <w:t xml:space="preserve">The explanation text must tell the student why data is missing and how to get it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5. Tab-by-Tab Design Decisions</w:t>
            </w:r>
          </w:p>
        </w:tc>
      </w:tr>
    </w:tbl>
    <w:p>
      <w:pPr>
        <w:spacing w:after="0" w:before="160"/>
      </w:pPr>
      <w:r>
        <w:t xml:space="preserve"/>
      </w:r>
    </w:p>
    <w:p>
      <w:pPr>
        <w:spacing w:after="80" w:before="0"/>
      </w:pPr>
      <w:r>
        <w:rPr>
          <w:rFonts w:ascii="Arial" w:cs="Arial" w:eastAsia="Arial" w:hAnsi="Arial"/>
          <w:color w:val="111827"/>
          <w:sz w:val="20"/>
          <w:szCs w:val="20"/>
        </w:rPr>
        <w:t xml:space="preserve">Specific design decisions made per tab during the design review session. These supplement the general structure rules in Section 4.</w:t>
      </w:r>
    </w:p>
    <w:p>
      <w:pPr>
        <w:spacing w:after="0" w:before="120"/>
      </w:pPr>
      <w:r>
        <w:t xml:space="preserve"/>
      </w:r>
    </w:p>
    <w:p>
      <w:pPr>
        <w:spacing w:after="80" w:before="240"/>
      </w:pPr>
      <w:r>
        <w:rPr>
          <w:rFonts w:ascii="Arial" w:cs="Arial" w:eastAsia="Arial" w:hAnsi="Arial"/>
          <w:b/>
          <w:bCs/>
          <w:color w:val="0F1B2D"/>
          <w:sz w:val="24"/>
          <w:szCs w:val="24"/>
        </w:rPr>
        <w:t xml:space="preserve">Commit Habits Tab</w:t>
      </w:r>
    </w:p>
    <w:p>
      <w:pPr>
        <w:pStyle w:val="ListParagraph"/>
        <w:numPr>
          <w:ilvl w:val="0"/>
          <w:numId w:val="2"/>
        </w:numPr>
        <w:spacing w:after="40" w:before="40"/>
      </w:pPr>
      <w:r>
        <w:rPr>
          <w:rFonts w:ascii="Arial" w:cs="Arial" w:eastAsia="Arial" w:hAnsi="Arial"/>
          <w:color w:val="111827"/>
          <w:sz w:val="20"/>
          <w:szCs w:val="20"/>
        </w:rPr>
        <w:t xml:space="preserve">Card section label 'CORE SIGNALS' added above first row — consistent with all other tabs</w:t>
      </w:r>
    </w:p>
    <w:p>
      <w:pPr>
        <w:pStyle w:val="ListParagraph"/>
        <w:numPr>
          <w:ilvl w:val="0"/>
          <w:numId w:val="2"/>
        </w:numPr>
        <w:spacing w:after="40" w:before="40"/>
      </w:pPr>
      <w:r>
        <w:rPr>
          <w:rFonts w:ascii="Arial" w:cs="Arial" w:eastAsia="Arial" w:hAnsi="Arial"/>
          <w:color w:val="111827"/>
          <w:sz w:val="20"/>
          <w:szCs w:val="20"/>
        </w:rPr>
        <w:t xml:space="preserve">Card order: Total Commits → Commits Per Week → Large Commit Ratio (Core Signals) | Median Commit Size → Commit Entropy → Burst Ratio (Additional Signals)</w:t>
      </w:r>
    </w:p>
    <w:p>
      <w:pPr>
        <w:pStyle w:val="ListParagraph"/>
        <w:numPr>
          <w:ilvl w:val="0"/>
          <w:numId w:val="2"/>
        </w:numPr>
        <w:spacing w:after="40" w:before="40"/>
      </w:pPr>
      <w:r>
        <w:rPr>
          <w:rFonts w:ascii="Arial" w:cs="Arial" w:eastAsia="Arial" w:hAnsi="Arial"/>
          <w:color w:val="111827"/>
          <w:sz w:val="20"/>
          <w:szCs w:val="20"/>
        </w:rPr>
        <w:t xml:space="preserve">Duplication % card removed — not relevant to commit habit behavior</w:t>
      </w:r>
    </w:p>
    <w:p>
      <w:pPr>
        <w:pStyle w:val="ListParagraph"/>
        <w:numPr>
          <w:ilvl w:val="0"/>
          <w:numId w:val="2"/>
        </w:numPr>
        <w:spacing w:after="40" w:before="40"/>
      </w:pPr>
      <w:r>
        <w:rPr>
          <w:rFonts w:ascii="Arial" w:cs="Arial" w:eastAsia="Arial" w:hAnsi="Arial"/>
          <w:color w:val="111827"/>
          <w:sz w:val="20"/>
          <w:szCs w:val="20"/>
        </w:rPr>
        <w:t xml:space="preserve">Median Commit Size card added. Value requires local git analysis so shows No Data badge — value hidden, explanation explains how to get the data</w:t>
      </w:r>
    </w:p>
    <w:p>
      <w:pPr>
        <w:pStyle w:val="ListParagraph"/>
        <w:numPr>
          <w:ilvl w:val="0"/>
          <w:numId w:val="2"/>
        </w:numPr>
        <w:spacing w:after="40" w:before="40"/>
      </w:pPr>
      <w:r>
        <w:rPr>
          <w:rFonts w:ascii="Arial" w:cs="Arial" w:eastAsia="Arial" w:hAnsi="Arial"/>
          <w:color w:val="111827"/>
          <w:sz w:val="20"/>
          <w:szCs w:val="20"/>
        </w:rPr>
        <w:t xml:space="preserve">Median Commit Size, Commit Entropy, and Burst Ratio all show No Data badge for the same reason</w:t>
      </w:r>
    </w:p>
    <w:p>
      <w:pPr>
        <w:pStyle w:val="ListParagraph"/>
        <w:numPr>
          <w:ilvl w:val="0"/>
          <w:numId w:val="2"/>
        </w:numPr>
        <w:spacing w:after="40" w:before="40"/>
      </w:pPr>
      <w:r>
        <w:rPr>
          <w:rFonts w:ascii="Arial" w:cs="Arial" w:eastAsia="Arial" w:hAnsi="Arial"/>
          <w:color w:val="111827"/>
          <w:sz w:val="20"/>
          <w:szCs w:val="20"/>
        </w:rPr>
        <w:t xml:space="preserve">Commit Activity heatmap is the most visually distinctive element on this tab — keep it prominent</w:t>
      </w:r>
    </w:p>
    <w:p>
      <w:pPr>
        <w:pStyle w:val="ListParagraph"/>
        <w:numPr>
          <w:ilvl w:val="0"/>
          <w:numId w:val="2"/>
        </w:numPr>
        <w:spacing w:after="40" w:before="40"/>
      </w:pPr>
      <w:r>
        <w:rPr>
          <w:rFonts w:ascii="Arial" w:cs="Arial" w:eastAsia="Arial" w:hAnsi="Arial"/>
          <w:color w:val="111827"/>
          <w:sz w:val="20"/>
          <w:szCs w:val="20"/>
        </w:rPr>
        <w:t xml:space="preserve">Team Contributors section shows per-contributor stats including test-touch % and refactor % — useful for understanding team balance</w:t>
      </w:r>
    </w:p>
    <w:p>
      <w:pPr>
        <w:spacing w:after="0" w:before="120"/>
      </w:pPr>
      <w:r>
        <w:t xml:space="preserve"/>
      </w:r>
    </w:p>
    <w:p>
      <w:pPr>
        <w:spacing w:after="80" w:before="240"/>
      </w:pPr>
      <w:r>
        <w:rPr>
          <w:rFonts w:ascii="Arial" w:cs="Arial" w:eastAsia="Arial" w:hAnsi="Arial"/>
          <w:b/>
          <w:bCs/>
          <w:color w:val="0F1B2D"/>
          <w:sz w:val="24"/>
          <w:szCs w:val="24"/>
        </w:rPr>
        <w:t xml:space="preserve">Testing Tab</w:t>
      </w:r>
    </w:p>
    <w:p>
      <w:pPr>
        <w:pStyle w:val="ListParagraph"/>
        <w:numPr>
          <w:ilvl w:val="0"/>
          <w:numId w:val="2"/>
        </w:numPr>
        <w:spacing w:after="40" w:before="40"/>
      </w:pPr>
      <w:r>
        <w:rPr>
          <w:rFonts w:ascii="Arial" w:cs="Arial" w:eastAsia="Arial" w:hAnsi="Arial"/>
          <w:color w:val="111827"/>
          <w:sz w:val="20"/>
          <w:szCs w:val="20"/>
        </w:rPr>
        <w:t xml:space="preserve">Default active tab — opens by default since Testing is the lowest-scoring phase</w:t>
      </w:r>
    </w:p>
    <w:p>
      <w:pPr>
        <w:pStyle w:val="ListParagraph"/>
        <w:numPr>
          <w:ilvl w:val="0"/>
          <w:numId w:val="2"/>
        </w:numPr>
        <w:spacing w:after="40" w:before="40"/>
      </w:pPr>
      <w:r>
        <w:rPr>
          <w:rFonts w:ascii="Arial" w:cs="Arial" w:eastAsia="Arial" w:hAnsi="Arial"/>
          <w:color w:val="111827"/>
          <w:sz w:val="20"/>
          <w:szCs w:val="20"/>
        </w:rPr>
        <w:t xml:space="preserve">Refactor Commit Ratio card removed — moved responsibility signal to Commit Habits tab</w:t>
      </w:r>
    </w:p>
    <w:p>
      <w:pPr>
        <w:pStyle w:val="ListParagraph"/>
        <w:numPr>
          <w:ilvl w:val="0"/>
          <w:numId w:val="2"/>
        </w:numPr>
        <w:spacing w:after="40" w:before="40"/>
      </w:pPr>
      <w:r>
        <w:rPr>
          <w:rFonts w:ascii="Arial" w:cs="Arial" w:eastAsia="Arial" w:hAnsi="Arial"/>
          <w:color w:val="111827"/>
          <w:sz w:val="20"/>
          <w:szCs w:val="20"/>
        </w:rPr>
        <w:t xml:space="preserve">Test Lines of Code card added as a Core Signal alongside Test Coverage Ratio and Commits Touching Tests</w:t>
      </w:r>
    </w:p>
    <w:p>
      <w:pPr>
        <w:pStyle w:val="ListParagraph"/>
        <w:numPr>
          <w:ilvl w:val="0"/>
          <w:numId w:val="2"/>
        </w:numPr>
        <w:spacing w:after="40" w:before="40"/>
      </w:pPr>
      <w:r>
        <w:rPr>
          <w:rFonts w:ascii="Arial" w:cs="Arial" w:eastAsia="Arial" w:hAnsi="Arial"/>
          <w:color w:val="111827"/>
          <w:sz w:val="20"/>
          <w:szCs w:val="20"/>
        </w:rPr>
        <w:t xml:space="preserve">Empty Catch Blocks and Console Log Count cards removed from this tab — moved to Code Quality and Code Risks respectively</w:t>
      </w:r>
    </w:p>
    <w:p>
      <w:pPr>
        <w:pStyle w:val="ListParagraph"/>
        <w:numPr>
          <w:ilvl w:val="0"/>
          <w:numId w:val="2"/>
        </w:numPr>
        <w:spacing w:after="40" w:before="40"/>
      </w:pPr>
      <w:r>
        <w:rPr>
          <w:rFonts w:ascii="Arial" w:cs="Arial" w:eastAsia="Arial" w:hAnsi="Arial"/>
          <w:color w:val="111827"/>
          <w:sz w:val="20"/>
          <w:szCs w:val="20"/>
        </w:rPr>
        <w:t xml:space="preserve">Risk Profile quadrant matrix: four quadrants showing Low/High Structural Risk vs Low/High Verification. 'You are here' cell highlighted. Axis labels use underline styling to improve readability. Risk Index and Verification Index shown on the right side with info icon (ⓘ) — tooltip to explain that 1.00 = worst, not best</w:t>
      </w:r>
    </w:p>
    <w:p>
      <w:pPr>
        <w:pStyle w:val="ListParagraph"/>
        <w:numPr>
          <w:ilvl w:val="0"/>
          <w:numId w:val="2"/>
        </w:numPr>
        <w:spacing w:after="40" w:before="40"/>
      </w:pPr>
      <w:r>
        <w:rPr>
          <w:rFonts w:ascii="Arial" w:cs="Arial" w:eastAsia="Arial" w:hAnsi="Arial"/>
          <w:color w:val="111827"/>
          <w:sz w:val="20"/>
          <w:szCs w:val="20"/>
        </w:rPr>
        <w:t xml:space="preserve">'Jump to safety-net metrics' link — keep only if functional, otherwise remove or mark coming soon</w:t>
      </w:r>
    </w:p>
    <w:p>
      <w:pPr>
        <w:spacing w:after="0" w:before="120"/>
      </w:pPr>
      <w:r>
        <w:t xml:space="preserve"/>
      </w:r>
    </w:p>
    <w:p>
      <w:pPr>
        <w:spacing w:after="80" w:before="240"/>
      </w:pPr>
      <w:r>
        <w:rPr>
          <w:rFonts w:ascii="Arial" w:cs="Arial" w:eastAsia="Arial" w:hAnsi="Arial"/>
          <w:b/>
          <w:bCs/>
          <w:color w:val="0F1B2D"/>
          <w:sz w:val="24"/>
          <w:szCs w:val="24"/>
        </w:rPr>
        <w:t xml:space="preserve">Code Quality Tab</w:t>
      </w:r>
    </w:p>
    <w:p>
      <w:pPr>
        <w:pStyle w:val="ListParagraph"/>
        <w:numPr>
          <w:ilvl w:val="0"/>
          <w:numId w:val="2"/>
        </w:numPr>
        <w:spacing w:after="40" w:before="40"/>
      </w:pPr>
      <w:r>
        <w:rPr>
          <w:rFonts w:ascii="Arial" w:cs="Arial" w:eastAsia="Arial" w:hAnsi="Arial"/>
          <w:color w:val="111827"/>
          <w:sz w:val="20"/>
          <w:szCs w:val="20"/>
        </w:rPr>
        <w:t xml:space="preserve">Total Functions card added — count-only metric, no status badge per badge rule</w:t>
      </w:r>
    </w:p>
    <w:p>
      <w:pPr>
        <w:pStyle w:val="ListParagraph"/>
        <w:numPr>
          <w:ilvl w:val="0"/>
          <w:numId w:val="2"/>
        </w:numPr>
        <w:spacing w:after="40" w:before="40"/>
      </w:pPr>
      <w:r>
        <w:rPr>
          <w:rFonts w:ascii="Arial" w:cs="Arial" w:eastAsia="Arial" w:hAnsi="Arial"/>
          <w:color w:val="111827"/>
          <w:sz w:val="20"/>
          <w:szCs w:val="20"/>
        </w:rPr>
        <w:t xml:space="preserve">P90 Function Length card added as Additional Signal</w:t>
      </w:r>
    </w:p>
    <w:p>
      <w:pPr>
        <w:pStyle w:val="ListParagraph"/>
        <w:numPr>
          <w:ilvl w:val="0"/>
          <w:numId w:val="2"/>
        </w:numPr>
        <w:spacing w:after="40" w:before="40"/>
      </w:pPr>
      <w:r>
        <w:rPr>
          <w:rFonts w:ascii="Arial" w:cs="Arial" w:eastAsia="Arial" w:hAnsi="Arial"/>
          <w:color w:val="111827"/>
          <w:sz w:val="20"/>
          <w:szCs w:val="20"/>
        </w:rPr>
        <w:t xml:space="preserve">Functions with Long Parameters card added</w:t>
      </w:r>
    </w:p>
    <w:p>
      <w:pPr>
        <w:pStyle w:val="ListParagraph"/>
        <w:numPr>
          <w:ilvl w:val="0"/>
          <w:numId w:val="2"/>
        </w:numPr>
        <w:spacing w:after="40" w:before="40"/>
      </w:pPr>
      <w:r>
        <w:rPr>
          <w:rFonts w:ascii="Arial" w:cs="Arial" w:eastAsia="Arial" w:hAnsi="Arial"/>
          <w:color w:val="111827"/>
          <w:sz w:val="20"/>
          <w:szCs w:val="20"/>
        </w:rPr>
        <w:t xml:space="preserve">Empty Catch Blocks card added (moved from Testing)</w:t>
      </w:r>
    </w:p>
    <w:p>
      <w:pPr>
        <w:pStyle w:val="ListParagraph"/>
        <w:numPr>
          <w:ilvl w:val="0"/>
          <w:numId w:val="2"/>
        </w:numPr>
        <w:spacing w:after="40" w:before="40"/>
      </w:pPr>
      <w:r>
        <w:rPr>
          <w:rFonts w:ascii="Arial" w:cs="Arial" w:eastAsia="Arial" w:hAnsi="Arial"/>
          <w:color w:val="111827"/>
          <w:sz w:val="20"/>
          <w:szCs w:val="20"/>
        </w:rPr>
        <w:t xml:space="preserve">Console Log Count card added (moved from Testing)</w:t>
      </w:r>
    </w:p>
    <w:p>
      <w:pPr>
        <w:pStyle w:val="ListParagraph"/>
        <w:numPr>
          <w:ilvl w:val="0"/>
          <w:numId w:val="2"/>
        </w:numPr>
        <w:spacing w:after="40" w:before="40"/>
      </w:pPr>
      <w:r>
        <w:rPr>
          <w:rFonts w:ascii="Arial" w:cs="Arial" w:eastAsia="Arial" w:hAnsi="Arial"/>
          <w:color w:val="111827"/>
          <w:sz w:val="20"/>
          <w:szCs w:val="20"/>
        </w:rPr>
        <w:t xml:space="preserve">Max Complexity card (value 99) is the most critical single metric on this tab — red Critical badge, should remain visually prominent</w:t>
      </w:r>
    </w:p>
    <w:p>
      <w:pPr>
        <w:pStyle w:val="ListParagraph"/>
        <w:numPr>
          <w:ilvl w:val="0"/>
          <w:numId w:val="2"/>
        </w:numPr>
        <w:spacing w:after="40" w:before="40"/>
      </w:pPr>
      <w:r>
        <w:rPr>
          <w:rFonts w:ascii="Arial" w:cs="Arial" w:eastAsia="Arial" w:hAnsi="Arial"/>
          <w:color w:val="111827"/>
          <w:sz w:val="20"/>
          <w:szCs w:val="20"/>
        </w:rPr>
        <w:t xml:space="preserve">Complexity Distribution section with concentration bar and function breakdown is a high-value visualization — keep</w:t>
      </w:r>
    </w:p>
    <w:p>
      <w:pPr>
        <w:pStyle w:val="ListParagraph"/>
        <w:numPr>
          <w:ilvl w:val="0"/>
          <w:numId w:val="2"/>
        </w:numPr>
        <w:spacing w:after="40" w:before="40"/>
      </w:pPr>
      <w:r>
        <w:rPr>
          <w:rFonts w:ascii="Arial" w:cs="Arial" w:eastAsia="Arial" w:hAnsi="Arial"/>
          <w:color w:val="111827"/>
          <w:sz w:val="20"/>
          <w:szCs w:val="20"/>
        </w:rPr>
        <w:t xml:space="preserve">'CORE SIGNALS' label added above first row of metric cards</w:t>
      </w:r>
    </w:p>
    <w:p>
      <w:pPr>
        <w:spacing w:after="0" w:before="120"/>
      </w:pPr>
      <w:r>
        <w:t xml:space="preserve"/>
      </w:r>
    </w:p>
    <w:p>
      <w:pPr>
        <w:spacing w:after="80" w:before="240"/>
      </w:pPr>
      <w:r>
        <w:rPr>
          <w:rFonts w:ascii="Arial" w:cs="Arial" w:eastAsia="Arial" w:hAnsi="Arial"/>
          <w:b/>
          <w:bCs/>
          <w:color w:val="0F1B2D"/>
          <w:sz w:val="24"/>
          <w:szCs w:val="24"/>
        </w:rPr>
        <w:t xml:space="preserve">React Components Tab</w:t>
      </w:r>
    </w:p>
    <w:p>
      <w:pPr>
        <w:pStyle w:val="ListParagraph"/>
        <w:numPr>
          <w:ilvl w:val="0"/>
          <w:numId w:val="2"/>
        </w:numPr>
        <w:spacing w:after="40" w:before="40"/>
      </w:pPr>
      <w:r>
        <w:rPr>
          <w:rFonts w:ascii="Arial" w:cs="Arial" w:eastAsia="Arial" w:hAnsi="Arial"/>
          <w:color w:val="111827"/>
          <w:sz w:val="20"/>
          <w:szCs w:val="20"/>
        </w:rPr>
        <w:t xml:space="preserve">Tab renamed from 'Component Health' to 'React Components' — more specific and accurate</w:t>
      </w:r>
    </w:p>
    <w:p>
      <w:pPr>
        <w:pStyle w:val="ListParagraph"/>
        <w:numPr>
          <w:ilvl w:val="0"/>
          <w:numId w:val="2"/>
        </w:numPr>
        <w:spacing w:after="40" w:before="40"/>
      </w:pPr>
      <w:r>
        <w:rPr>
          <w:rFonts w:ascii="Arial" w:cs="Arial" w:eastAsia="Arial" w:hAnsi="Arial"/>
          <w:color w:val="111827"/>
          <w:sz w:val="20"/>
          <w:szCs w:val="20"/>
        </w:rPr>
        <w:t xml:space="preserve">'Lack of Cohesion' metric renamed to 'Low-Cohesion Components' — removes double-negative confusion, makes the count immediately interpretable</w:t>
      </w:r>
    </w:p>
    <w:p>
      <w:pPr>
        <w:pStyle w:val="ListParagraph"/>
        <w:numPr>
          <w:ilvl w:val="0"/>
          <w:numId w:val="2"/>
        </w:numPr>
        <w:spacing w:after="40" w:before="40"/>
      </w:pPr>
      <w:r>
        <w:rPr>
          <w:rFonts w:ascii="Arial" w:cs="Arial" w:eastAsia="Arial" w:hAnsi="Arial"/>
          <w:color w:val="111827"/>
          <w:sz w:val="20"/>
          <w:szCs w:val="20"/>
        </w:rPr>
        <w:t xml:space="preserve">Missing/Invalid Deps (value: 43) — currently in Additional Signals. Worth discussing with PO whether this belongs in Core Signals given the significance of the number</w:t>
      </w:r>
    </w:p>
    <w:p>
      <w:pPr>
        <w:pStyle w:val="ListParagraph"/>
        <w:numPr>
          <w:ilvl w:val="0"/>
          <w:numId w:val="2"/>
        </w:numPr>
        <w:spacing w:after="40" w:before="40"/>
      </w:pPr>
      <w:r>
        <w:rPr>
          <w:rFonts w:ascii="Arial" w:cs="Arial" w:eastAsia="Arial" w:hAnsi="Arial"/>
          <w:color w:val="111827"/>
          <w:sz w:val="20"/>
          <w:szCs w:val="20"/>
        </w:rPr>
        <w:t xml:space="preserve">'CORE SIGNALS' label added above first row</w:t>
      </w:r>
    </w:p>
    <w:p>
      <w:pPr>
        <w:spacing w:after="0" w:before="120"/>
      </w:pPr>
      <w:r>
        <w:t xml:space="preserve"/>
      </w:r>
    </w:p>
    <w:p>
      <w:pPr>
        <w:spacing w:after="80" w:before="240"/>
      </w:pPr>
      <w:r>
        <w:rPr>
          <w:rFonts w:ascii="Arial" w:cs="Arial" w:eastAsia="Arial" w:hAnsi="Arial"/>
          <w:b/>
          <w:bCs/>
          <w:color w:val="0F1B2D"/>
          <w:sz w:val="24"/>
          <w:szCs w:val="24"/>
        </w:rPr>
        <w:t xml:space="preserve">Code Complexity Tab</w:t>
      </w:r>
    </w:p>
    <w:p>
      <w:pPr>
        <w:pStyle w:val="ListParagraph"/>
        <w:numPr>
          <w:ilvl w:val="0"/>
          <w:numId w:val="2"/>
        </w:numPr>
        <w:spacing w:after="40" w:before="40"/>
      </w:pPr>
      <w:r>
        <w:rPr>
          <w:rFonts w:ascii="Arial" w:cs="Arial" w:eastAsia="Arial" w:hAnsi="Arial"/>
          <w:color w:val="111827"/>
          <w:sz w:val="20"/>
          <w:szCs w:val="20"/>
        </w:rPr>
        <w:t xml:space="preserve">'What These Metrics Measure' explanatory section is unique to this tab — plain English definitions of Halstead Volume, Cognitive Complexity, Maintainability Index, React Component Share with actual values. Keep this — it is the best educational section in the tool</w:t>
      </w:r>
    </w:p>
    <w:p>
      <w:pPr>
        <w:pStyle w:val="ListParagraph"/>
        <w:numPr>
          <w:ilvl w:val="0"/>
          <w:numId w:val="2"/>
        </w:numPr>
        <w:spacing w:after="40" w:before="40"/>
      </w:pPr>
      <w:r>
        <w:rPr>
          <w:rFonts w:ascii="Arial" w:cs="Arial" w:eastAsia="Arial" w:hAnsi="Arial"/>
          <w:color w:val="111827"/>
          <w:sz w:val="20"/>
          <w:szCs w:val="20"/>
        </w:rPr>
        <w:t xml:space="preserve">Top Complexity Outliers table: colored Halstead V and Cognitive columns make worst offenders immediately visible — keep this pattern</w:t>
      </w:r>
    </w:p>
    <w:p>
      <w:pPr>
        <w:pStyle w:val="ListParagraph"/>
        <w:numPr>
          <w:ilvl w:val="0"/>
          <w:numId w:val="2"/>
        </w:numPr>
        <w:spacing w:after="40" w:before="40"/>
      </w:pPr>
      <w:r>
        <w:rPr>
          <w:rFonts w:ascii="Arial" w:cs="Arial" w:eastAsia="Arial" w:hAnsi="Arial"/>
          <w:color w:val="111827"/>
          <w:sz w:val="20"/>
          <w:szCs w:val="20"/>
        </w:rPr>
        <w:t xml:space="preserve">React Component Share = 22.4% — informational metric, no badge needed per badge rule</w:t>
      </w:r>
    </w:p>
    <w:p>
      <w:pPr>
        <w:pStyle w:val="ListParagraph"/>
        <w:numPr>
          <w:ilvl w:val="0"/>
          <w:numId w:val="2"/>
        </w:numPr>
        <w:spacing w:after="40" w:before="40"/>
      </w:pPr>
      <w:r>
        <w:rPr>
          <w:rFonts w:ascii="Arial" w:cs="Arial" w:eastAsia="Arial" w:hAnsi="Arial"/>
          <w:color w:val="111827"/>
          <w:sz w:val="20"/>
          <w:szCs w:val="20"/>
        </w:rPr>
        <w:t xml:space="preserve">'Show 5 more functions →' link in the outliers table — confirm this is functional before handoff or replace with static count</w:t>
      </w:r>
    </w:p>
    <w:p>
      <w:pPr>
        <w:spacing w:after="0" w:before="120"/>
      </w:pPr>
      <w:r>
        <w:t xml:space="preserve"/>
      </w:r>
    </w:p>
    <w:p>
      <w:pPr>
        <w:spacing w:after="80" w:before="240"/>
      </w:pPr>
      <w:r>
        <w:rPr>
          <w:rFonts w:ascii="Arial" w:cs="Arial" w:eastAsia="Arial" w:hAnsi="Arial"/>
          <w:b/>
          <w:bCs/>
          <w:color w:val="0F1B2D"/>
          <w:sz w:val="24"/>
          <w:szCs w:val="24"/>
        </w:rPr>
        <w:t xml:space="preserve">Code Risks Tab</w:t>
      </w:r>
    </w:p>
    <w:p>
      <w:pPr>
        <w:pStyle w:val="ListParagraph"/>
        <w:numPr>
          <w:ilvl w:val="0"/>
          <w:numId w:val="2"/>
        </w:numPr>
        <w:spacing w:after="40" w:before="40"/>
      </w:pPr>
      <w:r>
        <w:rPr>
          <w:rFonts w:ascii="Arial" w:cs="Arial" w:eastAsia="Arial" w:hAnsi="Arial"/>
          <w:color w:val="111827"/>
          <w:sz w:val="20"/>
          <w:szCs w:val="20"/>
        </w:rPr>
        <w:t xml:space="preserve">Silent Failure Density = 0.000 (Strong) and Redundancy Score = 0.000 (Strong) are genuine wins — the green badges and positive language reinforce good behavior</w:t>
      </w:r>
    </w:p>
    <w:p>
      <w:pPr>
        <w:pStyle w:val="ListParagraph"/>
        <w:numPr>
          <w:ilvl w:val="0"/>
          <w:numId w:val="2"/>
        </w:numPr>
        <w:spacing w:after="40" w:before="40"/>
      </w:pPr>
      <w:r>
        <w:rPr>
          <w:rFonts w:ascii="Arial" w:cs="Arial" w:eastAsia="Arial" w:hAnsi="Arial"/>
          <w:color w:val="111827"/>
          <w:sz w:val="20"/>
          <w:szCs w:val="20"/>
        </w:rPr>
        <w:t xml:space="preserve">'KEEP GOING — Remove the 36 console.log statements before your next commit' is the most specific and actionable instruction in the whole tool. This pattern (specific number + specific action) should be the template for all How to Improve sections</w:t>
      </w:r>
    </w:p>
    <w:p>
      <w:pPr>
        <w:pStyle w:val="ListParagraph"/>
        <w:numPr>
          <w:ilvl w:val="0"/>
          <w:numId w:val="2"/>
        </w:numPr>
        <w:spacing w:after="40" w:before="40"/>
      </w:pPr>
      <w:r>
        <w:rPr>
          <w:rFonts w:ascii="Arial" w:cs="Arial" w:eastAsia="Arial" w:hAnsi="Arial"/>
          <w:color w:val="111827"/>
          <w:sz w:val="20"/>
          <w:szCs w:val="20"/>
        </w:rPr>
        <w:t xml:space="preserve">Suspicious Refactor Similarity = 0.000 (Strong) — the explanation referencing AI-generated copy-paste is intentional and important for the tool's AI Maturity positioning</w:t>
      </w:r>
    </w:p>
    <w:p>
      <w:pPr>
        <w:pStyle w:val="ListParagraph"/>
        <w:numPr>
          <w:ilvl w:val="0"/>
          <w:numId w:val="2"/>
        </w:numPr>
        <w:spacing w:after="40" w:before="40"/>
      </w:pPr>
      <w:r>
        <w:rPr>
          <w:rFonts w:ascii="Arial" w:cs="Arial" w:eastAsia="Arial" w:hAnsi="Arial"/>
          <w:color w:val="111827"/>
          <w:sz w:val="20"/>
          <w:szCs w:val="20"/>
        </w:rPr>
        <w:t xml:space="preserve">Console Log Count value referenced in the coach paragraph and action box — this is intentional cross-reference from Code Quality where the metric card lives. Not a duplication error.</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6. Language &amp; Tone Rules</w:t>
            </w:r>
          </w:p>
        </w:tc>
      </w:tr>
    </w:tbl>
    <w:p>
      <w:pPr>
        <w:spacing w:after="0" w:before="160"/>
      </w:pPr>
      <w:r>
        <w:t xml:space="preserve"/>
      </w:r>
    </w:p>
    <w:p>
      <w:pPr>
        <w:spacing w:after="80" w:before="0"/>
      </w:pPr>
      <w:r>
        <w:rPr>
          <w:rFonts w:ascii="Arial" w:cs="Arial" w:eastAsia="Arial" w:hAnsi="Arial"/>
          <w:color w:val="111827"/>
          <w:sz w:val="20"/>
          <w:szCs w:val="20"/>
        </w:rPr>
        <w:t xml:space="preserve">The tool speaks to students as a coach, not a judge. Every piece of copy — metric card explanations, coach paragraphs, How to Improve steps — must follow these rules consistently.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328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Do this</w:t>
            </w:r>
          </w:p>
        </w:tc>
        <w:tc>
          <w:tcPr>
            <w:tcW w:type="dxa" w:w="328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Not this</w:t>
            </w:r>
          </w:p>
        </w:tc>
      </w:tr>
      <w:tr>
        <w:tc>
          <w:tcPr>
            <w:tcW w:type="dxa" w:w="2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111827"/>
                <w:sz w:val="19"/>
                <w:szCs w:val="19"/>
              </w:rPr>
              <w:t xml:space="preserve">Lead with strength always</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6A34A"/>
                <w:sz w:val="19"/>
                <w:szCs w:val="19"/>
              </w:rPr>
              <w:t xml:space="preserve">Always show strengths before pointing to problems</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DC2626"/>
                <w:sz w:val="19"/>
                <w:szCs w:val="19"/>
              </w:rPr>
              <w:t xml:space="preserve">Never open a section or box with a weakness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111827"/>
                <w:sz w:val="19"/>
                <w:szCs w:val="19"/>
              </w:rPr>
              <w:t xml:space="preserve">Frame weakness as opportunity</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6A34A"/>
                <w:sz w:val="19"/>
                <w:szCs w:val="19"/>
              </w:rPr>
              <w:t xml:space="preserve">'Testing is your highest-impact improvement this quarter'</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DC2626"/>
                <w:sz w:val="19"/>
                <w:szCs w:val="19"/>
              </w:rPr>
              <w:t xml:space="preserve">'Your testing score is critically low'</w:t>
            </w:r>
          </w:p>
        </w:tc>
      </w:tr>
      <w:tr>
        <w:tc>
          <w:tcPr>
            <w:tcW w:type="dxa" w:w="2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111827"/>
                <w:sz w:val="19"/>
                <w:szCs w:val="19"/>
              </w:rPr>
              <w:t xml:space="preserve">Be specific with real data</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6A34A"/>
                <w:sz w:val="19"/>
                <w:szCs w:val="19"/>
              </w:rPr>
              <w:t xml:space="preserve">'65 commits, 5 per week, 0% large commit ratio'</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DC2626"/>
                <w:sz w:val="19"/>
                <w:szCs w:val="19"/>
              </w:rPr>
              <w:t xml:space="preserve">'You commit frequently and your commits are small'</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111827"/>
                <w:sz w:val="19"/>
                <w:szCs w:val="19"/>
              </w:rPr>
              <w:t xml:space="preserve">Use plain English always</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6A34A"/>
                <w:sz w:val="19"/>
                <w:szCs w:val="19"/>
              </w:rPr>
              <w:t xml:space="preserve">'Your functions are hard to follow mentally'</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DC2626"/>
                <w:sz w:val="19"/>
                <w:szCs w:val="19"/>
              </w:rPr>
              <w:t xml:space="preserve">'High cognitive complexity detected'</w:t>
            </w:r>
          </w:p>
        </w:tc>
      </w:tr>
      <w:tr>
        <w:tc>
          <w:tcPr>
            <w:tcW w:type="dxa" w:w="2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111827"/>
                <w:sz w:val="19"/>
                <w:szCs w:val="19"/>
              </w:rPr>
              <w:t xml:space="preserve">Give a floor and a ceiling</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6A34A"/>
                <w:sz w:val="19"/>
                <w:szCs w:val="19"/>
              </w:rPr>
              <w:t xml:space="preserve">One immediate action + 2–4 further steps for motivated students</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DC2626"/>
                <w:sz w:val="19"/>
                <w:szCs w:val="19"/>
              </w:rPr>
              <w:t xml:space="preserve">One action with no path forward for students who want to do more</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111827"/>
                <w:sz w:val="19"/>
                <w:szCs w:val="19"/>
              </w:rPr>
              <w:t xml:space="preserve">Never use negative language about student ability</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6A34A"/>
                <w:sz w:val="19"/>
                <w:szCs w:val="19"/>
              </w:rPr>
              <w:t xml:space="preserve">'This is where you can make the biggest impact'</w:t>
            </w:r>
          </w:p>
        </w:tc>
        <w:tc>
          <w:tcPr>
            <w:tcW w:type="dxa" w:w="3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DC2626"/>
                <w:sz w:val="19"/>
                <w:szCs w:val="19"/>
              </w:rPr>
              <w:t xml:space="preserve">'You are failing at testing' or 'this is bad'</w:t>
            </w:r>
          </w:p>
        </w:tc>
      </w:tr>
      <w:tr>
        <w:tc>
          <w:tcPr>
            <w:tcW w:type="dxa" w:w="2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111827"/>
                <w:sz w:val="19"/>
                <w:szCs w:val="19"/>
              </w:rPr>
              <w:t xml:space="preserve">Celebrate the delta, not just the score</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6A34A"/>
                <w:sz w:val="19"/>
                <w:szCs w:val="19"/>
              </w:rPr>
              <w:t xml:space="preserve">When a score goes up, acknowledge it explicitly in the coach section</w:t>
            </w:r>
          </w:p>
        </w:tc>
        <w:tc>
          <w:tcPr>
            <w:tcW w:type="dxa" w:w="328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DC2626"/>
                <w:sz w:val="19"/>
                <w:szCs w:val="19"/>
              </w:rPr>
              <w:t xml:space="preserve">Treating every analysis as if it's the first one regardless of progress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7. Design Tokens &amp; Visual System</w:t>
            </w:r>
          </w:p>
        </w:tc>
      </w:tr>
    </w:tbl>
    <w:p>
      <w:pPr>
        <w:spacing w:after="0" w:before="160"/>
      </w:pPr>
      <w:r>
        <w:t xml:space="preserve"/>
      </w:r>
    </w:p>
    <w:p>
      <w:pPr>
        <w:spacing w:after="80" w:before="0"/>
      </w:pPr>
      <w:r>
        <w:rPr>
          <w:rFonts w:ascii="Arial" w:cs="Arial" w:eastAsia="Arial" w:hAnsi="Arial"/>
          <w:color w:val="111827"/>
          <w:sz w:val="20"/>
          <w:szCs w:val="20"/>
        </w:rPr>
        <w:t xml:space="preserve">The tool uses a dark-mode-first design system built on shadcn/ui components and Tailwind CSS. The following tokens define the visual language across the entire Analysis Results page.</w:t>
      </w:r>
    </w:p>
    <w:p>
      <w:pPr>
        <w:spacing w:after="0" w:before="120"/>
      </w:pPr>
      <w:r>
        <w:t xml:space="preserve"/>
      </w:r>
    </w:p>
    <w:p>
      <w:pPr>
        <w:spacing w:after="80" w:before="240"/>
      </w:pPr>
      <w:r>
        <w:rPr>
          <w:rFonts w:ascii="Arial" w:cs="Arial" w:eastAsia="Arial" w:hAnsi="Arial"/>
          <w:b/>
          <w:bCs/>
          <w:color w:val="0F1B2D"/>
          <w:sz w:val="24"/>
          <w:szCs w:val="24"/>
        </w:rPr>
        <w:t xml:space="preserve">Status Color Tokens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F1B2D" w:sz="4"/>
              <w:left w:val="single" w:color="0F1B2D" w:sz="4"/>
              <w:bottom w:val="single" w:color="0F1B2D" w:sz="4"/>
              <w:right w:val="single" w:color="0F1B2D" w:sz="4"/>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800"/>
            <w:tcBorders>
              <w:top w:val="single" w:color="0F1B2D" w:sz="4"/>
              <w:left w:val="single" w:color="0F1B2D" w:sz="4"/>
              <w:bottom w:val="single" w:color="0F1B2D" w:sz="4"/>
              <w:right w:val="single" w:color="0F1B2D" w:sz="4"/>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Hex</w:t>
            </w:r>
          </w:p>
        </w:tc>
        <w:tc>
          <w:tcPr>
            <w:tcW w:type="dxa" w:w="5160"/>
            <w:tcBorders>
              <w:top w:val="single" w:color="0F1B2D" w:sz="4"/>
              <w:left w:val="single" w:color="0F1B2D" w:sz="4"/>
              <w:bottom w:val="single" w:color="0F1B2D" w:sz="4"/>
              <w:right w:val="single" w:color="0F1B2D" w:sz="4"/>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Usage</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Strong / success</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#22C55E</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Green badge, positive values, What's doing well box border</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Good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#3B82F6</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Blue badge</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Needs Work</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#EAB308</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Amber badge, caution values, opportunity box border</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Critical</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#EF4444</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Red badge, critical values, START HERE card border</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Accent / Indigo</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#6366F1</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Coach action box, CTA buttons, active tab underline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Purple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#7C3AED</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Coach action prompt box (Part C)</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Page background</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#0A0A0A</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Dark mode base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Card surface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#111111</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Metric cards, tab content area</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Card border</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#2A2A2A</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Card and tab borders, dividers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Text primary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#FFFFFF</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Headings, large metric values</w:t>
            </w:r>
          </w:p>
        </w:tc>
      </w:tr>
      <w:tr>
        <w:tc>
          <w:tcPr>
            <w:tcW w:type="dxa" w:w="24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bCs/>
                <w:color w:val="111827"/>
                <w:sz w:val="19"/>
                <w:szCs w:val="19"/>
              </w:rPr>
              <w:t xml:space="preserve">Text muted</w:t>
            </w:r>
          </w:p>
        </w:tc>
        <w:tc>
          <w:tcPr>
            <w:tcW w:type="dxa" w:w="180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#A3A3A3</w:t>
            </w:r>
          </w:p>
        </w:tc>
        <w:tc>
          <w:tcPr>
            <w:tcW w:type="dxa" w:w="5160"/>
            <w:tcBorders>
              <w:top w:val="single" w:color="D1D5DB" w:sz="4"/>
              <w:left w:val="single" w:color="D1D5DB" w:sz="4"/>
              <w:bottom w:val="single" w:color="D1D5DB" w:sz="4"/>
              <w:right w:val="single" w:color="D1D5DB" w:sz="4"/>
            </w:tcBorders>
            <w:shd w:fill="F8F9FA" w:val="clear"/>
            <w:tcMar>
              <w:top w:type="dxa" w:w="80"/>
              <w:left w:type="dxa" w:w="140"/>
              <w:bottom w:type="dxa" w:w="80"/>
              <w:right w:type="dxa" w:w="140"/>
            </w:tcMar>
          </w:tcPr>
          <w:p>
            <w:r>
              <w:rPr>
                <w:rFonts w:ascii="Arial" w:cs="Arial" w:eastAsia="Arial" w:hAnsi="Arial"/>
                <w:b w:val="false"/>
                <w:bCs w:val="false"/>
                <w:color w:val="111827"/>
                <w:sz w:val="19"/>
                <w:szCs w:val="19"/>
              </w:rPr>
              <w:t xml:space="preserve">Body text inside cards and coach paragraphs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bCs/>
                <w:color w:val="111827"/>
                <w:sz w:val="19"/>
                <w:szCs w:val="19"/>
              </w:rPr>
              <w:t xml:space="preserve">No Data badge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46E5"/>
                <w:sz w:val="19"/>
                <w:szCs w:val="19"/>
              </w:rPr>
              <w:t xml:space="preserve">#A1A1A1</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Neutral grey, no-data and informational-only states</w:t>
            </w:r>
          </w:p>
        </w:tc>
      </w:tr>
    </w:tbl>
    <w:p>
      <w:pPr>
        <w:spacing w:after="0" w:before="120"/>
      </w:pPr>
      <w:r>
        <w:t xml:space="preserve"/>
      </w:r>
    </w:p>
    <w:p>
      <w:pPr>
        <w:spacing w:after="80" w:before="240"/>
      </w:pPr>
      <w:r>
        <w:rPr>
          <w:rFonts w:ascii="Arial" w:cs="Arial" w:eastAsia="Arial" w:hAnsi="Arial"/>
          <w:b/>
          <w:bCs/>
          <w:color w:val="0F1B2D"/>
          <w:sz w:val="24"/>
          <w:szCs w:val="24"/>
        </w:rPr>
        <w:t xml:space="preserve">Typography</w:t>
      </w:r>
    </w:p>
    <w:p>
      <w:pPr>
        <w:pStyle w:val="ListParagraph"/>
        <w:numPr>
          <w:ilvl w:val="0"/>
          <w:numId w:val="2"/>
        </w:numPr>
        <w:spacing w:after="40" w:before="40"/>
      </w:pPr>
      <w:r>
        <w:rPr>
          <w:rFonts w:ascii="Arial" w:cs="Arial" w:eastAsia="Arial" w:hAnsi="Arial"/>
          <w:color w:val="111827"/>
          <w:sz w:val="20"/>
          <w:szCs w:val="20"/>
        </w:rPr>
        <w:t xml:space="preserve">Font family: Geist (Vercel) — Inter as fallback</w:t>
      </w:r>
    </w:p>
    <w:p>
      <w:pPr>
        <w:pStyle w:val="ListParagraph"/>
        <w:numPr>
          <w:ilvl w:val="0"/>
          <w:numId w:val="2"/>
        </w:numPr>
        <w:spacing w:after="40" w:before="40"/>
      </w:pPr>
      <w:r>
        <w:rPr>
          <w:rFonts w:ascii="Arial" w:cs="Arial" w:eastAsia="Arial" w:hAnsi="Arial"/>
          <w:color w:val="111827"/>
          <w:sz w:val="20"/>
          <w:szCs w:val="20"/>
        </w:rPr>
        <w:t xml:space="preserve">Large metric values: 28–32px bold, colored by status</w:t>
      </w:r>
    </w:p>
    <w:p>
      <w:pPr>
        <w:pStyle w:val="ListParagraph"/>
        <w:numPr>
          <w:ilvl w:val="0"/>
          <w:numId w:val="2"/>
        </w:numPr>
        <w:spacing w:after="40" w:before="40"/>
      </w:pPr>
      <w:r>
        <w:rPr>
          <w:rFonts w:ascii="Arial" w:cs="Arial" w:eastAsia="Arial" w:hAnsi="Arial"/>
          <w:color w:val="111827"/>
          <w:sz w:val="20"/>
          <w:szCs w:val="20"/>
        </w:rPr>
        <w:t xml:space="preserve">Card labels / metric name: 14px semibold, white</w:t>
      </w:r>
    </w:p>
    <w:p>
      <w:pPr>
        <w:pStyle w:val="ListParagraph"/>
        <w:numPr>
          <w:ilvl w:val="0"/>
          <w:numId w:val="2"/>
        </w:numPr>
        <w:spacing w:after="40" w:before="40"/>
      </w:pPr>
      <w:r>
        <w:rPr>
          <w:rFonts w:ascii="Arial" w:cs="Arial" w:eastAsia="Arial" w:hAnsi="Arial"/>
          <w:color w:val="111827"/>
          <w:sz w:val="20"/>
          <w:szCs w:val="20"/>
        </w:rPr>
        <w:t xml:space="preserve">Body / explanation text inside cards: 12–13px, muted (#A3A3A3)</w:t>
      </w:r>
    </w:p>
    <w:p>
      <w:pPr>
        <w:pStyle w:val="ListParagraph"/>
        <w:numPr>
          <w:ilvl w:val="0"/>
          <w:numId w:val="2"/>
        </w:numPr>
        <w:spacing w:after="40" w:before="40"/>
      </w:pPr>
      <w:r>
        <w:rPr>
          <w:rFonts w:ascii="Arial" w:cs="Arial" w:eastAsia="Arial" w:hAnsi="Arial"/>
          <w:color w:val="111827"/>
          <w:sz w:val="20"/>
          <w:szCs w:val="20"/>
        </w:rPr>
        <w:t xml:space="preserve">Section labels (CORE SIGNALS, ADDITIONAL SIGNALS): 11px bold, all-caps, muted</w:t>
      </w:r>
    </w:p>
    <w:p>
      <w:pPr>
        <w:pStyle w:val="ListParagraph"/>
        <w:numPr>
          <w:ilvl w:val="0"/>
          <w:numId w:val="2"/>
        </w:numPr>
        <w:spacing w:after="40" w:before="40"/>
      </w:pPr>
      <w:r>
        <w:rPr>
          <w:rFonts w:ascii="Arial" w:cs="Arial" w:eastAsia="Arial" w:hAnsi="Arial"/>
          <w:color w:val="111827"/>
          <w:sz w:val="20"/>
          <w:szCs w:val="20"/>
        </w:rPr>
        <w:t xml:space="preserve">Coach paragraph body text: 14–15px, muted, relaxed line-height</w:t>
      </w:r>
    </w:p>
    <w:p>
      <w:pPr>
        <w:pStyle w:val="ListParagraph"/>
        <w:numPr>
          <w:ilvl w:val="0"/>
          <w:numId w:val="2"/>
        </w:numPr>
        <w:spacing w:after="40" w:before="40"/>
      </w:pPr>
      <w:r>
        <w:rPr>
          <w:rFonts w:ascii="Arial" w:cs="Arial" w:eastAsia="Arial" w:hAnsi="Arial"/>
          <w:color w:val="111827"/>
          <w:sz w:val="20"/>
          <w:szCs w:val="20"/>
        </w:rPr>
        <w:t xml:space="preserve">Tab names: 14px, active = white + indigo underline, inactive = muted</w:t>
      </w:r>
    </w:p>
    <w:p>
      <w:pPr>
        <w:spacing w:after="0" w:before="120"/>
      </w:pPr>
      <w:r>
        <w:t xml:space="preserve"/>
      </w:r>
    </w:p>
    <w:p>
      <w:pPr>
        <w:spacing w:after="80" w:before="240"/>
      </w:pPr>
      <w:r>
        <w:rPr>
          <w:rFonts w:ascii="Arial" w:cs="Arial" w:eastAsia="Arial" w:hAnsi="Arial"/>
          <w:b/>
          <w:bCs/>
          <w:color w:val="0F1B2D"/>
          <w:sz w:val="24"/>
          <w:szCs w:val="24"/>
        </w:rPr>
        <w:t xml:space="preserve">Component Library</w:t>
      </w:r>
    </w:p>
    <w:p>
      <w:pPr>
        <w:spacing w:after="80" w:before="0"/>
      </w:pPr>
      <w:r>
        <w:rPr>
          <w:rFonts w:ascii="Arial" w:cs="Arial" w:eastAsia="Arial" w:hAnsi="Arial"/>
          <w:color w:val="111827"/>
          <w:sz w:val="20"/>
          <w:szCs w:val="20"/>
        </w:rPr>
        <w:t xml:space="preserve">Built on shadcn/ui. All cards, badges, tabs, tables, tooltips, and popovers should use shadcn/ui base components with custom token overrides. Do not build custom versions of existing shadcn components from scratch.</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B2D" w:sz="4"/>
              <w:left w:val="single" w:color="0F1B2D" w:sz="4"/>
              <w:bottom w:val="single" w:color="0F1B2D" w:sz="4"/>
              <w:right w:val="single" w:color="0F1B2D" w:sz="4"/>
            </w:tcBorders>
            <w:shd w:fill="0F1B2D" w:val="clear"/>
            <w:tcMar>
              <w:top w:type="dxa" w:w="160"/>
              <w:left w:type="dxa" w:w="280"/>
              <w:bottom w:type="dxa" w:w="160"/>
              <w:right w:type="dxa" w:w="280"/>
            </w:tcMar>
          </w:tcPr>
          <w:p>
            <w:r>
              <w:rPr>
                <w:rFonts w:ascii="Arial" w:cs="Arial" w:eastAsia="Arial" w:hAnsi="Arial"/>
                <w:b/>
                <w:bCs/>
                <w:color w:val="FFFFFF"/>
                <w:sz w:val="26"/>
                <w:szCs w:val="26"/>
              </w:rPr>
              <w:t xml:space="preserve">8. Open Items &amp; Decisions Pending</w:t>
            </w:r>
          </w:p>
        </w:tc>
      </w:tr>
    </w:tbl>
    <w:p>
      <w:pPr>
        <w:spacing w:after="0" w:before="160"/>
      </w:pPr>
      <w:r>
        <w:t xml:space="preserve"/>
      </w:r>
    </w:p>
    <w:p>
      <w:pPr>
        <w:spacing w:after="80" w:before="0"/>
      </w:pPr>
      <w:r>
        <w:rPr>
          <w:rFonts w:ascii="Arial" w:cs="Arial" w:eastAsia="Arial" w:hAnsi="Arial"/>
          <w:color w:val="111827"/>
          <w:sz w:val="20"/>
          <w:szCs w:val="20"/>
        </w:rPr>
        <w:t xml:space="preserve">Items flagged during the design review that require input from engineering or the product owner before final implementation.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60"/>
        <w:gridCol w:w="3600"/>
      </w:tblGrid>
      <w:tr>
        <w:trPr>
          <w:tblHeader/>
        </w:trPr>
        <w:tc>
          <w:tcPr>
            <w:tcW w:type="dxa" w:w="380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196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Owner</w:t>
            </w:r>
          </w:p>
        </w:tc>
        <w:tc>
          <w:tcPr>
            <w:tcW w:type="dxa" w:w="3600"/>
            <w:tcBorders>
              <w:top w:val="single" w:color="0F1B2D" w:sz="4"/>
              <w:left w:val="single" w:color="0F1B2D" w:sz="4"/>
              <w:bottom w:val="single" w:color="0F1B2D" w:sz="4"/>
              <w:right w:val="single" w:color="0F1B2D" w:sz="4"/>
            </w:tcBorders>
            <w:shd w:fill="0F1B2D" w:val="clear"/>
            <w:tcMar>
              <w:top w:type="dxa" w:w="100"/>
              <w:left w:type="dxa" w:w="140"/>
              <w:bottom w:type="dxa" w:w="100"/>
              <w:right w:type="dxa" w:w="140"/>
            </w:tcMar>
          </w:tcPr>
          <w:p>
            <w:r>
              <w:rPr>
                <w:rFonts w:ascii="Arial" w:cs="Arial" w:eastAsia="Arial" w:hAnsi="Arial"/>
                <w:b/>
                <w:bCs/>
                <w:color w:val="FFFFFF"/>
                <w:sz w:val="19"/>
                <w:szCs w:val="19"/>
              </w:rPr>
              <w:t xml:space="preserve">Status / Notes</w:t>
            </w:r>
          </w:p>
        </w:tc>
      </w:tr>
      <w:tr>
        <w:tc>
          <w:tcPr>
            <w:tcW w:type="dxa" w:w="3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11827"/>
                <w:sz w:val="19"/>
                <w:szCs w:val="19"/>
              </w:rPr>
              <w:t xml:space="preserve">Commit Entropy showing value 0 alongside No Data badge — contradictory</w:t>
            </w:r>
          </w:p>
        </w:tc>
        <w:tc>
          <w:tcPr>
            <w:tcW w:type="dxa" w:w="196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4F46E5"/>
                <w:sz w:val="19"/>
                <w:szCs w:val="19"/>
              </w:rPr>
              <w:t xml:space="preserve">Engineering + PO</w:t>
            </w:r>
          </w:p>
        </w:tc>
        <w:tc>
          <w:tcPr>
            <w:tcW w:type="dxa" w:w="36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6B7280"/>
                <w:sz w:val="19"/>
                <w:szCs w:val="19"/>
              </w:rPr>
              <w:t xml:space="preserve">Should the value be hidden entirely when data is genuinely absent? Decision pending.</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11827"/>
                <w:sz w:val="19"/>
                <w:szCs w:val="19"/>
              </w:rPr>
              <w:t xml:space="preserve">Risk Index tooltip copy — tooltip text for ⓘ icon needs to be written</w:t>
            </w:r>
          </w:p>
        </w:tc>
        <w:tc>
          <w:tcPr>
            <w:tcW w:type="dxa" w:w="1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4F46E5"/>
                <w:sz w:val="19"/>
                <w:szCs w:val="19"/>
              </w:rPr>
              <w:t xml:space="preserve">Design</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6B7280"/>
                <w:sz w:val="19"/>
                <w:szCs w:val="19"/>
              </w:rPr>
              <w:t xml:space="preserve">Tooltip must explain: higher value = worse, 1.00 = maximum risk / maximum verification</w:t>
            </w:r>
          </w:p>
        </w:tc>
      </w:tr>
      <w:tr>
        <w:tc>
          <w:tcPr>
            <w:tcW w:type="dxa" w:w="3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11827"/>
                <w:sz w:val="19"/>
                <w:szCs w:val="19"/>
              </w:rPr>
              <w:t xml:space="preserve">'Jump to safety-net metrics' link in Testing tab</w:t>
            </w:r>
          </w:p>
        </w:tc>
        <w:tc>
          <w:tcPr>
            <w:tcW w:type="dxa" w:w="196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4F46E5"/>
                <w:sz w:val="19"/>
                <w:szCs w:val="19"/>
              </w:rPr>
              <w:t xml:space="preserve">PO</w:t>
            </w:r>
          </w:p>
        </w:tc>
        <w:tc>
          <w:tcPr>
            <w:tcW w:type="dxa" w:w="36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6B7280"/>
                <w:sz w:val="19"/>
                <w:szCs w:val="19"/>
              </w:rPr>
              <w:t xml:space="preserve">Remove if non-functional, or mark as Coming Soon</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11827"/>
                <w:sz w:val="19"/>
                <w:szCs w:val="19"/>
              </w:rPr>
              <w:t xml:space="preserve">Badge audit — count-only metrics across all 6 live tabs may still show badges they should not</w:t>
            </w:r>
          </w:p>
        </w:tc>
        <w:tc>
          <w:tcPr>
            <w:tcW w:type="dxa" w:w="1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4F46E5"/>
                <w:sz w:val="19"/>
                <w:szCs w:val="19"/>
              </w:rPr>
              <w:t xml:space="preserve">Engineering</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6B7280"/>
                <w:sz w:val="19"/>
                <w:szCs w:val="19"/>
              </w:rPr>
              <w:t xml:space="preserve">Apply no-badge-for-counts rule: Total Functions, TSX Files Analyzed, Test Files, Component count and similar</w:t>
            </w:r>
          </w:p>
        </w:tc>
      </w:tr>
      <w:tr>
        <w:tc>
          <w:tcPr>
            <w:tcW w:type="dxa" w:w="3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11827"/>
                <w:sz w:val="19"/>
                <w:szCs w:val="19"/>
              </w:rPr>
              <w:t xml:space="preserve">Coach Summary — rule-based copy template system</w:t>
            </w:r>
          </w:p>
        </w:tc>
        <w:tc>
          <w:tcPr>
            <w:tcW w:type="dxa" w:w="196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4F46E5"/>
                <w:sz w:val="19"/>
                <w:szCs w:val="19"/>
              </w:rPr>
              <w:t xml:space="preserve">Engineering</w:t>
            </w:r>
          </w:p>
        </w:tc>
        <w:tc>
          <w:tcPr>
            <w:tcW w:type="dxa" w:w="36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6B7280"/>
                <w:sz w:val="19"/>
                <w:szCs w:val="19"/>
              </w:rPr>
              <w:t xml:space="preserve">Each score threshold maps to a coaching sentence template. Templates to be authored collaboratively.</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111827"/>
                <w:sz w:val="19"/>
                <w:szCs w:val="19"/>
              </w:rPr>
              <w:t xml:space="preserve">Missing/Invalid Deps (43) placement in React Components tab</w:t>
            </w:r>
          </w:p>
        </w:tc>
        <w:tc>
          <w:tcPr>
            <w:tcW w:type="dxa" w:w="1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bCs/>
                <w:color w:val="4F46E5"/>
                <w:sz w:val="19"/>
                <w:szCs w:val="19"/>
              </w:rPr>
              <w:t xml:space="preserve">PO</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b w:val="false"/>
                <w:bCs w:val="false"/>
                <w:color w:val="6B7280"/>
                <w:sz w:val="19"/>
                <w:szCs w:val="19"/>
              </w:rPr>
              <w:t xml:space="preserve">Currently Additional Signals. Consider promoting to Core Signals given the significance of 43 instances.</w:t>
            </w:r>
          </w:p>
        </w:tc>
      </w:tr>
      <w:tr>
        <w:tc>
          <w:tcPr>
            <w:tcW w:type="dxa" w:w="38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111827"/>
                <w:sz w:val="19"/>
                <w:szCs w:val="19"/>
              </w:rPr>
              <w:t xml:space="preserve">'Show 5 more functions' link in Code Complexity outliers table</w:t>
            </w:r>
          </w:p>
        </w:tc>
        <w:tc>
          <w:tcPr>
            <w:tcW w:type="dxa" w:w="196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bCs/>
                <w:color w:val="4F46E5"/>
                <w:sz w:val="19"/>
                <w:szCs w:val="19"/>
              </w:rPr>
              <w:t xml:space="preserve">Engineering</w:t>
            </w:r>
          </w:p>
        </w:tc>
        <w:tc>
          <w:tcPr>
            <w:tcW w:type="dxa" w:w="3600"/>
            <w:tcBorders>
              <w:top w:val="single" w:color="D1D5DB" w:sz="4"/>
              <w:left w:val="single" w:color="D1D5DB" w:sz="4"/>
              <w:bottom w:val="single" w:color="D1D5DB" w:sz="4"/>
              <w:right w:val="single" w:color="D1D5DB" w:sz="4"/>
            </w:tcBorders>
            <w:shd w:fill="F8F9FA" w:val="clear"/>
            <w:tcMar>
              <w:top w:type="dxa" w:w="100"/>
              <w:left w:type="dxa" w:w="140"/>
              <w:bottom w:type="dxa" w:w="100"/>
              <w:right w:type="dxa" w:w="140"/>
            </w:tcMar>
          </w:tcPr>
          <w:p>
            <w:r>
              <w:rPr>
                <w:rFonts w:ascii="Arial" w:cs="Arial" w:eastAsia="Arial" w:hAnsi="Arial"/>
                <w:b w:val="false"/>
                <w:bCs w:val="false"/>
                <w:color w:val="6B7280"/>
                <w:sz w:val="19"/>
                <w:szCs w:val="19"/>
              </w:rPr>
              <w:t xml:space="preserve">Confirm interactive expansion is built, or replace with static count label</w:t>
            </w:r>
          </w:p>
        </w:tc>
      </w:tr>
    </w:tbl>
    <w:p>
      <w:pPr>
        <w:spacing w:after="0" w:before="200"/>
      </w:pPr>
      <w:r>
        <w:t xml:space="preserve"/>
      </w:r>
    </w:p>
    <w:p>
      <w:pPr>
        <w:pBdr>
          <w:bottom w:val="single" w:color="D1D5DB" w:sz="6"/>
        </w:pBdr>
        <w:spacing w:after="0" w:before="200"/>
      </w:pPr>
      <w:r>
        <w:t xml:space="preserve"/>
      </w:r>
    </w:p>
    <w:p>
      <w:pPr>
        <w:spacing w:after="0" w:before="80"/>
      </w:pPr>
      <w:r>
        <w:t xml:space="preserve"/>
      </w:r>
    </w:p>
    <w:p>
      <w:pPr>
        <w:jc w:val="center"/>
      </w:pPr>
      <w:r>
        <w:rPr>
          <w:rFonts w:ascii="Arial" w:cs="Arial" w:eastAsia="Arial" w:hAnsi="Arial"/>
          <w:color w:val="6B7280"/>
          <w:sz w:val="17"/>
          <w:szCs w:val="17"/>
        </w:rPr>
        <w:t xml:space="preserve">UCSC Developer Analytics Tool  |  Design &amp; Developer Notes  |  v1.0  |  May 2026</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spacing w:after="120" w:before="0"/>
    </w:pPr>
    <w:r>
      <w:rPr>
        <w:rFonts w:ascii="Arial" w:cs="Arial" w:eastAsia="Arial" w:hAnsi="Arial"/>
        <w:color w:val="6B7280"/>
        <w:sz w:val="17"/>
        <w:szCs w:val="17"/>
      </w:rPr>
      <w:t xml:space="preserve">UCSC Developer Analytics Tool  —  Design &amp; Dev Notes</w:t>
    </w:r>
    <w:r>
      <w:rPr>
        <w:sz w:val="17"/>
        <w:szCs w:val="17"/>
      </w:rPr>
      <w:t xml:space="preserve">	</w:t>
    </w:r>
    <w:r>
      <w:rPr>
        <w:rFonts w:ascii="Arial" w:cs="Arial" w:eastAsia="Arial" w:hAnsi="Arial"/>
        <w:color w:val="6B7280"/>
        <w:sz w:val="17"/>
        <w:szCs w:val="17"/>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1B2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2026-05-06T01:27:45.292Z</dcterms:created>
  <dcterms:modified xsi:type="dcterms:W3CDTF">2026-05-06T01:27:45.306Z</dcterms:modified>
</cp:coreProperties>
</file>

<file path=docProps/custom.xml><?xml version="1.0" encoding="utf-8"?>
<Properties xmlns="http://schemas.openxmlformats.org/officeDocument/2006/custom-properties" xmlns:vt="http://schemas.openxmlformats.org/officeDocument/2006/docPropsVTypes"/>
</file>