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25CCE" w14:textId="77777777" w:rsidR="00E55018" w:rsidRPr="000267B9" w:rsidRDefault="002273C7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267B9">
        <w:rPr>
          <w:rFonts w:ascii="Times New Roman" w:eastAsia="Times New Roman" w:hAnsi="Times New Roman" w:cs="Times New Roman"/>
          <w:b/>
          <w:sz w:val="28"/>
          <w:szCs w:val="28"/>
        </w:rPr>
        <w:t>UNIVERSIDAD NACIONAL DE INGENIERÍA</w:t>
      </w:r>
    </w:p>
    <w:p w14:paraId="71AF1157" w14:textId="77777777" w:rsidR="00E55018" w:rsidRPr="000267B9" w:rsidRDefault="002273C7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267B9">
        <w:rPr>
          <w:rFonts w:ascii="Times New Roman" w:eastAsia="Times New Roman" w:hAnsi="Times New Roman" w:cs="Times New Roman"/>
          <w:b/>
          <w:sz w:val="28"/>
          <w:szCs w:val="28"/>
        </w:rPr>
        <w:t>FACULTAD DE INGENIERÍA INDUSTRIAL Y DE SISTEMAS</w:t>
      </w:r>
      <w:r w:rsidRPr="000267B9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58240" behindDoc="0" locked="0" layoutInCell="1" hidden="0" allowOverlap="1" wp14:anchorId="24279995" wp14:editId="1E3BA7D9">
            <wp:simplePos x="0" y="0"/>
            <wp:positionH relativeFrom="column">
              <wp:posOffset>1594013</wp:posOffset>
            </wp:positionH>
            <wp:positionV relativeFrom="paragraph">
              <wp:posOffset>441154</wp:posOffset>
            </wp:positionV>
            <wp:extent cx="2544674" cy="3195638"/>
            <wp:effectExtent l="0" t="0" r="0" b="0"/>
            <wp:wrapSquare wrapText="bothSides" distT="114300" distB="114300" distL="114300" distR="114300"/>
            <wp:docPr id="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4674" cy="3195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3933E2" w14:textId="77777777" w:rsidR="00E55018" w:rsidRPr="000267B9" w:rsidRDefault="00E55018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8859EB" w14:textId="77777777" w:rsidR="00E55018" w:rsidRPr="000267B9" w:rsidRDefault="00E55018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EE46AA" w14:textId="77777777" w:rsidR="00E55018" w:rsidRPr="000267B9" w:rsidRDefault="00E55018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19CDBC" w14:textId="77777777" w:rsidR="00E55018" w:rsidRPr="000267B9" w:rsidRDefault="00E55018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EF692C5" w14:textId="77777777" w:rsidR="00E55018" w:rsidRPr="000267B9" w:rsidRDefault="00E55018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695180" w14:textId="77777777" w:rsidR="00E55018" w:rsidRPr="000267B9" w:rsidRDefault="00E55018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6895B6" w14:textId="77777777" w:rsidR="00E55018" w:rsidRPr="000267B9" w:rsidRDefault="00E55018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44247C" w14:textId="77777777" w:rsidR="00E55018" w:rsidRPr="000267B9" w:rsidRDefault="00E55018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3879D2" w14:textId="77777777" w:rsidR="00E55018" w:rsidRPr="000267B9" w:rsidRDefault="00E55018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A63FC9" w14:textId="77777777" w:rsidR="00E55018" w:rsidRPr="000267B9" w:rsidRDefault="00E55018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E9DB55" w14:textId="77777777" w:rsidR="00E55018" w:rsidRPr="000267B9" w:rsidRDefault="00E55018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90397F" w14:textId="77777777" w:rsidR="00E55018" w:rsidRPr="000267B9" w:rsidRDefault="00E55018" w:rsidP="000267B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FAB361" w14:textId="77777777" w:rsidR="00E55018" w:rsidRPr="000267B9" w:rsidRDefault="002273C7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267B9">
        <w:rPr>
          <w:rFonts w:ascii="Times New Roman" w:eastAsia="Times New Roman" w:hAnsi="Times New Roman" w:cs="Times New Roman"/>
          <w:b/>
          <w:sz w:val="28"/>
          <w:szCs w:val="28"/>
        </w:rPr>
        <w:t>SISTEMA DE INTELIGENCIA DE NEGOCIOS - PRÁCTICA 2</w:t>
      </w:r>
    </w:p>
    <w:p w14:paraId="71C035A0" w14:textId="77777777" w:rsidR="00E55018" w:rsidRPr="000267B9" w:rsidRDefault="002273C7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267B9">
        <w:rPr>
          <w:rFonts w:ascii="Times New Roman" w:eastAsia="Times New Roman" w:hAnsi="Times New Roman" w:cs="Times New Roman"/>
          <w:b/>
          <w:sz w:val="28"/>
          <w:szCs w:val="28"/>
        </w:rPr>
        <w:t>LUZ DEL SUR</w:t>
      </w:r>
    </w:p>
    <w:p w14:paraId="75D62D76" w14:textId="77777777" w:rsidR="00E55018" w:rsidRPr="000267B9" w:rsidRDefault="00E55018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9B0F43" w14:textId="77777777" w:rsidR="00E55018" w:rsidRPr="000267B9" w:rsidRDefault="00E55018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A55FDF" w14:textId="77777777" w:rsidR="00E55018" w:rsidRPr="000267B9" w:rsidRDefault="00E55018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5BC261" w14:textId="77777777" w:rsidR="00E55018" w:rsidRPr="000267B9" w:rsidRDefault="00E55018" w:rsidP="000267B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53CF14F" w14:textId="77777777" w:rsidR="00E55018" w:rsidRPr="000267B9" w:rsidRDefault="002273C7" w:rsidP="000267B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267B9">
        <w:rPr>
          <w:rFonts w:ascii="Times New Roman" w:eastAsia="Times New Roman" w:hAnsi="Times New Roman" w:cs="Times New Roman"/>
          <w:b/>
          <w:sz w:val="28"/>
          <w:szCs w:val="28"/>
        </w:rPr>
        <w:t>INTEGRANTES:</w:t>
      </w:r>
    </w:p>
    <w:p w14:paraId="2E023705" w14:textId="77777777" w:rsidR="00E55018" w:rsidRPr="000267B9" w:rsidRDefault="002273C7" w:rsidP="000267B9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</w:rPr>
      </w:pPr>
      <w:r w:rsidRPr="000267B9">
        <w:rPr>
          <w:rFonts w:ascii="Times New Roman" w:eastAsia="Times New Roman" w:hAnsi="Times New Roman" w:cs="Times New Roman"/>
        </w:rPr>
        <w:t>ENCISO QUICHCA, FREY MAURICIO</w:t>
      </w:r>
    </w:p>
    <w:p w14:paraId="2605940F" w14:textId="77777777" w:rsidR="00E55018" w:rsidRPr="000267B9" w:rsidRDefault="002273C7" w:rsidP="000267B9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</w:rPr>
      </w:pPr>
      <w:r w:rsidRPr="000267B9">
        <w:rPr>
          <w:rFonts w:ascii="Times New Roman" w:eastAsia="Times New Roman" w:hAnsi="Times New Roman" w:cs="Times New Roman"/>
        </w:rPr>
        <w:t>GORDILLO INOCENTE, MIKHAEL LEÓN</w:t>
      </w:r>
    </w:p>
    <w:p w14:paraId="3F0DC3BD" w14:textId="77777777" w:rsidR="00E55018" w:rsidRPr="000267B9" w:rsidRDefault="002273C7" w:rsidP="000267B9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</w:rPr>
      </w:pPr>
      <w:r w:rsidRPr="000267B9">
        <w:rPr>
          <w:rFonts w:ascii="Times New Roman" w:eastAsia="Times New Roman" w:hAnsi="Times New Roman" w:cs="Times New Roman"/>
        </w:rPr>
        <w:t>HERNANDEZ HERNADEZ, JAHIR ALEJANDRO</w:t>
      </w:r>
    </w:p>
    <w:p w14:paraId="0E1AFDA8" w14:textId="77777777" w:rsidR="00E55018" w:rsidRPr="000267B9" w:rsidRDefault="00E55018" w:rsidP="000267B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81E143" w14:textId="77777777" w:rsidR="00E55018" w:rsidRPr="000267B9" w:rsidRDefault="00E55018" w:rsidP="000267B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AB88E7" w14:textId="77777777" w:rsidR="00E55018" w:rsidRPr="000267B9" w:rsidRDefault="00E55018" w:rsidP="000267B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AFDD49" w14:textId="77777777" w:rsidR="00E55018" w:rsidRPr="000267B9" w:rsidRDefault="00E55018" w:rsidP="000267B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C90B6B" w14:textId="77777777" w:rsidR="00E55018" w:rsidRPr="000267B9" w:rsidRDefault="00E55018" w:rsidP="000267B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C7CFCE" w14:textId="77777777" w:rsidR="00E55018" w:rsidRPr="000267B9" w:rsidRDefault="002273C7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267B9">
        <w:rPr>
          <w:rFonts w:ascii="Times New Roman" w:eastAsia="Times New Roman" w:hAnsi="Times New Roman" w:cs="Times New Roman"/>
          <w:b/>
          <w:sz w:val="24"/>
          <w:szCs w:val="24"/>
        </w:rPr>
        <w:t>Lima, 29 de Setiembre del 2025</w:t>
      </w:r>
    </w:p>
    <w:p w14:paraId="507BD3B2" w14:textId="77777777" w:rsidR="00E55018" w:rsidRPr="000267B9" w:rsidRDefault="002273C7" w:rsidP="000267B9">
      <w:pPr>
        <w:pStyle w:val="Ttulo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bookmarkStart w:id="0" w:name="_8dvf8yg8z544" w:colFirst="0" w:colLast="0"/>
      <w:bookmarkEnd w:id="0"/>
      <w:r w:rsidRPr="000267B9">
        <w:rPr>
          <w:rFonts w:ascii="Times New Roman" w:hAnsi="Times New Roman" w:cs="Times New Roman"/>
          <w:b/>
          <w:sz w:val="24"/>
          <w:szCs w:val="24"/>
        </w:rPr>
        <w:lastRenderedPageBreak/>
        <w:t>Desarrollo</w:t>
      </w:r>
    </w:p>
    <w:p w14:paraId="397546E8" w14:textId="77777777" w:rsidR="00E55018" w:rsidRPr="000267B9" w:rsidRDefault="002273C7" w:rsidP="000267B9">
      <w:pPr>
        <w:pStyle w:val="Ttulo2"/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bookmarkStart w:id="1" w:name="_iaq9ldedzdwh" w:colFirst="0" w:colLast="0"/>
      <w:bookmarkEnd w:id="1"/>
      <w:r w:rsidRPr="000267B9">
        <w:rPr>
          <w:rFonts w:ascii="Times New Roman" w:hAnsi="Times New Roman" w:cs="Times New Roman"/>
          <w:sz w:val="24"/>
          <w:szCs w:val="24"/>
        </w:rPr>
        <w:t>1.1. Preguntas del Negocio</w:t>
      </w:r>
    </w:p>
    <w:p w14:paraId="632DF3B1" w14:textId="77777777" w:rsidR="00E55018" w:rsidRPr="000267B9" w:rsidRDefault="002273C7" w:rsidP="000267B9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267B9">
        <w:rPr>
          <w:rFonts w:ascii="Times New Roman" w:hAnsi="Times New Roman" w:cs="Times New Roman"/>
          <w:sz w:val="24"/>
          <w:szCs w:val="24"/>
        </w:rPr>
        <w:t xml:space="preserve">En el marco del análisis del </w:t>
      </w:r>
      <w:r w:rsidRPr="000267B9">
        <w:rPr>
          <w:rFonts w:ascii="Times New Roman" w:hAnsi="Times New Roman" w:cs="Times New Roman"/>
          <w:b/>
          <w:sz w:val="24"/>
          <w:szCs w:val="24"/>
        </w:rPr>
        <w:t>Área Comercial de Luz del Sur</w:t>
      </w:r>
      <w:r w:rsidRPr="000267B9">
        <w:rPr>
          <w:rFonts w:ascii="Times New Roman" w:hAnsi="Times New Roman" w:cs="Times New Roman"/>
          <w:sz w:val="24"/>
          <w:szCs w:val="24"/>
        </w:rPr>
        <w:t>, se identificaron los principales roles internos que intervienen en la gestión de clientes, facturación, medición, cobranzas, regulación y experiencia de servicio. Con base en estos roles, se formularon preguntas de negocio que reflejan las necesidades estratégicas y operativas de la organización. Dichas preguntas se enfocan en aspectos críticos como la detección de anomalías en la facturación y el consumo, la gestión de reclamos y compensaciones regulatorias, la optimización de contratos de clientes libres, el impacto de los cargos adicionales en la morosidad y la mejora en los tiempos de respuesta frente a interrupciones.</w:t>
      </w:r>
    </w:p>
    <w:p w14:paraId="74EABD17" w14:textId="77777777" w:rsidR="00E55018" w:rsidRPr="000267B9" w:rsidRDefault="002273C7" w:rsidP="000267B9">
      <w:pPr>
        <w:spacing w:before="240" w:after="24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267B9">
        <w:rPr>
          <w:rFonts w:ascii="Times New Roman" w:hAnsi="Times New Roman" w:cs="Times New Roman"/>
          <w:sz w:val="24"/>
          <w:szCs w:val="24"/>
        </w:rPr>
        <w:t xml:space="preserve">Para responder a estas interrogantes se consideran como fuentes los principales sistemas de la empresa: </w:t>
      </w:r>
      <w:r w:rsidRPr="000267B9">
        <w:rPr>
          <w:rFonts w:ascii="Times New Roman" w:hAnsi="Times New Roman" w:cs="Times New Roman"/>
          <w:b/>
          <w:sz w:val="24"/>
          <w:szCs w:val="24"/>
        </w:rPr>
        <w:t xml:space="preserve">Sistema de Facturación, HES/MDM (Head </w:t>
      </w:r>
      <w:proofErr w:type="spellStart"/>
      <w:r w:rsidRPr="000267B9">
        <w:rPr>
          <w:rFonts w:ascii="Times New Roman" w:hAnsi="Times New Roman" w:cs="Times New Roman"/>
          <w:b/>
          <w:sz w:val="24"/>
          <w:szCs w:val="24"/>
        </w:rPr>
        <w:t>End</w:t>
      </w:r>
      <w:proofErr w:type="spellEnd"/>
      <w:r w:rsidRPr="000267B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267B9">
        <w:rPr>
          <w:rFonts w:ascii="Times New Roman" w:hAnsi="Times New Roman" w:cs="Times New Roman"/>
          <w:b/>
          <w:sz w:val="24"/>
          <w:szCs w:val="24"/>
        </w:rPr>
        <w:t>System</w:t>
      </w:r>
      <w:proofErr w:type="spellEnd"/>
      <w:r w:rsidRPr="000267B9">
        <w:rPr>
          <w:rFonts w:ascii="Times New Roman" w:hAnsi="Times New Roman" w:cs="Times New Roman"/>
          <w:b/>
          <w:sz w:val="24"/>
          <w:szCs w:val="24"/>
        </w:rPr>
        <w:t>/Meter Data Management), Sistema de Cobranzas, Gestión de Reclamos y Correcciones, OMS–Interrupciones, Catálogo de Tarifas y Conceptos Regulatorios, y Maestro de Clientes y Suministros</w:t>
      </w:r>
      <w:r w:rsidRPr="000267B9">
        <w:rPr>
          <w:rFonts w:ascii="Times New Roman" w:hAnsi="Times New Roman" w:cs="Times New Roman"/>
          <w:sz w:val="24"/>
          <w:szCs w:val="24"/>
        </w:rPr>
        <w:t>. Estos sistemas permiten consolidar información crítica que, al ser analizada, servirá como base para derivar indicadores clave de desempeño (KPI).</w:t>
      </w:r>
    </w:p>
    <w:p w14:paraId="6C651BDB" w14:textId="77777777" w:rsidR="00E55018" w:rsidRPr="000267B9" w:rsidRDefault="00E55018" w:rsidP="000267B9">
      <w:pPr>
        <w:spacing w:line="360" w:lineRule="auto"/>
        <w:rPr>
          <w:rFonts w:ascii="Times New Roman" w:hAnsi="Times New Roman" w:cs="Times New Roman"/>
        </w:rPr>
      </w:pPr>
    </w:p>
    <w:p w14:paraId="7DEA8E2D" w14:textId="77777777" w:rsidR="00E55018" w:rsidRPr="000267B9" w:rsidRDefault="002273C7" w:rsidP="000267B9">
      <w:p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ab/>
      </w:r>
    </w:p>
    <w:tbl>
      <w:tblPr>
        <w:tblStyle w:val="a"/>
        <w:tblW w:w="94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3045"/>
        <w:gridCol w:w="1305"/>
        <w:gridCol w:w="3210"/>
      </w:tblGrid>
      <w:tr w:rsidR="00E55018" w:rsidRPr="000267B9" w14:paraId="6C085461" w14:textId="77777777">
        <w:trPr>
          <w:trHeight w:val="77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4AA9" w14:textId="77777777" w:rsidR="00E55018" w:rsidRPr="000267B9" w:rsidRDefault="002273C7" w:rsidP="000267B9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 xml:space="preserve">Rol del Usuario </w:t>
            </w:r>
          </w:p>
        </w:tc>
        <w:tc>
          <w:tcPr>
            <w:tcW w:w="3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6080A" w14:textId="77777777" w:rsidR="00E55018" w:rsidRPr="000267B9" w:rsidRDefault="002273C7" w:rsidP="000267B9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Pregunta de Negocio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F4EE1" w14:textId="77777777" w:rsidR="00E55018" w:rsidRPr="000267B9" w:rsidRDefault="002273C7" w:rsidP="000267B9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Nivel de Prioridad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2197B" w14:textId="77777777" w:rsidR="00E55018" w:rsidRPr="000267B9" w:rsidRDefault="002273C7" w:rsidP="000267B9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Fuente de Datos Actual</w:t>
            </w:r>
          </w:p>
        </w:tc>
      </w:tr>
      <w:tr w:rsidR="00E55018" w:rsidRPr="000267B9" w14:paraId="1C210F7A" w14:textId="77777777">
        <w:trPr>
          <w:trHeight w:val="212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9FF22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Gerente Comercial</w:t>
            </w:r>
          </w:p>
        </w:tc>
        <w:tc>
          <w:tcPr>
            <w:tcW w:w="3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D726D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¿Qué segmentos/tarifas priorizar por impacto en ingresos y satisfacción del cliente en el próximo trimestre?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B867B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2F015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Sistema de Facturación; Catálogo de Tarifas y Conceptos Regulatorios; Maestro de Clientes y Suministros</w:t>
            </w:r>
          </w:p>
        </w:tc>
      </w:tr>
      <w:tr w:rsidR="00E55018" w:rsidRPr="000267B9" w14:paraId="3FEF6E0C" w14:textId="77777777">
        <w:trPr>
          <w:trHeight w:val="185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B777D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lastRenderedPageBreak/>
              <w:t>Área/Lead de Experiencia al Cliente</w:t>
            </w:r>
          </w:p>
        </w:tc>
        <w:tc>
          <w:tcPr>
            <w:tcW w:w="3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3CAC8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¿Cuáles son los principales motivos de contacto y reclamo vinculados a facturación e interrupciones y cómo reducirlos?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7225E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E1D1B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Gestión de Reclamos y Correcciones; OMS – Interrupciones; Sistema de Facturación</w:t>
            </w:r>
          </w:p>
        </w:tc>
      </w:tr>
      <w:tr w:rsidR="00E55018" w:rsidRPr="000267B9" w14:paraId="7AE9356E" w14:textId="77777777">
        <w:trPr>
          <w:trHeight w:val="212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DA902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Jefatura de Gestión Contable de Clientes (facturación y cobranzas)</w:t>
            </w:r>
          </w:p>
        </w:tc>
        <w:tc>
          <w:tcPr>
            <w:tcW w:w="3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9AC16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¿Qué clientes presentan desajustes entre consumo validado y montos facturados por concepto (energía, demanda, alumbrado, reconexión)?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B9339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BB345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HES/MDM; Sistema de Facturación; Catálogo de Tarifas y Conceptos Regulatorios</w:t>
            </w:r>
          </w:p>
        </w:tc>
      </w:tr>
      <w:tr w:rsidR="00E55018" w:rsidRPr="000267B9" w14:paraId="0220C728" w14:textId="77777777">
        <w:trPr>
          <w:trHeight w:val="185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3B538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Jefatura de Cobranzas</w:t>
            </w:r>
          </w:p>
        </w:tc>
        <w:tc>
          <w:tcPr>
            <w:tcW w:w="3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C13B7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¿Qué cohortes muestran mayor probabilidad de atraso y cómo inciden cargos adicionales y cortes/reconexiones en el pago oportuno?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D1C4F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3F1D2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Sistema de Cobranzas; Sistema de Facturación; Catálogo de Tarifas y Conceptos Regulatorios</w:t>
            </w:r>
          </w:p>
        </w:tc>
      </w:tr>
      <w:tr w:rsidR="00E55018" w:rsidRPr="000267B9" w14:paraId="41B21CEE" w14:textId="77777777">
        <w:trPr>
          <w:trHeight w:val="185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4F00B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Coordinación de Medición Inteligente (HES/MDM)</w:t>
            </w:r>
          </w:p>
        </w:tc>
        <w:tc>
          <w:tcPr>
            <w:tcW w:w="3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9BDC7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¿Qué patrones de perfil de carga y eventos (manipulación, lectura estimada) anteceden reclamos por cobro excesivo?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2355C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601DB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HES/MDM; Gestión de Reclamos y Correcciones</w:t>
            </w:r>
          </w:p>
        </w:tc>
      </w:tr>
      <w:tr w:rsidR="00E55018" w:rsidRPr="000267B9" w14:paraId="06203FE1" w14:textId="77777777">
        <w:trPr>
          <w:trHeight w:val="266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C9F4A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Analista Regulatorio Comercial</w:t>
            </w:r>
          </w:p>
        </w:tc>
        <w:tc>
          <w:tcPr>
            <w:tcW w:w="3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7C901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¿Se cumplen plazos/condiciones de facturación y compensaciones por interrupciones exigidos por el regulador? ¿Dónde fallamos?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6ED26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4B713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Catálogo de Tarifas y Conceptos Regulatorios; OMS – Interrupciones; Sistema de Facturación; Gestión de Reclamos y Correcciones</w:t>
            </w:r>
          </w:p>
        </w:tc>
      </w:tr>
      <w:tr w:rsidR="00E55018" w:rsidRPr="000267B9" w14:paraId="7092D500" w14:textId="77777777">
        <w:trPr>
          <w:trHeight w:val="185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F4467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Gestión de Clientes Libres (CRM)</w:t>
            </w:r>
          </w:p>
        </w:tc>
        <w:tc>
          <w:tcPr>
            <w:tcW w:w="3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FD697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¿Cómo optimizar contratos y potencias (FP/HP) para reducir penalizaciones y mejorar permanencia de clientes libres?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86161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Media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CB043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HES/MDM; Sistema de Facturación; Maestro de Clientes y Suministros</w:t>
            </w:r>
          </w:p>
        </w:tc>
      </w:tr>
      <w:tr w:rsidR="00E55018" w:rsidRPr="000267B9" w14:paraId="6E115BD6" w14:textId="77777777">
        <w:trPr>
          <w:trHeight w:val="212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258F6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lastRenderedPageBreak/>
              <w:t>Coordinación Comercial de Interrupciones</w:t>
            </w:r>
          </w:p>
        </w:tc>
        <w:tc>
          <w:tcPr>
            <w:tcW w:w="3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BA7DE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¿Qué clientes y zonas concentran mayor tiempo sin suministro y qué efecto tiene en reclamos, compensaciones y facturación?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3A299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1B534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OMS – Interrupciones; Gestión de Reclamos y Correcciones; Sistema de Facturación</w:t>
            </w:r>
          </w:p>
        </w:tc>
      </w:tr>
      <w:tr w:rsidR="00E55018" w:rsidRPr="000267B9" w14:paraId="5C2497F4" w14:textId="77777777">
        <w:trPr>
          <w:trHeight w:val="185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D19AE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Jefatura de Canales (</w:t>
            </w:r>
            <w:proofErr w:type="spellStart"/>
            <w:r w:rsidRPr="000267B9">
              <w:rPr>
                <w:rFonts w:ascii="Times New Roman" w:hAnsi="Times New Roman" w:cs="Times New Roman"/>
                <w:b/>
              </w:rPr>
              <w:t>Fonoluz</w:t>
            </w:r>
            <w:proofErr w:type="spellEnd"/>
            <w:r w:rsidRPr="000267B9">
              <w:rPr>
                <w:rFonts w:ascii="Times New Roman" w:hAnsi="Times New Roman" w:cs="Times New Roman"/>
                <w:b/>
              </w:rPr>
              <w:t>, app, web, sucursales)</w:t>
            </w:r>
          </w:p>
        </w:tc>
        <w:tc>
          <w:tcPr>
            <w:tcW w:w="3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EE248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¿Qué canal resuelve más rápido las consultas/reclamos de facturación y cortes? ¿Dónde reasignar recursos?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BB53A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Media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46071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Gestión de Reclamos y Correcciones; OMS – Interrupciones</w:t>
            </w:r>
          </w:p>
        </w:tc>
      </w:tr>
      <w:tr w:rsidR="00E55018" w:rsidRPr="000267B9" w14:paraId="5F772786" w14:textId="77777777">
        <w:trPr>
          <w:trHeight w:val="185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661BB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Analista de BI Comercial</w:t>
            </w:r>
          </w:p>
        </w:tc>
        <w:tc>
          <w:tcPr>
            <w:tcW w:w="3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00099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¿En qué zonas/segmentos se concentran anomalías de consumo vs. factura y cuál es su impacto económico estimado?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3DA3B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7E273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HES/MDM; Sistema de Facturación; Maestro de Clientes y Suministros</w:t>
            </w:r>
          </w:p>
        </w:tc>
      </w:tr>
    </w:tbl>
    <w:p w14:paraId="79342009" w14:textId="77777777" w:rsidR="00E55018" w:rsidRPr="000267B9" w:rsidRDefault="002273C7" w:rsidP="000267B9">
      <w:p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ab/>
      </w:r>
    </w:p>
    <w:p w14:paraId="5FBDE9BC" w14:textId="77777777" w:rsidR="00E55018" w:rsidRPr="000267B9" w:rsidRDefault="002273C7" w:rsidP="000267B9">
      <w:pPr>
        <w:pStyle w:val="Ttulo2"/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2" w:name="_lnng4v8e01b8" w:colFirst="0" w:colLast="0"/>
      <w:bookmarkEnd w:id="2"/>
      <w:r w:rsidRPr="000267B9">
        <w:rPr>
          <w:rFonts w:ascii="Times New Roman" w:hAnsi="Times New Roman" w:cs="Times New Roman"/>
          <w:b/>
          <w:sz w:val="24"/>
          <w:szCs w:val="24"/>
        </w:rPr>
        <w:t xml:space="preserve">1.2. </w:t>
      </w:r>
      <w:proofErr w:type="spellStart"/>
      <w:r w:rsidRPr="000267B9">
        <w:rPr>
          <w:rFonts w:ascii="Times New Roman" w:hAnsi="Times New Roman" w:cs="Times New Roman"/>
          <w:b/>
          <w:sz w:val="24"/>
          <w:szCs w:val="24"/>
        </w:rPr>
        <w:t>KPI’s</w:t>
      </w:r>
      <w:proofErr w:type="spellEnd"/>
      <w:r w:rsidRPr="000267B9">
        <w:rPr>
          <w:rFonts w:ascii="Times New Roman" w:hAnsi="Times New Roman" w:cs="Times New Roman"/>
          <w:b/>
          <w:sz w:val="24"/>
          <w:szCs w:val="24"/>
        </w:rPr>
        <w:t xml:space="preserve"> Definidos</w:t>
      </w:r>
    </w:p>
    <w:p w14:paraId="13BCC3DE" w14:textId="77777777" w:rsidR="00E55018" w:rsidRPr="000267B9" w:rsidRDefault="002273C7" w:rsidP="000267B9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267B9">
        <w:rPr>
          <w:rFonts w:ascii="Times New Roman" w:hAnsi="Times New Roman" w:cs="Times New Roman"/>
          <w:sz w:val="24"/>
          <w:szCs w:val="24"/>
        </w:rPr>
        <w:t xml:space="preserve">La construcción de los indicadores clave de desempeño (KPI) presentados se fundamenta en el análisis de las </w:t>
      </w:r>
      <w:r w:rsidRPr="000267B9">
        <w:rPr>
          <w:rFonts w:ascii="Times New Roman" w:hAnsi="Times New Roman" w:cs="Times New Roman"/>
          <w:b/>
          <w:sz w:val="24"/>
          <w:szCs w:val="24"/>
        </w:rPr>
        <w:t>preguntas de negocio</w:t>
      </w:r>
      <w:r w:rsidRPr="000267B9">
        <w:rPr>
          <w:rFonts w:ascii="Times New Roman" w:hAnsi="Times New Roman" w:cs="Times New Roman"/>
          <w:sz w:val="24"/>
          <w:szCs w:val="24"/>
        </w:rPr>
        <w:t xml:space="preserve"> previamente definidas para el Área Comercial de Luz del Sur. Estas preguntas permitieron identificar los principales puntos de dolor y necesidades de gestión relacionadas con la facturación, el consumo eléctrico, la morosidad, los reclamos y las obligaciones regulatorias. A partir de este marco, y en concordancia con la metodología HEFESTO, se diseñaron los KPI que aseguran trazabilidad entre las necesidades estratégicas y las métricas de control.</w:t>
      </w:r>
    </w:p>
    <w:p w14:paraId="4BB2C4B5" w14:textId="77777777" w:rsidR="00E55018" w:rsidRPr="000267B9" w:rsidRDefault="002273C7" w:rsidP="000267B9">
      <w:pPr>
        <w:spacing w:before="240" w:after="24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267B9">
        <w:rPr>
          <w:rFonts w:ascii="Times New Roman" w:hAnsi="Times New Roman" w:cs="Times New Roman"/>
          <w:sz w:val="24"/>
          <w:szCs w:val="24"/>
        </w:rPr>
        <w:t xml:space="preserve">Asimismo, la definición de los KPI se apoyó en información proveniente de diversas entidades e instrumentos regulatorios. Se consideraron los criterios establecidos por </w:t>
      </w:r>
      <w:r w:rsidRPr="000267B9">
        <w:rPr>
          <w:rFonts w:ascii="Times New Roman" w:hAnsi="Times New Roman" w:cs="Times New Roman"/>
          <w:b/>
          <w:sz w:val="24"/>
          <w:szCs w:val="24"/>
        </w:rPr>
        <w:t>OSINERGMIN</w:t>
      </w:r>
      <w:r w:rsidRPr="000267B9">
        <w:rPr>
          <w:rFonts w:ascii="Times New Roman" w:hAnsi="Times New Roman" w:cs="Times New Roman"/>
          <w:sz w:val="24"/>
          <w:szCs w:val="24"/>
        </w:rPr>
        <w:t xml:space="preserve"> respecto a indicadores de calidad de servicio y compensaciones </w:t>
      </w:r>
      <w:r w:rsidRPr="000267B9">
        <w:rPr>
          <w:rFonts w:ascii="Times New Roman" w:hAnsi="Times New Roman" w:cs="Times New Roman"/>
          <w:i/>
          <w:sz w:val="24"/>
          <w:szCs w:val="24"/>
        </w:rPr>
        <w:t>(OSINERGMIN, 2023)</w:t>
      </w:r>
      <w:r w:rsidRPr="000267B9">
        <w:rPr>
          <w:rFonts w:ascii="Times New Roman" w:hAnsi="Times New Roman" w:cs="Times New Roman"/>
          <w:sz w:val="24"/>
          <w:szCs w:val="24"/>
        </w:rPr>
        <w:t xml:space="preserve">, los lineamientos del </w:t>
      </w:r>
      <w:r w:rsidRPr="000267B9">
        <w:rPr>
          <w:rFonts w:ascii="Times New Roman" w:hAnsi="Times New Roman" w:cs="Times New Roman"/>
          <w:b/>
          <w:sz w:val="24"/>
          <w:szCs w:val="24"/>
        </w:rPr>
        <w:t>Reglamento de Comercialización de Energía Eléctrica</w:t>
      </w:r>
      <w:r w:rsidRPr="000267B9">
        <w:rPr>
          <w:rFonts w:ascii="Times New Roman" w:hAnsi="Times New Roman" w:cs="Times New Roman"/>
          <w:sz w:val="24"/>
          <w:szCs w:val="24"/>
        </w:rPr>
        <w:t xml:space="preserve"> emitido por el </w:t>
      </w:r>
      <w:r w:rsidRPr="000267B9">
        <w:rPr>
          <w:rFonts w:ascii="Times New Roman" w:hAnsi="Times New Roman" w:cs="Times New Roman"/>
          <w:b/>
          <w:sz w:val="24"/>
          <w:szCs w:val="24"/>
        </w:rPr>
        <w:t>Ministerio de Energía y Minas</w:t>
      </w:r>
      <w:r w:rsidRPr="000267B9">
        <w:rPr>
          <w:rFonts w:ascii="Times New Roman" w:hAnsi="Times New Roman" w:cs="Times New Roman"/>
          <w:sz w:val="24"/>
          <w:szCs w:val="24"/>
        </w:rPr>
        <w:t xml:space="preserve"> </w:t>
      </w:r>
      <w:r w:rsidRPr="000267B9">
        <w:rPr>
          <w:rFonts w:ascii="Times New Roman" w:hAnsi="Times New Roman" w:cs="Times New Roman"/>
          <w:i/>
          <w:sz w:val="24"/>
          <w:szCs w:val="24"/>
        </w:rPr>
        <w:t>(MINEM, 2018)</w:t>
      </w:r>
      <w:r w:rsidRPr="000267B9">
        <w:rPr>
          <w:rFonts w:ascii="Times New Roman" w:hAnsi="Times New Roman" w:cs="Times New Roman"/>
          <w:sz w:val="24"/>
          <w:szCs w:val="24"/>
        </w:rPr>
        <w:t xml:space="preserve">, y las buenas prácticas de gestión de datos de medición inteligente descritas en la literatura </w:t>
      </w:r>
      <w:r w:rsidRPr="000267B9">
        <w:rPr>
          <w:rFonts w:ascii="Times New Roman" w:hAnsi="Times New Roman" w:cs="Times New Roman"/>
          <w:sz w:val="24"/>
          <w:szCs w:val="24"/>
        </w:rPr>
        <w:lastRenderedPageBreak/>
        <w:t xml:space="preserve">técnica </w:t>
      </w:r>
      <w:r w:rsidRPr="000267B9">
        <w:rPr>
          <w:rFonts w:ascii="Times New Roman" w:hAnsi="Times New Roman" w:cs="Times New Roman"/>
          <w:i/>
          <w:sz w:val="24"/>
          <w:szCs w:val="24"/>
        </w:rPr>
        <w:t>(Gómez et al., 2020)</w:t>
      </w:r>
      <w:r w:rsidRPr="000267B9">
        <w:rPr>
          <w:rFonts w:ascii="Times New Roman" w:hAnsi="Times New Roman" w:cs="Times New Roman"/>
          <w:sz w:val="24"/>
          <w:szCs w:val="24"/>
        </w:rPr>
        <w:t xml:space="preserve">. Del mismo modo, se revisó la información institucional publicada por </w:t>
      </w:r>
      <w:r w:rsidRPr="000267B9">
        <w:rPr>
          <w:rFonts w:ascii="Times New Roman" w:hAnsi="Times New Roman" w:cs="Times New Roman"/>
          <w:b/>
          <w:sz w:val="24"/>
          <w:szCs w:val="24"/>
        </w:rPr>
        <w:t>Luz del Sur</w:t>
      </w:r>
      <w:r w:rsidRPr="000267B9">
        <w:rPr>
          <w:rFonts w:ascii="Times New Roman" w:hAnsi="Times New Roman" w:cs="Times New Roman"/>
          <w:sz w:val="24"/>
          <w:szCs w:val="24"/>
        </w:rPr>
        <w:t xml:space="preserve"> sobre su gestión comercial y de clientes</w:t>
      </w:r>
      <w:r w:rsidRPr="000267B9">
        <w:rPr>
          <w:rFonts w:ascii="Times New Roman" w:hAnsi="Times New Roman" w:cs="Times New Roman"/>
          <w:i/>
          <w:sz w:val="24"/>
          <w:szCs w:val="24"/>
        </w:rPr>
        <w:t xml:space="preserve"> (Luz del Sur, 2023)</w:t>
      </w:r>
      <w:r w:rsidRPr="000267B9">
        <w:rPr>
          <w:rFonts w:ascii="Times New Roman" w:hAnsi="Times New Roman" w:cs="Times New Roman"/>
          <w:sz w:val="24"/>
          <w:szCs w:val="24"/>
        </w:rPr>
        <w:t>.</w:t>
      </w:r>
    </w:p>
    <w:p w14:paraId="24314246" w14:textId="77777777" w:rsidR="00E55018" w:rsidRPr="000267B9" w:rsidRDefault="002273C7" w:rsidP="000267B9">
      <w:pPr>
        <w:spacing w:before="240" w:after="24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267B9">
        <w:rPr>
          <w:rFonts w:ascii="Times New Roman" w:hAnsi="Times New Roman" w:cs="Times New Roman"/>
          <w:sz w:val="24"/>
          <w:szCs w:val="24"/>
        </w:rPr>
        <w:t>En conjunto, el cruce entre las preguntas de negocio, los sistemas de información disponibles (Sistema de Facturación, HES/MDM, Sistema de Cobranzas, OMS, Maestro de Clientes, entre otros) y las referencias normativas y técnicas permitió la definición de un set de KPI robusto, orientado a garantizar la exactitud, transparencia y equidad en los procesos de facturación y atención al cliente.</w:t>
      </w:r>
    </w:p>
    <w:p w14:paraId="10C84E33" w14:textId="77777777" w:rsidR="00E55018" w:rsidRPr="000267B9" w:rsidRDefault="002273C7" w:rsidP="000267B9">
      <w:pPr>
        <w:pStyle w:val="Ttulo3"/>
        <w:keepNext w:val="0"/>
        <w:keepLines w:val="0"/>
        <w:spacing w:before="280" w:line="360" w:lineRule="auto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3" w:name="_lf3yytid1w7r" w:colFirst="0" w:colLast="0"/>
      <w:bookmarkEnd w:id="3"/>
      <w:r w:rsidRPr="000267B9">
        <w:rPr>
          <w:rFonts w:ascii="Times New Roman" w:hAnsi="Times New Roman" w:cs="Times New Roman"/>
          <w:b/>
          <w:color w:val="000000"/>
          <w:sz w:val="26"/>
          <w:szCs w:val="26"/>
        </w:rPr>
        <w:t>Tasa de divergencia de facturación teórica vs. real</w:t>
      </w:r>
    </w:p>
    <w:tbl>
      <w:tblPr>
        <w:tblStyle w:val="a0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74"/>
        <w:gridCol w:w="6451"/>
      </w:tblGrid>
      <w:tr w:rsidR="00E55018" w:rsidRPr="000267B9" w14:paraId="5A3AE1A2" w14:textId="77777777">
        <w:trPr>
          <w:trHeight w:val="770"/>
        </w:trPr>
        <w:tc>
          <w:tcPr>
            <w:tcW w:w="2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CBB0A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Objetivo estratégico asociado</w:t>
            </w:r>
          </w:p>
        </w:tc>
        <w:tc>
          <w:tcPr>
            <w:tcW w:w="6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05788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Garantizar exactitud en la facturación</w:t>
            </w:r>
          </w:p>
        </w:tc>
      </w:tr>
      <w:tr w:rsidR="00E55018" w:rsidRPr="000267B9" w14:paraId="0FF141A8" w14:textId="77777777">
        <w:trPr>
          <w:trHeight w:val="770"/>
        </w:trPr>
        <w:tc>
          <w:tcPr>
            <w:tcW w:w="2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EECE7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Definición</w:t>
            </w:r>
          </w:p>
        </w:tc>
        <w:tc>
          <w:tcPr>
            <w:tcW w:w="6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326B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Porcentaje de suministros cuya factura difiere significativamente de la facturación esperada</w:t>
            </w:r>
          </w:p>
        </w:tc>
      </w:tr>
      <w:tr w:rsidR="00E55018" w:rsidRPr="000267B9" w14:paraId="30AFDDE3" w14:textId="77777777">
        <w:trPr>
          <w:trHeight w:val="770"/>
        </w:trPr>
        <w:tc>
          <w:tcPr>
            <w:tcW w:w="2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07138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Fórmula</w:t>
            </w:r>
          </w:p>
        </w:tc>
        <w:tc>
          <w:tcPr>
            <w:tcW w:w="6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44B1C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(# Suministros con |FR – FT| / FT &gt; θ) ÷ (# Suministros) × 100</w:t>
            </w:r>
          </w:p>
          <w:p w14:paraId="60B23BE0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i/>
              </w:rPr>
              <w:t>Aclaración: Se aplica antes de IGV</w:t>
            </w:r>
          </w:p>
        </w:tc>
      </w:tr>
      <w:tr w:rsidR="00E55018" w:rsidRPr="000267B9" w14:paraId="3D07D09C" w14:textId="77777777">
        <w:trPr>
          <w:trHeight w:val="500"/>
        </w:trPr>
        <w:tc>
          <w:tcPr>
            <w:tcW w:w="2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01B50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Unidad de medida</w:t>
            </w:r>
          </w:p>
        </w:tc>
        <w:tc>
          <w:tcPr>
            <w:tcW w:w="6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4C1B3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%</w:t>
            </w:r>
          </w:p>
        </w:tc>
      </w:tr>
      <w:tr w:rsidR="00E55018" w:rsidRPr="000267B9" w14:paraId="0FD7CF43" w14:textId="77777777">
        <w:trPr>
          <w:trHeight w:val="770"/>
        </w:trPr>
        <w:tc>
          <w:tcPr>
            <w:tcW w:w="2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ACFAE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Frecuencia de medición</w:t>
            </w:r>
          </w:p>
        </w:tc>
        <w:tc>
          <w:tcPr>
            <w:tcW w:w="6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E2C57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Mensual</w:t>
            </w:r>
          </w:p>
        </w:tc>
      </w:tr>
      <w:tr w:rsidR="00E55018" w:rsidRPr="000267B9" w14:paraId="0687FD08" w14:textId="77777777">
        <w:trPr>
          <w:trHeight w:val="770"/>
        </w:trPr>
        <w:tc>
          <w:tcPr>
            <w:tcW w:w="2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70605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Fuente de datos</w:t>
            </w:r>
          </w:p>
        </w:tc>
        <w:tc>
          <w:tcPr>
            <w:tcW w:w="6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ECF01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Sistema de Facturación, HES/MDM, Maestro de Clientes y Suministros</w:t>
            </w:r>
          </w:p>
        </w:tc>
      </w:tr>
      <w:tr w:rsidR="00E55018" w:rsidRPr="000267B9" w14:paraId="322C5904" w14:textId="77777777">
        <w:trPr>
          <w:trHeight w:val="500"/>
        </w:trPr>
        <w:tc>
          <w:tcPr>
            <w:tcW w:w="2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2E111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Responsable</w:t>
            </w:r>
          </w:p>
        </w:tc>
        <w:tc>
          <w:tcPr>
            <w:tcW w:w="6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115C1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Área Comercial / Facturación</w:t>
            </w:r>
          </w:p>
        </w:tc>
      </w:tr>
      <w:tr w:rsidR="00E55018" w:rsidRPr="000267B9" w14:paraId="672398A6" w14:textId="77777777">
        <w:trPr>
          <w:trHeight w:val="500"/>
        </w:trPr>
        <w:tc>
          <w:tcPr>
            <w:tcW w:w="2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FC85D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Meta</w:t>
            </w:r>
          </w:p>
        </w:tc>
        <w:tc>
          <w:tcPr>
            <w:tcW w:w="6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696C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≤ 2%</w:t>
            </w:r>
          </w:p>
        </w:tc>
      </w:tr>
      <w:tr w:rsidR="00E55018" w:rsidRPr="000267B9" w14:paraId="020C8D21" w14:textId="77777777">
        <w:trPr>
          <w:trHeight w:val="500"/>
        </w:trPr>
        <w:tc>
          <w:tcPr>
            <w:tcW w:w="2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40D6B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Umbrales (semáforo)</w:t>
            </w:r>
          </w:p>
        </w:tc>
        <w:tc>
          <w:tcPr>
            <w:tcW w:w="6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3980A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Verde ≤ 2% | Amarillo 2–5% | Rojo &gt; 5%</w:t>
            </w:r>
          </w:p>
        </w:tc>
      </w:tr>
    </w:tbl>
    <w:p w14:paraId="368EE821" w14:textId="77777777" w:rsidR="00E55018" w:rsidRPr="000267B9" w:rsidRDefault="00E55018" w:rsidP="000267B9">
      <w:pPr>
        <w:spacing w:after="80" w:line="360" w:lineRule="auto"/>
        <w:jc w:val="center"/>
        <w:rPr>
          <w:rFonts w:ascii="Times New Roman" w:hAnsi="Times New Roman" w:cs="Times New Roman"/>
        </w:rPr>
      </w:pPr>
    </w:p>
    <w:p w14:paraId="236C1C39" w14:textId="77777777" w:rsidR="00E55018" w:rsidRPr="000267B9" w:rsidRDefault="002273C7" w:rsidP="000267B9">
      <w:pPr>
        <w:pStyle w:val="Ttulo3"/>
        <w:keepNext w:val="0"/>
        <w:keepLines w:val="0"/>
        <w:spacing w:before="280" w:line="360" w:lineRule="auto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4" w:name="_jti79gfs8pt8" w:colFirst="0" w:colLast="0"/>
      <w:bookmarkEnd w:id="4"/>
      <w:r w:rsidRPr="000267B9">
        <w:rPr>
          <w:rFonts w:ascii="Times New Roman" w:hAnsi="Times New Roman" w:cs="Times New Roman"/>
          <w:b/>
          <w:color w:val="000000"/>
          <w:sz w:val="26"/>
          <w:szCs w:val="26"/>
        </w:rPr>
        <w:t>Índice de consumos atípicos por segmento</w:t>
      </w:r>
    </w:p>
    <w:tbl>
      <w:tblPr>
        <w:tblStyle w:val="a1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59"/>
        <w:gridCol w:w="6466"/>
      </w:tblGrid>
      <w:tr w:rsidR="00E55018" w:rsidRPr="000267B9" w14:paraId="6E5751E2" w14:textId="77777777">
        <w:trPr>
          <w:trHeight w:val="77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38636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lastRenderedPageBreak/>
              <w:t>Objetivo estratégico asociado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06E61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Identificar patrones de consumo anómalos</w:t>
            </w:r>
          </w:p>
        </w:tc>
      </w:tr>
      <w:tr w:rsidR="00E55018" w:rsidRPr="000267B9" w14:paraId="5A5D4544" w14:textId="77777777">
        <w:trPr>
          <w:trHeight w:val="77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D325B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Definición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18C38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Porcentaje de clientes con consumos que se desvían significativamente de su media histórica</w:t>
            </w:r>
          </w:p>
        </w:tc>
      </w:tr>
      <w:tr w:rsidR="00E55018" w:rsidRPr="000267B9" w14:paraId="64256EE3" w14:textId="77777777">
        <w:trPr>
          <w:trHeight w:val="77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7248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Fórmula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165A7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(# Suministros con z(Consumo) &gt; z₀) ÷ (# Total de Suministros) × 100</w:t>
            </w:r>
          </w:p>
        </w:tc>
      </w:tr>
      <w:tr w:rsidR="00E55018" w:rsidRPr="000267B9" w14:paraId="3703E576" w14:textId="77777777">
        <w:trPr>
          <w:trHeight w:val="50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BF5A7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Unidad de medida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BAC75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%</w:t>
            </w:r>
          </w:p>
        </w:tc>
      </w:tr>
      <w:tr w:rsidR="00E55018" w:rsidRPr="000267B9" w14:paraId="0ACF1696" w14:textId="77777777">
        <w:trPr>
          <w:trHeight w:val="77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6BB5B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Frecuencia de medición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E6394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Mensual</w:t>
            </w:r>
          </w:p>
        </w:tc>
      </w:tr>
      <w:tr w:rsidR="00E55018" w:rsidRPr="000267B9" w14:paraId="6E8CF767" w14:textId="77777777">
        <w:trPr>
          <w:trHeight w:val="77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228AC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Fuente de datos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F2074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HES/MDM, Historial de Consumo, Maestro de Clientes y Suministros</w:t>
            </w:r>
          </w:p>
        </w:tc>
      </w:tr>
      <w:tr w:rsidR="00E55018" w:rsidRPr="000267B9" w14:paraId="440E937A" w14:textId="77777777">
        <w:trPr>
          <w:trHeight w:val="50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C0E9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Responsable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8D7E0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Área Comercial / Analítica Comercial</w:t>
            </w:r>
          </w:p>
        </w:tc>
      </w:tr>
      <w:tr w:rsidR="00E55018" w:rsidRPr="000267B9" w14:paraId="7E6946B6" w14:textId="77777777">
        <w:trPr>
          <w:trHeight w:val="50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C86C2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Meta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ABFB4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≤ 5% por segmento</w:t>
            </w:r>
          </w:p>
        </w:tc>
      </w:tr>
      <w:tr w:rsidR="00E55018" w:rsidRPr="000267B9" w14:paraId="3B189920" w14:textId="77777777">
        <w:trPr>
          <w:trHeight w:val="50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AAABB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Umbrales (semáforo)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49017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Verde ≤ 5% | Amarillo 5–8% | Rojo &gt; 8%</w:t>
            </w:r>
          </w:p>
        </w:tc>
      </w:tr>
    </w:tbl>
    <w:p w14:paraId="39B72124" w14:textId="77777777" w:rsidR="00E55018" w:rsidRPr="000267B9" w:rsidRDefault="00E55018" w:rsidP="000267B9">
      <w:pPr>
        <w:spacing w:after="80" w:line="360" w:lineRule="auto"/>
        <w:jc w:val="center"/>
        <w:rPr>
          <w:rFonts w:ascii="Times New Roman" w:hAnsi="Times New Roman" w:cs="Times New Roman"/>
        </w:rPr>
      </w:pPr>
    </w:p>
    <w:p w14:paraId="417F249D" w14:textId="77777777" w:rsidR="00E55018" w:rsidRPr="000267B9" w:rsidRDefault="002273C7" w:rsidP="000267B9">
      <w:pPr>
        <w:pStyle w:val="Ttulo3"/>
        <w:keepNext w:val="0"/>
        <w:keepLines w:val="0"/>
        <w:spacing w:before="280" w:line="360" w:lineRule="auto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5" w:name="_nzpeh345c1sg" w:colFirst="0" w:colLast="0"/>
      <w:bookmarkEnd w:id="5"/>
      <w:r w:rsidRPr="000267B9">
        <w:rPr>
          <w:rFonts w:ascii="Times New Roman" w:hAnsi="Times New Roman" w:cs="Times New Roman"/>
          <w:b/>
          <w:color w:val="000000"/>
          <w:sz w:val="26"/>
          <w:szCs w:val="26"/>
        </w:rPr>
        <w:t>Proporción de cargos no energéticos sobre la factura</w:t>
      </w:r>
    </w:p>
    <w:tbl>
      <w:tblPr>
        <w:tblStyle w:val="a2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42"/>
        <w:gridCol w:w="6583"/>
      </w:tblGrid>
      <w:tr w:rsidR="00E55018" w:rsidRPr="000267B9" w14:paraId="69749021" w14:textId="77777777">
        <w:trPr>
          <w:trHeight w:val="770"/>
        </w:trPr>
        <w:tc>
          <w:tcPr>
            <w:tcW w:w="2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C8043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Objetivo estratégico asociado</w:t>
            </w:r>
          </w:p>
        </w:tc>
        <w:tc>
          <w:tcPr>
            <w:tcW w:w="6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17365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Transparentar la estructura tarifaria</w:t>
            </w:r>
          </w:p>
        </w:tc>
      </w:tr>
      <w:tr w:rsidR="00E55018" w:rsidRPr="000267B9" w14:paraId="50D06228" w14:textId="77777777">
        <w:trPr>
          <w:trHeight w:val="770"/>
        </w:trPr>
        <w:tc>
          <w:tcPr>
            <w:tcW w:w="2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A22CC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Definición</w:t>
            </w:r>
          </w:p>
        </w:tc>
        <w:tc>
          <w:tcPr>
            <w:tcW w:w="6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5B9A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Porcentaje de la factura correspondiente a cargos adicionales (alumbrado público, reconexiones, subsidios)</w:t>
            </w:r>
          </w:p>
        </w:tc>
      </w:tr>
      <w:tr w:rsidR="00E55018" w:rsidRPr="000267B9" w14:paraId="7B25B691" w14:textId="77777777">
        <w:trPr>
          <w:trHeight w:val="500"/>
        </w:trPr>
        <w:tc>
          <w:tcPr>
            <w:tcW w:w="2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2899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Fórmula</w:t>
            </w:r>
          </w:p>
        </w:tc>
        <w:tc>
          <w:tcPr>
            <w:tcW w:w="6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59018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(Σ Cargos no energéticos ÷ Σ Factura Total) × 100</w:t>
            </w:r>
          </w:p>
        </w:tc>
      </w:tr>
      <w:tr w:rsidR="00E55018" w:rsidRPr="000267B9" w14:paraId="3E1A5FC4" w14:textId="77777777">
        <w:trPr>
          <w:trHeight w:val="500"/>
        </w:trPr>
        <w:tc>
          <w:tcPr>
            <w:tcW w:w="2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9CE50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Unidad de medida</w:t>
            </w:r>
          </w:p>
        </w:tc>
        <w:tc>
          <w:tcPr>
            <w:tcW w:w="6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CB3CB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%</w:t>
            </w:r>
          </w:p>
        </w:tc>
      </w:tr>
      <w:tr w:rsidR="00E55018" w:rsidRPr="000267B9" w14:paraId="7ABE8853" w14:textId="77777777">
        <w:trPr>
          <w:trHeight w:val="770"/>
        </w:trPr>
        <w:tc>
          <w:tcPr>
            <w:tcW w:w="2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8C722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Frecuencia de medición</w:t>
            </w:r>
          </w:p>
        </w:tc>
        <w:tc>
          <w:tcPr>
            <w:tcW w:w="6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C3087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Mensual</w:t>
            </w:r>
          </w:p>
        </w:tc>
      </w:tr>
      <w:tr w:rsidR="00E55018" w:rsidRPr="000267B9" w14:paraId="49B2CD6B" w14:textId="77777777">
        <w:trPr>
          <w:trHeight w:val="770"/>
        </w:trPr>
        <w:tc>
          <w:tcPr>
            <w:tcW w:w="2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0DDD2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lastRenderedPageBreak/>
              <w:t>Fuente de datos</w:t>
            </w:r>
          </w:p>
        </w:tc>
        <w:tc>
          <w:tcPr>
            <w:tcW w:w="6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AC34A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Sistema de Facturación, Sistema de Cobranzas, Catálogo de Tarifas y Conceptos Regulatorios</w:t>
            </w:r>
          </w:p>
        </w:tc>
      </w:tr>
      <w:tr w:rsidR="00E55018" w:rsidRPr="000267B9" w14:paraId="36D679B3" w14:textId="77777777">
        <w:trPr>
          <w:trHeight w:val="500"/>
        </w:trPr>
        <w:tc>
          <w:tcPr>
            <w:tcW w:w="2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F4C0C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Responsable</w:t>
            </w:r>
          </w:p>
        </w:tc>
        <w:tc>
          <w:tcPr>
            <w:tcW w:w="6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561D2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Área Comercial / Regulación y Comercial</w:t>
            </w:r>
          </w:p>
        </w:tc>
      </w:tr>
      <w:tr w:rsidR="00E55018" w:rsidRPr="000267B9" w14:paraId="5D213541" w14:textId="77777777">
        <w:trPr>
          <w:trHeight w:val="500"/>
        </w:trPr>
        <w:tc>
          <w:tcPr>
            <w:tcW w:w="2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79BA5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Meta</w:t>
            </w:r>
          </w:p>
        </w:tc>
        <w:tc>
          <w:tcPr>
            <w:tcW w:w="6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AFE0F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≤ 15%</w:t>
            </w:r>
          </w:p>
        </w:tc>
      </w:tr>
      <w:tr w:rsidR="00E55018" w:rsidRPr="000267B9" w14:paraId="0208264C" w14:textId="77777777">
        <w:trPr>
          <w:trHeight w:val="500"/>
        </w:trPr>
        <w:tc>
          <w:tcPr>
            <w:tcW w:w="2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4D41B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Umbrales (semáforo)</w:t>
            </w:r>
          </w:p>
        </w:tc>
        <w:tc>
          <w:tcPr>
            <w:tcW w:w="6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9F34F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Verde ≤ 15% | Amarillo 15–20% | Rojo &gt; 20%</w:t>
            </w:r>
          </w:p>
        </w:tc>
      </w:tr>
    </w:tbl>
    <w:p w14:paraId="0DB1EA2F" w14:textId="77777777" w:rsidR="00E55018" w:rsidRPr="000267B9" w:rsidRDefault="00E55018" w:rsidP="000267B9">
      <w:pPr>
        <w:spacing w:after="80" w:line="360" w:lineRule="auto"/>
        <w:jc w:val="center"/>
        <w:rPr>
          <w:rFonts w:ascii="Times New Roman" w:hAnsi="Times New Roman" w:cs="Times New Roman"/>
        </w:rPr>
      </w:pPr>
    </w:p>
    <w:p w14:paraId="7D71C5DE" w14:textId="77777777" w:rsidR="00E55018" w:rsidRPr="000267B9" w:rsidRDefault="002273C7" w:rsidP="000267B9">
      <w:pPr>
        <w:pStyle w:val="Ttulo3"/>
        <w:keepNext w:val="0"/>
        <w:keepLines w:val="0"/>
        <w:spacing w:before="280" w:line="360" w:lineRule="auto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6" w:name="_bxlyr75xzz5c" w:colFirst="0" w:colLast="0"/>
      <w:bookmarkEnd w:id="6"/>
      <w:r w:rsidRPr="000267B9">
        <w:rPr>
          <w:rFonts w:ascii="Times New Roman" w:hAnsi="Times New Roman" w:cs="Times New Roman"/>
          <w:b/>
          <w:color w:val="000000"/>
          <w:sz w:val="26"/>
          <w:szCs w:val="26"/>
        </w:rPr>
        <w:t>Índice de satisfacción comercial por transparencia en cobros</w:t>
      </w:r>
    </w:p>
    <w:tbl>
      <w:tblPr>
        <w:tblStyle w:val="a3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36"/>
        <w:gridCol w:w="6289"/>
      </w:tblGrid>
      <w:tr w:rsidR="00E55018" w:rsidRPr="000267B9" w14:paraId="20A66130" w14:textId="77777777">
        <w:trPr>
          <w:trHeight w:val="770"/>
        </w:trPr>
        <w:tc>
          <w:tcPr>
            <w:tcW w:w="2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0E0B8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Objetivo estratégico asociado</w:t>
            </w:r>
          </w:p>
        </w:tc>
        <w:tc>
          <w:tcPr>
            <w:tcW w:w="6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9AB1D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Mejorar la percepción de equidad y confianza del cliente</w:t>
            </w:r>
          </w:p>
        </w:tc>
      </w:tr>
      <w:tr w:rsidR="00E55018" w:rsidRPr="000267B9" w14:paraId="3305ED43" w14:textId="77777777">
        <w:trPr>
          <w:trHeight w:val="770"/>
        </w:trPr>
        <w:tc>
          <w:tcPr>
            <w:tcW w:w="2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B2643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Definición</w:t>
            </w:r>
          </w:p>
        </w:tc>
        <w:tc>
          <w:tcPr>
            <w:tcW w:w="6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7982E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Porcentaje de clientes que consideran clara y justa la información sobre su factura</w:t>
            </w:r>
          </w:p>
        </w:tc>
      </w:tr>
      <w:tr w:rsidR="00E55018" w:rsidRPr="000267B9" w14:paraId="37295B36" w14:textId="77777777">
        <w:trPr>
          <w:trHeight w:val="770"/>
        </w:trPr>
        <w:tc>
          <w:tcPr>
            <w:tcW w:w="2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BE0EF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Fórmula</w:t>
            </w:r>
          </w:p>
        </w:tc>
        <w:tc>
          <w:tcPr>
            <w:tcW w:w="6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0F024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(# Clientes satisfechos con transparencia ÷ # Encuestas respondidas) × 100</w:t>
            </w:r>
          </w:p>
        </w:tc>
      </w:tr>
      <w:tr w:rsidR="00E55018" w:rsidRPr="000267B9" w14:paraId="54EE98DD" w14:textId="77777777">
        <w:trPr>
          <w:trHeight w:val="500"/>
        </w:trPr>
        <w:tc>
          <w:tcPr>
            <w:tcW w:w="2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D010E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Unidad de medida</w:t>
            </w:r>
          </w:p>
        </w:tc>
        <w:tc>
          <w:tcPr>
            <w:tcW w:w="6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E5924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%</w:t>
            </w:r>
          </w:p>
        </w:tc>
      </w:tr>
      <w:tr w:rsidR="00E55018" w:rsidRPr="000267B9" w14:paraId="2AC36493" w14:textId="77777777">
        <w:trPr>
          <w:trHeight w:val="500"/>
        </w:trPr>
        <w:tc>
          <w:tcPr>
            <w:tcW w:w="2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B2781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Frecuencia de medición</w:t>
            </w:r>
          </w:p>
        </w:tc>
        <w:tc>
          <w:tcPr>
            <w:tcW w:w="6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77C2C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Semestral</w:t>
            </w:r>
          </w:p>
        </w:tc>
      </w:tr>
      <w:tr w:rsidR="00E55018" w:rsidRPr="000267B9" w14:paraId="27BEF464" w14:textId="77777777">
        <w:trPr>
          <w:trHeight w:val="500"/>
        </w:trPr>
        <w:tc>
          <w:tcPr>
            <w:tcW w:w="2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624E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Fuente de datos</w:t>
            </w:r>
          </w:p>
        </w:tc>
        <w:tc>
          <w:tcPr>
            <w:tcW w:w="6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2B964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Encuestas de satisfacción, Maestro de Clientes</w:t>
            </w:r>
          </w:p>
        </w:tc>
      </w:tr>
      <w:tr w:rsidR="00E55018" w:rsidRPr="000267B9" w14:paraId="2B73CDCD" w14:textId="77777777">
        <w:trPr>
          <w:trHeight w:val="500"/>
        </w:trPr>
        <w:tc>
          <w:tcPr>
            <w:tcW w:w="2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2699B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Responsable</w:t>
            </w:r>
          </w:p>
        </w:tc>
        <w:tc>
          <w:tcPr>
            <w:tcW w:w="6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A51E0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Área Comercial / Experiencia del Cliente</w:t>
            </w:r>
          </w:p>
        </w:tc>
      </w:tr>
      <w:tr w:rsidR="00E55018" w:rsidRPr="000267B9" w14:paraId="2F40E07E" w14:textId="77777777">
        <w:trPr>
          <w:trHeight w:val="500"/>
        </w:trPr>
        <w:tc>
          <w:tcPr>
            <w:tcW w:w="2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AF9A2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Meta</w:t>
            </w:r>
          </w:p>
        </w:tc>
        <w:tc>
          <w:tcPr>
            <w:tcW w:w="6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76C40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≥ 85%</w:t>
            </w:r>
          </w:p>
        </w:tc>
      </w:tr>
      <w:tr w:rsidR="00E55018" w:rsidRPr="000267B9" w14:paraId="4C64EA0A" w14:textId="77777777">
        <w:trPr>
          <w:trHeight w:val="500"/>
        </w:trPr>
        <w:tc>
          <w:tcPr>
            <w:tcW w:w="2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10462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Umbrales (semáforo)</w:t>
            </w:r>
          </w:p>
        </w:tc>
        <w:tc>
          <w:tcPr>
            <w:tcW w:w="6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20FCC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Verde ≥ 85% | Amarillo 75–85% | Rojo &lt; 75%</w:t>
            </w:r>
          </w:p>
        </w:tc>
      </w:tr>
    </w:tbl>
    <w:p w14:paraId="56734ECF" w14:textId="77777777" w:rsidR="00E55018" w:rsidRPr="000267B9" w:rsidRDefault="00E55018" w:rsidP="000267B9">
      <w:pPr>
        <w:spacing w:after="80" w:line="360" w:lineRule="auto"/>
        <w:jc w:val="center"/>
        <w:rPr>
          <w:rFonts w:ascii="Times New Roman" w:hAnsi="Times New Roman" w:cs="Times New Roman"/>
        </w:rPr>
      </w:pPr>
    </w:p>
    <w:p w14:paraId="20A3387D" w14:textId="77777777" w:rsidR="00E55018" w:rsidRPr="000267B9" w:rsidRDefault="002273C7" w:rsidP="000267B9">
      <w:pPr>
        <w:pStyle w:val="Ttulo3"/>
        <w:keepNext w:val="0"/>
        <w:keepLines w:val="0"/>
        <w:spacing w:before="280" w:line="360" w:lineRule="auto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7" w:name="_3wsp10ik95dr" w:colFirst="0" w:colLast="0"/>
      <w:bookmarkEnd w:id="7"/>
      <w:r w:rsidRPr="000267B9">
        <w:rPr>
          <w:rFonts w:ascii="Times New Roman" w:hAnsi="Times New Roman" w:cs="Times New Roman"/>
          <w:b/>
          <w:color w:val="000000"/>
          <w:sz w:val="26"/>
          <w:szCs w:val="26"/>
        </w:rPr>
        <w:t>Participación de clientes con facturación corregida</w:t>
      </w:r>
    </w:p>
    <w:tbl>
      <w:tblPr>
        <w:tblStyle w:val="a4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15"/>
        <w:gridCol w:w="6510"/>
      </w:tblGrid>
      <w:tr w:rsidR="00E55018" w:rsidRPr="000267B9" w14:paraId="41C17E1F" w14:textId="77777777">
        <w:trPr>
          <w:trHeight w:val="770"/>
        </w:trPr>
        <w:tc>
          <w:tcPr>
            <w:tcW w:w="2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ACC5B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lastRenderedPageBreak/>
              <w:t>Objetivo estratégico asociado</w:t>
            </w:r>
          </w:p>
        </w:tc>
        <w:tc>
          <w:tcPr>
            <w:tcW w:w="6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E9AB3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Incrementar la eficiencia en la corrección de anomalías</w:t>
            </w:r>
          </w:p>
        </w:tc>
      </w:tr>
      <w:tr w:rsidR="00E55018" w:rsidRPr="000267B9" w14:paraId="1AC7DD54" w14:textId="77777777">
        <w:trPr>
          <w:trHeight w:val="770"/>
        </w:trPr>
        <w:tc>
          <w:tcPr>
            <w:tcW w:w="2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054D6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Definición</w:t>
            </w:r>
          </w:p>
        </w:tc>
        <w:tc>
          <w:tcPr>
            <w:tcW w:w="6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36CF6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Porcentaje de clientes a quienes se les corrigió la facturación antes de que presenten un reclamo</w:t>
            </w:r>
          </w:p>
        </w:tc>
      </w:tr>
      <w:tr w:rsidR="00E55018" w:rsidRPr="000267B9" w14:paraId="3FB9E86E" w14:textId="77777777">
        <w:trPr>
          <w:trHeight w:val="770"/>
        </w:trPr>
        <w:tc>
          <w:tcPr>
            <w:tcW w:w="2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2AFB1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Fórmula</w:t>
            </w:r>
          </w:p>
        </w:tc>
        <w:tc>
          <w:tcPr>
            <w:tcW w:w="6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ADA6A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(# Clientes con facturación corregida proactivamente ÷ # Clientes con anomalías detectadas) × 100</w:t>
            </w:r>
          </w:p>
        </w:tc>
      </w:tr>
      <w:tr w:rsidR="00E55018" w:rsidRPr="000267B9" w14:paraId="110C997A" w14:textId="77777777">
        <w:trPr>
          <w:trHeight w:val="500"/>
        </w:trPr>
        <w:tc>
          <w:tcPr>
            <w:tcW w:w="2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693B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Unidad de medida</w:t>
            </w:r>
          </w:p>
        </w:tc>
        <w:tc>
          <w:tcPr>
            <w:tcW w:w="6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DF494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%</w:t>
            </w:r>
          </w:p>
        </w:tc>
      </w:tr>
      <w:tr w:rsidR="00E55018" w:rsidRPr="000267B9" w14:paraId="281ADC8F" w14:textId="77777777">
        <w:trPr>
          <w:trHeight w:val="770"/>
        </w:trPr>
        <w:tc>
          <w:tcPr>
            <w:tcW w:w="2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88A47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Frecuencia de medición</w:t>
            </w:r>
          </w:p>
        </w:tc>
        <w:tc>
          <w:tcPr>
            <w:tcW w:w="6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D9F08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Mensual</w:t>
            </w:r>
          </w:p>
        </w:tc>
      </w:tr>
      <w:tr w:rsidR="00E55018" w:rsidRPr="000267B9" w14:paraId="73671500" w14:textId="77777777">
        <w:trPr>
          <w:trHeight w:val="500"/>
        </w:trPr>
        <w:tc>
          <w:tcPr>
            <w:tcW w:w="2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C2DF2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Fuente de datos</w:t>
            </w:r>
          </w:p>
        </w:tc>
        <w:tc>
          <w:tcPr>
            <w:tcW w:w="6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B6825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Sistema de Facturación, Gestión de Reclamos y Correcciones</w:t>
            </w:r>
          </w:p>
        </w:tc>
      </w:tr>
      <w:tr w:rsidR="00E55018" w:rsidRPr="000267B9" w14:paraId="3BC9347A" w14:textId="77777777">
        <w:trPr>
          <w:trHeight w:val="500"/>
        </w:trPr>
        <w:tc>
          <w:tcPr>
            <w:tcW w:w="2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D9EBB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Responsable</w:t>
            </w:r>
          </w:p>
        </w:tc>
        <w:tc>
          <w:tcPr>
            <w:tcW w:w="6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F54E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Área Comercial / Facturación</w:t>
            </w:r>
          </w:p>
        </w:tc>
      </w:tr>
      <w:tr w:rsidR="00E55018" w:rsidRPr="000267B9" w14:paraId="5F58DFE2" w14:textId="77777777">
        <w:trPr>
          <w:trHeight w:val="500"/>
        </w:trPr>
        <w:tc>
          <w:tcPr>
            <w:tcW w:w="2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F1140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Meta</w:t>
            </w:r>
          </w:p>
        </w:tc>
        <w:tc>
          <w:tcPr>
            <w:tcW w:w="6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5916D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≥ 90%</w:t>
            </w:r>
          </w:p>
        </w:tc>
      </w:tr>
      <w:tr w:rsidR="00E55018" w:rsidRPr="000267B9" w14:paraId="27277331" w14:textId="77777777">
        <w:trPr>
          <w:trHeight w:val="500"/>
        </w:trPr>
        <w:tc>
          <w:tcPr>
            <w:tcW w:w="2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1C068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Umbrales (semáforo)</w:t>
            </w:r>
          </w:p>
        </w:tc>
        <w:tc>
          <w:tcPr>
            <w:tcW w:w="6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F57C8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Verde ≥ 90% | Amarillo 80–90% | Rojo &lt; 80%</w:t>
            </w:r>
          </w:p>
        </w:tc>
      </w:tr>
    </w:tbl>
    <w:p w14:paraId="2F7AE8FB" w14:textId="77777777" w:rsidR="00E55018" w:rsidRPr="000267B9" w:rsidRDefault="00E55018" w:rsidP="000267B9">
      <w:pPr>
        <w:spacing w:after="80" w:line="360" w:lineRule="auto"/>
        <w:jc w:val="center"/>
        <w:rPr>
          <w:rFonts w:ascii="Times New Roman" w:hAnsi="Times New Roman" w:cs="Times New Roman"/>
        </w:rPr>
      </w:pPr>
    </w:p>
    <w:p w14:paraId="1948B848" w14:textId="77777777" w:rsidR="00E55018" w:rsidRPr="000267B9" w:rsidRDefault="002273C7" w:rsidP="000267B9">
      <w:pPr>
        <w:pStyle w:val="Ttulo3"/>
        <w:keepNext w:val="0"/>
        <w:keepLines w:val="0"/>
        <w:spacing w:before="280" w:line="360" w:lineRule="auto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8" w:name="_gamlvcy801n" w:colFirst="0" w:colLast="0"/>
      <w:bookmarkEnd w:id="8"/>
      <w:r w:rsidRPr="000267B9">
        <w:rPr>
          <w:rFonts w:ascii="Times New Roman" w:hAnsi="Times New Roman" w:cs="Times New Roman"/>
          <w:b/>
          <w:color w:val="000000"/>
          <w:sz w:val="26"/>
          <w:szCs w:val="26"/>
        </w:rPr>
        <w:t>Variabilidad promedio del consumo por cliente</w:t>
      </w:r>
    </w:p>
    <w:tbl>
      <w:tblPr>
        <w:tblStyle w:val="a5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03"/>
        <w:gridCol w:w="6422"/>
      </w:tblGrid>
      <w:tr w:rsidR="00E55018" w:rsidRPr="000267B9" w14:paraId="3AF37478" w14:textId="77777777">
        <w:trPr>
          <w:trHeight w:val="770"/>
        </w:trPr>
        <w:tc>
          <w:tcPr>
            <w:tcW w:w="26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2667E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Objetivo estratégico asociado</w:t>
            </w:r>
          </w:p>
        </w:tc>
        <w:tc>
          <w:tcPr>
            <w:tcW w:w="6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2BC6D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Monitorear estabilidad de patrones de consumo</w:t>
            </w:r>
          </w:p>
        </w:tc>
      </w:tr>
      <w:tr w:rsidR="00E55018" w:rsidRPr="000267B9" w14:paraId="7FF501ED" w14:textId="77777777">
        <w:trPr>
          <w:trHeight w:val="770"/>
        </w:trPr>
        <w:tc>
          <w:tcPr>
            <w:tcW w:w="26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7F563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Definición</w:t>
            </w:r>
          </w:p>
        </w:tc>
        <w:tc>
          <w:tcPr>
            <w:tcW w:w="6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DAFFB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Promedio de la desviación estándar del consumo mensual de los clientes respecto a su media</w:t>
            </w:r>
          </w:p>
        </w:tc>
      </w:tr>
      <w:tr w:rsidR="00E55018" w:rsidRPr="000267B9" w14:paraId="6C9107A2" w14:textId="77777777">
        <w:trPr>
          <w:trHeight w:val="500"/>
        </w:trPr>
        <w:tc>
          <w:tcPr>
            <w:tcW w:w="26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7E7D1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Fórmula</w:t>
            </w:r>
          </w:p>
        </w:tc>
        <w:tc>
          <w:tcPr>
            <w:tcW w:w="6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52D8B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Σ σ(Consumo cliente) ÷ # Clientes</w:t>
            </w:r>
          </w:p>
        </w:tc>
      </w:tr>
      <w:tr w:rsidR="00E55018" w:rsidRPr="000267B9" w14:paraId="63D690D5" w14:textId="77777777">
        <w:trPr>
          <w:trHeight w:val="500"/>
        </w:trPr>
        <w:tc>
          <w:tcPr>
            <w:tcW w:w="26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EBF66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Unidad de medida</w:t>
            </w:r>
          </w:p>
        </w:tc>
        <w:tc>
          <w:tcPr>
            <w:tcW w:w="6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1751D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kWh</w:t>
            </w:r>
          </w:p>
        </w:tc>
      </w:tr>
      <w:tr w:rsidR="00E55018" w:rsidRPr="000267B9" w14:paraId="6D354EFF" w14:textId="77777777">
        <w:trPr>
          <w:trHeight w:val="500"/>
        </w:trPr>
        <w:tc>
          <w:tcPr>
            <w:tcW w:w="26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F172B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Frecuencia de medición</w:t>
            </w:r>
          </w:p>
        </w:tc>
        <w:tc>
          <w:tcPr>
            <w:tcW w:w="6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893A7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Trimestral</w:t>
            </w:r>
          </w:p>
        </w:tc>
      </w:tr>
      <w:tr w:rsidR="00E55018" w:rsidRPr="000267B9" w14:paraId="6A104528" w14:textId="77777777">
        <w:trPr>
          <w:trHeight w:val="500"/>
        </w:trPr>
        <w:tc>
          <w:tcPr>
            <w:tcW w:w="26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48AF8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lastRenderedPageBreak/>
              <w:t>Fuente de datos</w:t>
            </w:r>
          </w:p>
        </w:tc>
        <w:tc>
          <w:tcPr>
            <w:tcW w:w="6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4092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HES/MDM, Historial de Consumo</w:t>
            </w:r>
          </w:p>
        </w:tc>
      </w:tr>
      <w:tr w:rsidR="00E55018" w:rsidRPr="000267B9" w14:paraId="00076221" w14:textId="77777777">
        <w:trPr>
          <w:trHeight w:val="500"/>
        </w:trPr>
        <w:tc>
          <w:tcPr>
            <w:tcW w:w="26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9F284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Responsable</w:t>
            </w:r>
          </w:p>
        </w:tc>
        <w:tc>
          <w:tcPr>
            <w:tcW w:w="6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9636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Área Comercial / Analítica Comercial</w:t>
            </w:r>
          </w:p>
        </w:tc>
      </w:tr>
      <w:tr w:rsidR="00E55018" w:rsidRPr="000267B9" w14:paraId="651AE98A" w14:textId="77777777">
        <w:trPr>
          <w:trHeight w:val="500"/>
        </w:trPr>
        <w:tc>
          <w:tcPr>
            <w:tcW w:w="26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C3B32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Meta</w:t>
            </w:r>
          </w:p>
        </w:tc>
        <w:tc>
          <w:tcPr>
            <w:tcW w:w="6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7C846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≤ 10% de variación sobre la media</w:t>
            </w:r>
          </w:p>
        </w:tc>
      </w:tr>
      <w:tr w:rsidR="00E55018" w:rsidRPr="000267B9" w14:paraId="4C8E4525" w14:textId="77777777">
        <w:trPr>
          <w:trHeight w:val="500"/>
        </w:trPr>
        <w:tc>
          <w:tcPr>
            <w:tcW w:w="26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E313E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Umbrales (semáforo)</w:t>
            </w:r>
          </w:p>
        </w:tc>
        <w:tc>
          <w:tcPr>
            <w:tcW w:w="6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3F6C3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Verde ≤ 10% | Amarillo 10–15% | Rojo &gt; 15%</w:t>
            </w:r>
          </w:p>
        </w:tc>
      </w:tr>
    </w:tbl>
    <w:p w14:paraId="08FF8006" w14:textId="77777777" w:rsidR="00E55018" w:rsidRPr="000267B9" w:rsidRDefault="00E55018" w:rsidP="000267B9">
      <w:pPr>
        <w:spacing w:after="80" w:line="360" w:lineRule="auto"/>
        <w:jc w:val="center"/>
        <w:rPr>
          <w:rFonts w:ascii="Times New Roman" w:hAnsi="Times New Roman" w:cs="Times New Roman"/>
        </w:rPr>
      </w:pPr>
    </w:p>
    <w:p w14:paraId="4CDF2904" w14:textId="77777777" w:rsidR="00E55018" w:rsidRPr="000267B9" w:rsidRDefault="002273C7" w:rsidP="000267B9">
      <w:pPr>
        <w:pStyle w:val="Ttulo3"/>
        <w:keepNext w:val="0"/>
        <w:keepLines w:val="0"/>
        <w:spacing w:before="280" w:line="360" w:lineRule="auto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9" w:name="_qtfyaujew4uf" w:colFirst="0" w:colLast="0"/>
      <w:bookmarkEnd w:id="9"/>
      <w:r w:rsidRPr="000267B9">
        <w:rPr>
          <w:rFonts w:ascii="Times New Roman" w:hAnsi="Times New Roman" w:cs="Times New Roman"/>
          <w:b/>
          <w:color w:val="000000"/>
          <w:sz w:val="26"/>
          <w:szCs w:val="26"/>
        </w:rPr>
        <w:t>Índice de reclamos por facturación</w:t>
      </w:r>
    </w:p>
    <w:tbl>
      <w:tblPr>
        <w:tblStyle w:val="a6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01"/>
        <w:gridCol w:w="6524"/>
      </w:tblGrid>
      <w:tr w:rsidR="00E55018" w:rsidRPr="000267B9" w14:paraId="4C283573" w14:textId="77777777">
        <w:trPr>
          <w:trHeight w:val="770"/>
        </w:trPr>
        <w:tc>
          <w:tcPr>
            <w:tcW w:w="2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55931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Objetivo estratégico asociado</w:t>
            </w:r>
          </w:p>
        </w:tc>
        <w:tc>
          <w:tcPr>
            <w:tcW w:w="6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B855E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Reducir la insatisfacción por errores de facturación</w:t>
            </w:r>
          </w:p>
        </w:tc>
      </w:tr>
      <w:tr w:rsidR="00E55018" w:rsidRPr="000267B9" w14:paraId="365AE951" w14:textId="77777777">
        <w:trPr>
          <w:trHeight w:val="770"/>
        </w:trPr>
        <w:tc>
          <w:tcPr>
            <w:tcW w:w="2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74F80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Definición</w:t>
            </w:r>
          </w:p>
        </w:tc>
        <w:tc>
          <w:tcPr>
            <w:tcW w:w="6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1A95B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Porcentaje de clientes que presentan reclamos por facturación respecto al total de clientes facturados</w:t>
            </w:r>
          </w:p>
        </w:tc>
      </w:tr>
      <w:tr w:rsidR="00E55018" w:rsidRPr="000267B9" w14:paraId="02112CF4" w14:textId="77777777">
        <w:trPr>
          <w:trHeight w:val="500"/>
        </w:trPr>
        <w:tc>
          <w:tcPr>
            <w:tcW w:w="2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59992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Fórmula</w:t>
            </w:r>
          </w:p>
        </w:tc>
        <w:tc>
          <w:tcPr>
            <w:tcW w:w="6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16B60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(# Reclamos de facturación ÷ # Clientes facturados) × 100</w:t>
            </w:r>
          </w:p>
        </w:tc>
      </w:tr>
      <w:tr w:rsidR="00E55018" w:rsidRPr="000267B9" w14:paraId="208EE3D1" w14:textId="77777777">
        <w:trPr>
          <w:trHeight w:val="500"/>
        </w:trPr>
        <w:tc>
          <w:tcPr>
            <w:tcW w:w="2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62F68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Unidad de medida</w:t>
            </w:r>
          </w:p>
        </w:tc>
        <w:tc>
          <w:tcPr>
            <w:tcW w:w="6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58D6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%</w:t>
            </w:r>
          </w:p>
        </w:tc>
      </w:tr>
      <w:tr w:rsidR="00E55018" w:rsidRPr="000267B9" w14:paraId="093F3EE5" w14:textId="77777777">
        <w:trPr>
          <w:trHeight w:val="770"/>
        </w:trPr>
        <w:tc>
          <w:tcPr>
            <w:tcW w:w="2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68745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Frecuencia de medición</w:t>
            </w:r>
          </w:p>
        </w:tc>
        <w:tc>
          <w:tcPr>
            <w:tcW w:w="6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01A56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Mensual</w:t>
            </w:r>
          </w:p>
        </w:tc>
      </w:tr>
      <w:tr w:rsidR="00E55018" w:rsidRPr="000267B9" w14:paraId="3FF37D93" w14:textId="77777777">
        <w:trPr>
          <w:trHeight w:val="500"/>
        </w:trPr>
        <w:tc>
          <w:tcPr>
            <w:tcW w:w="2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C8F2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Fuente de datos</w:t>
            </w:r>
          </w:p>
        </w:tc>
        <w:tc>
          <w:tcPr>
            <w:tcW w:w="6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D0C0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Gestión de Reclamos y Correcciones, Sistema de Facturación</w:t>
            </w:r>
          </w:p>
        </w:tc>
      </w:tr>
      <w:tr w:rsidR="00E55018" w:rsidRPr="000267B9" w14:paraId="1E0F97C7" w14:textId="77777777">
        <w:trPr>
          <w:trHeight w:val="500"/>
        </w:trPr>
        <w:tc>
          <w:tcPr>
            <w:tcW w:w="2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5551A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Responsable</w:t>
            </w:r>
          </w:p>
        </w:tc>
        <w:tc>
          <w:tcPr>
            <w:tcW w:w="6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ECB71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Área Comercial / Atención al Cliente</w:t>
            </w:r>
          </w:p>
        </w:tc>
      </w:tr>
      <w:tr w:rsidR="00E55018" w:rsidRPr="000267B9" w14:paraId="7AC36E09" w14:textId="77777777">
        <w:trPr>
          <w:trHeight w:val="500"/>
        </w:trPr>
        <w:tc>
          <w:tcPr>
            <w:tcW w:w="2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E6C15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Meta</w:t>
            </w:r>
          </w:p>
        </w:tc>
        <w:tc>
          <w:tcPr>
            <w:tcW w:w="6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543B7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≤ 2%</w:t>
            </w:r>
          </w:p>
        </w:tc>
      </w:tr>
      <w:tr w:rsidR="00E55018" w:rsidRPr="000267B9" w14:paraId="70668E20" w14:textId="77777777">
        <w:trPr>
          <w:trHeight w:val="500"/>
        </w:trPr>
        <w:tc>
          <w:tcPr>
            <w:tcW w:w="2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15611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Umbrales (semáforo)</w:t>
            </w:r>
          </w:p>
        </w:tc>
        <w:tc>
          <w:tcPr>
            <w:tcW w:w="6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F9B53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Verde ≤ 2% | Amarillo 2–4% | Rojo &gt; 4%</w:t>
            </w:r>
          </w:p>
        </w:tc>
      </w:tr>
    </w:tbl>
    <w:p w14:paraId="29674CB3" w14:textId="77777777" w:rsidR="00E55018" w:rsidRPr="000267B9" w:rsidRDefault="00E55018" w:rsidP="000267B9">
      <w:pPr>
        <w:spacing w:after="80" w:line="360" w:lineRule="auto"/>
        <w:jc w:val="center"/>
        <w:rPr>
          <w:rFonts w:ascii="Times New Roman" w:hAnsi="Times New Roman" w:cs="Times New Roman"/>
        </w:rPr>
      </w:pPr>
    </w:p>
    <w:p w14:paraId="7AF6383B" w14:textId="77777777" w:rsidR="00E55018" w:rsidRPr="000267B9" w:rsidRDefault="002273C7" w:rsidP="000267B9">
      <w:pPr>
        <w:pStyle w:val="Ttulo3"/>
        <w:keepNext w:val="0"/>
        <w:keepLines w:val="0"/>
        <w:spacing w:before="280" w:line="360" w:lineRule="auto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10" w:name="_edvim1aclgts" w:colFirst="0" w:colLast="0"/>
      <w:bookmarkEnd w:id="10"/>
      <w:r w:rsidRPr="000267B9">
        <w:rPr>
          <w:rFonts w:ascii="Times New Roman" w:hAnsi="Times New Roman" w:cs="Times New Roman"/>
          <w:b/>
          <w:color w:val="000000"/>
          <w:sz w:val="26"/>
          <w:szCs w:val="26"/>
        </w:rPr>
        <w:t>Tiempo promedio de regularización de facturación anómala</w:t>
      </w:r>
    </w:p>
    <w:tbl>
      <w:tblPr>
        <w:tblStyle w:val="a7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59"/>
        <w:gridCol w:w="6466"/>
      </w:tblGrid>
      <w:tr w:rsidR="00E55018" w:rsidRPr="000267B9" w14:paraId="40B68AEC" w14:textId="77777777">
        <w:trPr>
          <w:trHeight w:val="77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81B08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Objetivo estratégico asociado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1D573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Resolver discrepancias de facturación sin necesidad de reclamo</w:t>
            </w:r>
          </w:p>
        </w:tc>
      </w:tr>
      <w:tr w:rsidR="00E55018" w:rsidRPr="000267B9" w14:paraId="506BE3A3" w14:textId="77777777">
        <w:trPr>
          <w:trHeight w:val="77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C5A06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lastRenderedPageBreak/>
              <w:t>Definición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66D4D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Tiempo promedio en días para identificar y corregir facturas anómalas detectadas por el sistema</w:t>
            </w:r>
          </w:p>
        </w:tc>
      </w:tr>
      <w:tr w:rsidR="00E55018" w:rsidRPr="000267B9" w14:paraId="11126789" w14:textId="77777777">
        <w:trPr>
          <w:trHeight w:val="50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8B4B0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Fórmula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8A0ED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Σ (Tiempo de corrección) ÷ # Facturas corregidas</w:t>
            </w:r>
          </w:p>
        </w:tc>
      </w:tr>
      <w:tr w:rsidR="00E55018" w:rsidRPr="000267B9" w14:paraId="509B84A9" w14:textId="77777777">
        <w:trPr>
          <w:trHeight w:val="50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AB888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Unidad de medida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5F101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Días</w:t>
            </w:r>
          </w:p>
        </w:tc>
      </w:tr>
      <w:tr w:rsidR="00E55018" w:rsidRPr="000267B9" w14:paraId="4967E693" w14:textId="77777777">
        <w:trPr>
          <w:trHeight w:val="77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D244D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Frecuencia de medición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6A72B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Mensual</w:t>
            </w:r>
          </w:p>
        </w:tc>
      </w:tr>
      <w:tr w:rsidR="00E55018" w:rsidRPr="000267B9" w14:paraId="6DD0D0EA" w14:textId="77777777">
        <w:trPr>
          <w:trHeight w:val="50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579F5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Fuente de datos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47CB4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Sistema de Facturación, Gestión de Reclamos y Correcciones</w:t>
            </w:r>
          </w:p>
        </w:tc>
      </w:tr>
      <w:tr w:rsidR="00E55018" w:rsidRPr="000267B9" w14:paraId="755BB8F7" w14:textId="77777777">
        <w:trPr>
          <w:trHeight w:val="50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BA4CE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Responsable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E6028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Área Comercial / Analítica</w:t>
            </w:r>
          </w:p>
        </w:tc>
      </w:tr>
      <w:tr w:rsidR="00E55018" w:rsidRPr="000267B9" w14:paraId="4DB74ED2" w14:textId="77777777">
        <w:trPr>
          <w:trHeight w:val="50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3E526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Meta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AC1BE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≤ 1 día</w:t>
            </w:r>
          </w:p>
        </w:tc>
      </w:tr>
      <w:tr w:rsidR="00E55018" w:rsidRPr="000267B9" w14:paraId="0AD7E980" w14:textId="77777777">
        <w:trPr>
          <w:trHeight w:val="50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79BFE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Umbrales (semáforo)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8209D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Verde ≤ 1 | Amarillo 1–3 | Rojo &gt; 3</w:t>
            </w:r>
          </w:p>
        </w:tc>
      </w:tr>
    </w:tbl>
    <w:p w14:paraId="18258B66" w14:textId="77777777" w:rsidR="00E55018" w:rsidRPr="000267B9" w:rsidRDefault="00E55018" w:rsidP="000267B9">
      <w:pPr>
        <w:spacing w:after="80" w:line="360" w:lineRule="auto"/>
        <w:jc w:val="center"/>
        <w:rPr>
          <w:rFonts w:ascii="Times New Roman" w:hAnsi="Times New Roman" w:cs="Times New Roman"/>
        </w:rPr>
      </w:pPr>
    </w:p>
    <w:p w14:paraId="73618EDC" w14:textId="77777777" w:rsidR="00E55018" w:rsidRPr="000267B9" w:rsidRDefault="002273C7" w:rsidP="000267B9">
      <w:pPr>
        <w:pStyle w:val="Ttulo3"/>
        <w:keepNext w:val="0"/>
        <w:keepLines w:val="0"/>
        <w:spacing w:before="280" w:line="360" w:lineRule="auto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11" w:name="_oc7ntil0nq2j" w:colFirst="0" w:colLast="0"/>
      <w:bookmarkEnd w:id="11"/>
      <w:r w:rsidRPr="000267B9">
        <w:rPr>
          <w:rFonts w:ascii="Times New Roman" w:hAnsi="Times New Roman" w:cs="Times New Roman"/>
          <w:b/>
          <w:color w:val="000000"/>
          <w:sz w:val="26"/>
          <w:szCs w:val="26"/>
        </w:rPr>
        <w:t>Índice de notificación oportuna de cortes programados</w:t>
      </w:r>
    </w:p>
    <w:tbl>
      <w:tblPr>
        <w:tblStyle w:val="a8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06"/>
        <w:gridCol w:w="6319"/>
      </w:tblGrid>
      <w:tr w:rsidR="00E55018" w:rsidRPr="000267B9" w14:paraId="4397B992" w14:textId="77777777">
        <w:trPr>
          <w:trHeight w:val="770"/>
        </w:trPr>
        <w:tc>
          <w:tcPr>
            <w:tcW w:w="27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280B7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Objetivo estratégico asociado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0AA72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Mejorar la comunicación con los clientes</w:t>
            </w:r>
          </w:p>
        </w:tc>
      </w:tr>
      <w:tr w:rsidR="00E55018" w:rsidRPr="000267B9" w14:paraId="255D89A6" w14:textId="77777777">
        <w:trPr>
          <w:trHeight w:val="770"/>
        </w:trPr>
        <w:tc>
          <w:tcPr>
            <w:tcW w:w="27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6F965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Definición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A6BFC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Porcentaje de clientes notificados al menos 24 horas antes de un corte programado</w:t>
            </w:r>
          </w:p>
        </w:tc>
      </w:tr>
      <w:tr w:rsidR="00E55018" w:rsidRPr="000267B9" w14:paraId="0B8A756D" w14:textId="77777777">
        <w:trPr>
          <w:trHeight w:val="770"/>
        </w:trPr>
        <w:tc>
          <w:tcPr>
            <w:tcW w:w="27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67CC0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Fórmula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C8441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(# Clientes notificados oportunamente ÷ # Total de clientes afectados) × 100</w:t>
            </w:r>
          </w:p>
        </w:tc>
      </w:tr>
      <w:tr w:rsidR="00E55018" w:rsidRPr="000267B9" w14:paraId="63CC7940" w14:textId="77777777">
        <w:trPr>
          <w:trHeight w:val="500"/>
        </w:trPr>
        <w:tc>
          <w:tcPr>
            <w:tcW w:w="27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798D5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Unidad de medida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F131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%</w:t>
            </w:r>
          </w:p>
        </w:tc>
      </w:tr>
      <w:tr w:rsidR="00E55018" w:rsidRPr="000267B9" w14:paraId="67183929" w14:textId="77777777">
        <w:trPr>
          <w:trHeight w:val="500"/>
        </w:trPr>
        <w:tc>
          <w:tcPr>
            <w:tcW w:w="27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47DEB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Frecuencia de medición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F68E6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Mensual</w:t>
            </w:r>
          </w:p>
        </w:tc>
      </w:tr>
      <w:tr w:rsidR="00E55018" w:rsidRPr="000267B9" w14:paraId="4E20788C" w14:textId="77777777">
        <w:trPr>
          <w:trHeight w:val="500"/>
        </w:trPr>
        <w:tc>
          <w:tcPr>
            <w:tcW w:w="27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5D288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Fuente de datos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A6FD1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OMS – Interrupciones, Sistema de Comunicaciones</w:t>
            </w:r>
          </w:p>
        </w:tc>
      </w:tr>
      <w:tr w:rsidR="00E55018" w:rsidRPr="000267B9" w14:paraId="59A6D499" w14:textId="77777777">
        <w:trPr>
          <w:trHeight w:val="500"/>
        </w:trPr>
        <w:tc>
          <w:tcPr>
            <w:tcW w:w="27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D619C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Responsable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673D7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Área Comercial / Comunicaciones</w:t>
            </w:r>
          </w:p>
        </w:tc>
      </w:tr>
      <w:tr w:rsidR="00E55018" w:rsidRPr="000267B9" w14:paraId="58185CA4" w14:textId="77777777">
        <w:trPr>
          <w:trHeight w:val="500"/>
        </w:trPr>
        <w:tc>
          <w:tcPr>
            <w:tcW w:w="27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6D516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lastRenderedPageBreak/>
              <w:t>Meta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98F3A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≥ 95%</w:t>
            </w:r>
          </w:p>
        </w:tc>
      </w:tr>
      <w:tr w:rsidR="00E55018" w:rsidRPr="000267B9" w14:paraId="2F28176C" w14:textId="77777777">
        <w:trPr>
          <w:trHeight w:val="500"/>
        </w:trPr>
        <w:tc>
          <w:tcPr>
            <w:tcW w:w="27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6DEBD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Umbrales (semáforo)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BDD5D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Verde ≥ 95% | Amarillo 90–95% | Rojo &lt; 90%</w:t>
            </w:r>
          </w:p>
        </w:tc>
      </w:tr>
    </w:tbl>
    <w:p w14:paraId="30174D85" w14:textId="77777777" w:rsidR="00E55018" w:rsidRPr="000267B9" w:rsidRDefault="00E55018" w:rsidP="000267B9">
      <w:pPr>
        <w:spacing w:after="80" w:line="360" w:lineRule="auto"/>
        <w:jc w:val="center"/>
        <w:rPr>
          <w:rFonts w:ascii="Times New Roman" w:hAnsi="Times New Roman" w:cs="Times New Roman"/>
        </w:rPr>
      </w:pPr>
    </w:p>
    <w:p w14:paraId="0905C581" w14:textId="77777777" w:rsidR="00E55018" w:rsidRPr="000267B9" w:rsidRDefault="002273C7" w:rsidP="000267B9">
      <w:pPr>
        <w:pStyle w:val="Ttulo3"/>
        <w:keepNext w:val="0"/>
        <w:keepLines w:val="0"/>
        <w:spacing w:before="280" w:line="360" w:lineRule="auto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12" w:name="_omn6fxjhnpm6" w:colFirst="0" w:colLast="0"/>
      <w:bookmarkEnd w:id="12"/>
      <w:r w:rsidRPr="000267B9">
        <w:rPr>
          <w:rFonts w:ascii="Times New Roman" w:hAnsi="Times New Roman" w:cs="Times New Roman"/>
          <w:b/>
          <w:color w:val="000000"/>
          <w:sz w:val="26"/>
          <w:szCs w:val="26"/>
        </w:rPr>
        <w:t>Tasa de morosidad en facturación anómala</w:t>
      </w:r>
    </w:p>
    <w:tbl>
      <w:tblPr>
        <w:tblStyle w:val="a9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65"/>
        <w:gridCol w:w="6260"/>
      </w:tblGrid>
      <w:tr w:rsidR="00E55018" w:rsidRPr="000267B9" w14:paraId="55736D24" w14:textId="77777777">
        <w:trPr>
          <w:trHeight w:val="770"/>
        </w:trPr>
        <w:tc>
          <w:tcPr>
            <w:tcW w:w="2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6A5B4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Objetivo estratégico asociado</w:t>
            </w:r>
          </w:p>
        </w:tc>
        <w:tc>
          <w:tcPr>
            <w:tcW w:w="6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FBAF1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Reducir riesgo financiero por impagos en clientes con facturación irregular</w:t>
            </w:r>
          </w:p>
        </w:tc>
      </w:tr>
      <w:tr w:rsidR="00E55018" w:rsidRPr="000267B9" w14:paraId="56CEEE1C" w14:textId="77777777">
        <w:trPr>
          <w:trHeight w:val="770"/>
        </w:trPr>
        <w:tc>
          <w:tcPr>
            <w:tcW w:w="2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EE3C1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Definición</w:t>
            </w:r>
          </w:p>
        </w:tc>
        <w:tc>
          <w:tcPr>
            <w:tcW w:w="6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44F9C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Porcentaje de facturas vencidas en clientes con consumos o facturación atípica</w:t>
            </w:r>
          </w:p>
        </w:tc>
      </w:tr>
      <w:tr w:rsidR="00E55018" w:rsidRPr="000267B9" w14:paraId="3321B8C8" w14:textId="77777777">
        <w:trPr>
          <w:trHeight w:val="770"/>
        </w:trPr>
        <w:tc>
          <w:tcPr>
            <w:tcW w:w="2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18B3A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Fórmula</w:t>
            </w:r>
          </w:p>
        </w:tc>
        <w:tc>
          <w:tcPr>
            <w:tcW w:w="6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70EDA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(# Facturas vencidas en consumos anómalos ÷ # Facturas totales) × 100</w:t>
            </w:r>
          </w:p>
        </w:tc>
      </w:tr>
      <w:tr w:rsidR="00E55018" w:rsidRPr="000267B9" w14:paraId="68B7AB46" w14:textId="77777777">
        <w:trPr>
          <w:trHeight w:val="500"/>
        </w:trPr>
        <w:tc>
          <w:tcPr>
            <w:tcW w:w="2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AA69A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Unidad de medida</w:t>
            </w:r>
          </w:p>
        </w:tc>
        <w:tc>
          <w:tcPr>
            <w:tcW w:w="6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6228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%</w:t>
            </w:r>
          </w:p>
        </w:tc>
      </w:tr>
      <w:tr w:rsidR="00E55018" w:rsidRPr="000267B9" w14:paraId="0EED7972" w14:textId="77777777">
        <w:trPr>
          <w:trHeight w:val="500"/>
        </w:trPr>
        <w:tc>
          <w:tcPr>
            <w:tcW w:w="2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27D8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Frecuencia de medición</w:t>
            </w:r>
          </w:p>
        </w:tc>
        <w:tc>
          <w:tcPr>
            <w:tcW w:w="6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6DA31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Mensual</w:t>
            </w:r>
          </w:p>
        </w:tc>
      </w:tr>
      <w:tr w:rsidR="00E55018" w:rsidRPr="000267B9" w14:paraId="269378CF" w14:textId="77777777">
        <w:trPr>
          <w:trHeight w:val="500"/>
        </w:trPr>
        <w:tc>
          <w:tcPr>
            <w:tcW w:w="2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8D69E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Fuente de datos</w:t>
            </w:r>
          </w:p>
        </w:tc>
        <w:tc>
          <w:tcPr>
            <w:tcW w:w="6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E3AD3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Sistema de Facturación, Sistema de Cobranzas, HES/MDM</w:t>
            </w:r>
          </w:p>
        </w:tc>
      </w:tr>
      <w:tr w:rsidR="00E55018" w:rsidRPr="000267B9" w14:paraId="5EC17036" w14:textId="77777777">
        <w:trPr>
          <w:trHeight w:val="500"/>
        </w:trPr>
        <w:tc>
          <w:tcPr>
            <w:tcW w:w="2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E73F8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Responsable</w:t>
            </w:r>
          </w:p>
        </w:tc>
        <w:tc>
          <w:tcPr>
            <w:tcW w:w="6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3B19C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Área Comercial / Cobranzas</w:t>
            </w:r>
          </w:p>
        </w:tc>
      </w:tr>
      <w:tr w:rsidR="00E55018" w:rsidRPr="000267B9" w14:paraId="7387C687" w14:textId="77777777">
        <w:trPr>
          <w:trHeight w:val="500"/>
        </w:trPr>
        <w:tc>
          <w:tcPr>
            <w:tcW w:w="2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A9D7C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Meta</w:t>
            </w:r>
          </w:p>
        </w:tc>
        <w:tc>
          <w:tcPr>
            <w:tcW w:w="6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87E07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≤ 2%</w:t>
            </w:r>
          </w:p>
        </w:tc>
      </w:tr>
      <w:tr w:rsidR="00E55018" w:rsidRPr="000267B9" w14:paraId="42526027" w14:textId="77777777">
        <w:trPr>
          <w:trHeight w:val="500"/>
        </w:trPr>
        <w:tc>
          <w:tcPr>
            <w:tcW w:w="2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83024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Umbrales (semáforo)</w:t>
            </w:r>
          </w:p>
        </w:tc>
        <w:tc>
          <w:tcPr>
            <w:tcW w:w="6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B9BBD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Verde ≤ 2% | Amarillo 2–5% | Rojo &gt; 5%</w:t>
            </w:r>
          </w:p>
        </w:tc>
      </w:tr>
    </w:tbl>
    <w:p w14:paraId="6D3F7E60" w14:textId="77777777" w:rsidR="00E55018" w:rsidRPr="000267B9" w:rsidRDefault="00E55018" w:rsidP="000267B9">
      <w:pPr>
        <w:spacing w:after="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E00A48" w14:textId="77777777" w:rsidR="00E55018" w:rsidRPr="000267B9" w:rsidRDefault="002273C7" w:rsidP="000267B9">
      <w:pPr>
        <w:pStyle w:val="Ttulo2"/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bookmarkStart w:id="13" w:name="_7u29v2ehrop0" w:colFirst="0" w:colLast="0"/>
      <w:bookmarkEnd w:id="13"/>
      <w:r w:rsidRPr="000267B9">
        <w:rPr>
          <w:rFonts w:ascii="Times New Roman" w:hAnsi="Times New Roman" w:cs="Times New Roman"/>
          <w:sz w:val="24"/>
          <w:szCs w:val="24"/>
        </w:rPr>
        <w:t>1.3. Modelo Conceptual Preliminar</w:t>
      </w:r>
    </w:p>
    <w:p w14:paraId="28F74B18" w14:textId="77777777" w:rsidR="00E55018" w:rsidRPr="000267B9" w:rsidRDefault="002273C7" w:rsidP="000267B9">
      <w:p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ab/>
      </w:r>
      <w:r w:rsidRPr="000267B9">
        <w:rPr>
          <w:rFonts w:ascii="Times New Roman" w:hAnsi="Times New Roman" w:cs="Times New Roman"/>
        </w:rPr>
        <w:tab/>
        <w:t>1.3.1. Tablas de Dimensiones</w:t>
      </w:r>
    </w:p>
    <w:p w14:paraId="32089084" w14:textId="77777777" w:rsidR="00E55018" w:rsidRPr="000267B9" w:rsidRDefault="00E55018" w:rsidP="000267B9">
      <w:pPr>
        <w:spacing w:line="360" w:lineRule="auto"/>
        <w:rPr>
          <w:rFonts w:ascii="Times New Roman" w:hAnsi="Times New Roman" w:cs="Times New Roman"/>
        </w:rPr>
      </w:pPr>
    </w:p>
    <w:p w14:paraId="0D9CE5A8" w14:textId="77777777" w:rsidR="00E55018" w:rsidRPr="000267B9" w:rsidRDefault="002273C7" w:rsidP="000267B9">
      <w:p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ab/>
      </w:r>
      <w:r w:rsidRPr="000267B9">
        <w:rPr>
          <w:rFonts w:ascii="Times New Roman" w:hAnsi="Times New Roman" w:cs="Times New Roman"/>
        </w:rPr>
        <w:tab/>
      </w:r>
      <w:r w:rsidRPr="000267B9">
        <w:rPr>
          <w:rFonts w:ascii="Times New Roman" w:hAnsi="Times New Roman" w:cs="Times New Roman"/>
        </w:rPr>
        <w:tab/>
        <w:t xml:space="preserve">1.3.1.1. </w:t>
      </w:r>
      <w:proofErr w:type="spellStart"/>
      <w:r w:rsidRPr="000267B9">
        <w:rPr>
          <w:rFonts w:ascii="Times New Roman" w:hAnsi="Times New Roman" w:cs="Times New Roman"/>
        </w:rPr>
        <w:t>Dim_Concepto</w:t>
      </w:r>
      <w:proofErr w:type="spellEnd"/>
    </w:p>
    <w:p w14:paraId="57231F5E" w14:textId="77777777" w:rsidR="00E55018" w:rsidRPr="000267B9" w:rsidRDefault="00E55018" w:rsidP="000267B9">
      <w:pPr>
        <w:spacing w:line="360" w:lineRule="auto"/>
        <w:rPr>
          <w:rFonts w:ascii="Times New Roman" w:hAnsi="Times New Roman" w:cs="Times New Roman"/>
        </w:rPr>
      </w:pPr>
    </w:p>
    <w:p w14:paraId="797741F8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 xml:space="preserve">Utilidad general: lista y clasifica los conceptos facturados (energéticos, no energéticos, impuestos). </w:t>
      </w:r>
    </w:p>
    <w:p w14:paraId="6F2ACBB7" w14:textId="77777777" w:rsidR="00E55018" w:rsidRPr="000267B9" w:rsidRDefault="00E55018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</w:p>
    <w:p w14:paraId="57D618CD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 xml:space="preserve">En el contexto: permite calcular la proporción de cargos no energéticos en la factura, asegurando transparencia y evitando percepciones de </w:t>
      </w:r>
      <w:proofErr w:type="spellStart"/>
      <w:r w:rsidRPr="000267B9">
        <w:rPr>
          <w:rFonts w:ascii="Times New Roman" w:hAnsi="Times New Roman" w:cs="Times New Roman"/>
        </w:rPr>
        <w:t>sobrecobro</w:t>
      </w:r>
      <w:proofErr w:type="spellEnd"/>
      <w:r w:rsidRPr="000267B9">
        <w:rPr>
          <w:rFonts w:ascii="Times New Roman" w:hAnsi="Times New Roman" w:cs="Times New Roman"/>
        </w:rPr>
        <w:t>. También ayuda a separar el IGV y a auditar subsidios o peajes según normativa vigente.</w:t>
      </w:r>
    </w:p>
    <w:p w14:paraId="4B824AE9" w14:textId="77777777" w:rsidR="00E55018" w:rsidRPr="000267B9" w:rsidRDefault="002273C7" w:rsidP="000267B9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71A2E494" wp14:editId="1127FD2D">
            <wp:extent cx="4762500" cy="1590675"/>
            <wp:effectExtent l="0" t="0" r="0" b="0"/>
            <wp:docPr id="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80AFB3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43E144D0" w14:textId="77777777" w:rsidR="00E55018" w:rsidRPr="000267B9" w:rsidRDefault="002273C7" w:rsidP="000267B9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ab/>
        <w:t xml:space="preserve">1.3.1.2. </w:t>
      </w:r>
      <w:proofErr w:type="spellStart"/>
      <w:r w:rsidRPr="000267B9">
        <w:rPr>
          <w:rFonts w:ascii="Times New Roman" w:hAnsi="Times New Roman" w:cs="Times New Roman"/>
        </w:rPr>
        <w:t>Dim_Segmento</w:t>
      </w:r>
      <w:proofErr w:type="spellEnd"/>
    </w:p>
    <w:p w14:paraId="3419B0C9" w14:textId="77777777" w:rsidR="00E55018" w:rsidRPr="000267B9" w:rsidRDefault="002273C7" w:rsidP="000267B9">
      <w:pPr>
        <w:spacing w:before="240" w:after="240"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Utilidad general: clasifica clientes en grupos (residencial, comercial, industrial).</w:t>
      </w:r>
    </w:p>
    <w:p w14:paraId="589FE4F6" w14:textId="77777777" w:rsidR="00E55018" w:rsidRPr="000267B9" w:rsidRDefault="002273C7" w:rsidP="000267B9">
      <w:pPr>
        <w:spacing w:before="240" w:after="240"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En el contexto: posibilita aplicar umbrales distintos de anomalía (θ o z-score) según el segmento, porque no se mide igual un hogar que una industria. Además, ayuda a enfocar esfuerzos en segmentos con mayor impacto económico (ej. morosidad en comerciales grandes).</w:t>
      </w:r>
    </w:p>
    <w:p w14:paraId="091F9853" w14:textId="77777777" w:rsidR="00E55018" w:rsidRPr="000267B9" w:rsidRDefault="002273C7" w:rsidP="000267B9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4628611E" wp14:editId="16229777">
            <wp:extent cx="3762375" cy="1990725"/>
            <wp:effectExtent l="0" t="0" r="0" b="0"/>
            <wp:docPr id="2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234B4C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110C5D5B" w14:textId="77777777" w:rsidR="00E55018" w:rsidRPr="000267B9" w:rsidRDefault="002273C7" w:rsidP="000267B9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ab/>
        <w:t xml:space="preserve">1.3.1.3. </w:t>
      </w:r>
      <w:proofErr w:type="spellStart"/>
      <w:r w:rsidRPr="000267B9">
        <w:rPr>
          <w:rFonts w:ascii="Times New Roman" w:hAnsi="Times New Roman" w:cs="Times New Roman"/>
        </w:rPr>
        <w:t>Dim_Tarifa</w:t>
      </w:r>
      <w:proofErr w:type="spellEnd"/>
    </w:p>
    <w:p w14:paraId="22662F1F" w14:textId="77777777" w:rsidR="00E55018" w:rsidRPr="000267B9" w:rsidRDefault="002273C7" w:rsidP="000267B9">
      <w:pPr>
        <w:spacing w:before="240" w:after="240"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Utilidad general: describe el marco tarifario (BT, MT, AT, categoría, estructura).</w:t>
      </w:r>
    </w:p>
    <w:p w14:paraId="452A818B" w14:textId="77777777" w:rsidR="00E55018" w:rsidRPr="000267B9" w:rsidRDefault="002273C7" w:rsidP="000267B9">
      <w:pPr>
        <w:spacing w:before="240" w:after="240"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lastRenderedPageBreak/>
        <w:t>En el contexto: permite calcular la Facturación Teórica (FT) con base en los pliegos regulatorios y comparar con la Facturación Real (FR). Así se cuantifican divergencias de manera justa según el tipo de cliente y vigencia del pliego.</w:t>
      </w:r>
    </w:p>
    <w:p w14:paraId="0AB87DB4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62BB0B73" w14:textId="77777777" w:rsidR="00E55018" w:rsidRPr="000267B9" w:rsidRDefault="002273C7" w:rsidP="000267B9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4819625B" wp14:editId="10DF2AC2">
            <wp:extent cx="4905375" cy="219075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B3294C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40441F60" w14:textId="77777777" w:rsidR="00E55018" w:rsidRPr="000267B9" w:rsidRDefault="002273C7" w:rsidP="000267B9">
      <w:pPr>
        <w:spacing w:line="360" w:lineRule="auto"/>
        <w:ind w:left="144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 xml:space="preserve">1.3.1.4. </w:t>
      </w:r>
      <w:proofErr w:type="spellStart"/>
      <w:r w:rsidRPr="000267B9">
        <w:rPr>
          <w:rFonts w:ascii="Times New Roman" w:hAnsi="Times New Roman" w:cs="Times New Roman"/>
        </w:rPr>
        <w:t>Dim_Suministro</w:t>
      </w:r>
      <w:proofErr w:type="spellEnd"/>
    </w:p>
    <w:p w14:paraId="10748CC1" w14:textId="77777777" w:rsidR="00E55018" w:rsidRPr="000267B9" w:rsidRDefault="002273C7" w:rsidP="000267B9">
      <w:pPr>
        <w:spacing w:before="240" w:after="240"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Utilidad general: identifica el punto de suministro (cliente, contrato, medidor, dirección).</w:t>
      </w:r>
    </w:p>
    <w:p w14:paraId="62488AA6" w14:textId="77777777" w:rsidR="00E55018" w:rsidRPr="000267B9" w:rsidRDefault="002273C7" w:rsidP="000267B9">
      <w:pPr>
        <w:spacing w:before="240" w:after="240"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En el contexto: es la llave para detectar anomalías a nivel individual (ej. divergencia en una factura específica), vincular reclamos con el suministro afectado y distinguir patrones de fraude, lecturas estimadas o clientes reincidentes en problemas.</w:t>
      </w:r>
    </w:p>
    <w:p w14:paraId="13FBE789" w14:textId="77777777" w:rsidR="00E55018" w:rsidRPr="000267B9" w:rsidRDefault="002273C7" w:rsidP="000267B9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5C7804F4" wp14:editId="0362F27D">
            <wp:extent cx="5731200" cy="26924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267B9">
        <w:rPr>
          <w:rFonts w:ascii="Times New Roman" w:hAnsi="Times New Roman" w:cs="Times New Roman"/>
        </w:rPr>
        <w:tab/>
      </w:r>
      <w:r w:rsidRPr="000267B9">
        <w:rPr>
          <w:rFonts w:ascii="Times New Roman" w:hAnsi="Times New Roman" w:cs="Times New Roman"/>
        </w:rPr>
        <w:tab/>
      </w:r>
    </w:p>
    <w:p w14:paraId="41EE3575" w14:textId="77777777" w:rsidR="00E55018" w:rsidRPr="000267B9" w:rsidRDefault="002273C7" w:rsidP="000267B9">
      <w:pPr>
        <w:spacing w:line="360" w:lineRule="auto"/>
        <w:ind w:left="144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 xml:space="preserve">1.3.1.5. </w:t>
      </w:r>
      <w:proofErr w:type="spellStart"/>
      <w:r w:rsidRPr="000267B9">
        <w:rPr>
          <w:rFonts w:ascii="Times New Roman" w:hAnsi="Times New Roman" w:cs="Times New Roman"/>
        </w:rPr>
        <w:t>Dim_SucursalSector</w:t>
      </w:r>
      <w:proofErr w:type="spellEnd"/>
    </w:p>
    <w:p w14:paraId="6A85964E" w14:textId="77777777" w:rsidR="00E55018" w:rsidRPr="000267B9" w:rsidRDefault="002273C7" w:rsidP="000267B9">
      <w:pPr>
        <w:spacing w:before="240" w:after="240"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Utilidad general: ubica el suministro en la organización geográfica/comercial (empresa, sucursal, sector, zona).</w:t>
      </w:r>
    </w:p>
    <w:p w14:paraId="21E40F25" w14:textId="77777777" w:rsidR="00E55018" w:rsidRPr="000267B9" w:rsidRDefault="002273C7" w:rsidP="000267B9">
      <w:pPr>
        <w:spacing w:before="240" w:after="240"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En el contexto: sirve para identificar zonas críticas con alta concentración de divergencias, morosidad o cortes mal notificados. Facilita priorizar la gestión operativa en áreas con más reclamos o pérdidas.</w:t>
      </w:r>
    </w:p>
    <w:p w14:paraId="4525CBFE" w14:textId="77777777" w:rsidR="00E55018" w:rsidRPr="000267B9" w:rsidRDefault="002273C7" w:rsidP="000267B9">
      <w:pPr>
        <w:spacing w:before="240" w:after="240"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05FD63D4" wp14:editId="64EB7B41">
            <wp:extent cx="1952625" cy="21907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0FA909" w14:textId="77777777" w:rsidR="00E55018" w:rsidRPr="000267B9" w:rsidRDefault="002273C7" w:rsidP="000267B9">
      <w:pPr>
        <w:spacing w:line="360" w:lineRule="auto"/>
        <w:ind w:left="144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 xml:space="preserve">1.3.1.6. </w:t>
      </w:r>
      <w:proofErr w:type="spellStart"/>
      <w:r w:rsidRPr="000267B9">
        <w:rPr>
          <w:rFonts w:ascii="Times New Roman" w:hAnsi="Times New Roman" w:cs="Times New Roman"/>
        </w:rPr>
        <w:t>Dim_Tiempo</w:t>
      </w:r>
      <w:proofErr w:type="spellEnd"/>
    </w:p>
    <w:p w14:paraId="31D4AF56" w14:textId="77777777" w:rsidR="00E55018" w:rsidRPr="000267B9" w:rsidRDefault="002273C7" w:rsidP="000267B9">
      <w:pPr>
        <w:spacing w:before="240" w:after="240"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Utilidad general: organizar los hechos por periodos (mes, trimestre, año, vigencia tarifaria).</w:t>
      </w:r>
    </w:p>
    <w:p w14:paraId="475753C1" w14:textId="77777777" w:rsidR="00E55018" w:rsidRPr="000267B9" w:rsidRDefault="002273C7" w:rsidP="000267B9">
      <w:pPr>
        <w:spacing w:before="240" w:after="240"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eastAsia="Arial Unicode MS" w:hAnsi="Times New Roman" w:cs="Times New Roman"/>
        </w:rPr>
        <w:lastRenderedPageBreak/>
        <w:t>En el contexto: permite comparar facturación teórica vs real en cortes mensuales, medir evolución de consumos anómalos en ventanas de 12 meses, y verificar cumplimiento de notificación de cortes (≥24h/48h) dentro del periodo correcto.</w:t>
      </w:r>
    </w:p>
    <w:p w14:paraId="7C34E0F6" w14:textId="77777777" w:rsidR="00E55018" w:rsidRPr="000267B9" w:rsidRDefault="002273C7" w:rsidP="000267B9">
      <w:pPr>
        <w:spacing w:before="240" w:after="240"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38E45224" wp14:editId="2A300DA4">
            <wp:extent cx="3267075" cy="2009775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A73302" w14:textId="77777777" w:rsidR="00E55018" w:rsidRPr="000267B9" w:rsidRDefault="002273C7" w:rsidP="000267B9">
      <w:pPr>
        <w:spacing w:line="360" w:lineRule="auto"/>
        <w:ind w:left="144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 xml:space="preserve">1.3.1.7. </w:t>
      </w:r>
      <w:proofErr w:type="spellStart"/>
      <w:r w:rsidRPr="000267B9">
        <w:rPr>
          <w:rFonts w:ascii="Times New Roman" w:hAnsi="Times New Roman" w:cs="Times New Roman"/>
        </w:rPr>
        <w:t>Dim_EventoCorte</w:t>
      </w:r>
      <w:proofErr w:type="spellEnd"/>
    </w:p>
    <w:p w14:paraId="105C8E19" w14:textId="77777777" w:rsidR="00E55018" w:rsidRPr="000267B9" w:rsidRDefault="002273C7" w:rsidP="000267B9">
      <w:pPr>
        <w:spacing w:before="240" w:after="240"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Utilidad general: describe eventos de interrupción (programados o fortuitos, zona, motivo, umbral de notificación).</w:t>
      </w:r>
    </w:p>
    <w:p w14:paraId="49C41BAA" w14:textId="77777777" w:rsidR="00E55018" w:rsidRPr="000267B9" w:rsidRDefault="002273C7" w:rsidP="000267B9">
      <w:pPr>
        <w:spacing w:before="240" w:after="240"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eastAsia="Arial Unicode MS" w:hAnsi="Times New Roman" w:cs="Times New Roman"/>
        </w:rPr>
        <w:t>En el contexto: posibilita medir si se cumplió con avisar a los clientes dentro del plazo regulatorio (≥24h/48h). También sirve para correlacionar interrupciones con reclamos posteriores y medir satisfacción del cliente en la gestión de cortes.</w:t>
      </w:r>
    </w:p>
    <w:p w14:paraId="036626A6" w14:textId="77777777" w:rsidR="00E55018" w:rsidRPr="000267B9" w:rsidRDefault="002273C7" w:rsidP="000267B9">
      <w:pPr>
        <w:spacing w:line="360" w:lineRule="auto"/>
        <w:ind w:left="144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108808E6" wp14:editId="4DCA1B7F">
            <wp:extent cx="4448175" cy="22479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E55246" w14:textId="77777777" w:rsidR="00E55018" w:rsidRPr="000267B9" w:rsidRDefault="00E55018" w:rsidP="000267B9">
      <w:pPr>
        <w:spacing w:line="360" w:lineRule="auto"/>
        <w:ind w:left="1440" w:firstLine="720"/>
        <w:rPr>
          <w:rFonts w:ascii="Times New Roman" w:hAnsi="Times New Roman" w:cs="Times New Roman"/>
        </w:rPr>
      </w:pPr>
    </w:p>
    <w:p w14:paraId="78920218" w14:textId="77777777" w:rsidR="00E55018" w:rsidRPr="000267B9" w:rsidRDefault="002273C7" w:rsidP="000267B9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1.3.2. Tablas de Hechos</w:t>
      </w:r>
    </w:p>
    <w:p w14:paraId="14675B8B" w14:textId="77777777" w:rsidR="00E55018" w:rsidRPr="000267B9" w:rsidRDefault="002273C7" w:rsidP="000267B9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ab/>
        <w:t xml:space="preserve">1.3.2.1. </w:t>
      </w:r>
      <w:proofErr w:type="spellStart"/>
      <w:r w:rsidRPr="000267B9">
        <w:rPr>
          <w:rFonts w:ascii="Times New Roman" w:hAnsi="Times New Roman" w:cs="Times New Roman"/>
        </w:rPr>
        <w:t>Hecho_Facturación</w:t>
      </w:r>
      <w:proofErr w:type="spellEnd"/>
    </w:p>
    <w:p w14:paraId="5C2F9612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289D21AF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lastRenderedPageBreak/>
        <w:t>Utilidad general: almacena cada factura emitida con sus importes, consumos y conceptos cobrados.</w:t>
      </w:r>
    </w:p>
    <w:p w14:paraId="2F21F4B1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44B4F408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En el contexto: Es la base para calcular la divergencia entre Facturación Real (FR) y Teórica (FT), excluyendo IGV.</w:t>
      </w:r>
    </w:p>
    <w:p w14:paraId="6D02A68D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19BC72A6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Permite desagregar importes en energéticos vs no energéticos, para transparencia y auditoría regulatoria.</w:t>
      </w:r>
    </w:p>
    <w:p w14:paraId="6D8714DB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72380B7E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 xml:space="preserve">Da visibilidad al detalle por concepto (ej. alumbrado, reconexión, subsidios) gracias a la relación con </w:t>
      </w:r>
      <w:proofErr w:type="spellStart"/>
      <w:r w:rsidRPr="000267B9">
        <w:rPr>
          <w:rFonts w:ascii="Times New Roman" w:hAnsi="Times New Roman" w:cs="Times New Roman"/>
        </w:rPr>
        <w:t>Dim_Concepto</w:t>
      </w:r>
      <w:proofErr w:type="spellEnd"/>
      <w:r w:rsidRPr="000267B9">
        <w:rPr>
          <w:rFonts w:ascii="Times New Roman" w:hAnsi="Times New Roman" w:cs="Times New Roman"/>
        </w:rPr>
        <w:t>.</w:t>
      </w:r>
    </w:p>
    <w:p w14:paraId="6B1DDD60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73C2AEC6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Permite ver el impacto económico directo de anomalías detectadas en consumos.</w:t>
      </w:r>
    </w:p>
    <w:p w14:paraId="0EB7C85C" w14:textId="77777777" w:rsidR="00E55018" w:rsidRPr="000267B9" w:rsidRDefault="00E55018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</w:p>
    <w:p w14:paraId="3B8E3096" w14:textId="77777777" w:rsidR="00E55018" w:rsidRPr="000267B9" w:rsidRDefault="002273C7" w:rsidP="000267B9">
      <w:pPr>
        <w:spacing w:line="360" w:lineRule="auto"/>
        <w:ind w:left="216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5D8DBCF6" wp14:editId="219723CD">
            <wp:extent cx="4153517" cy="3663651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3517" cy="36636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AC90D" w14:textId="77777777" w:rsidR="00E55018" w:rsidRPr="000267B9" w:rsidRDefault="00E55018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</w:p>
    <w:p w14:paraId="422FDA67" w14:textId="77777777" w:rsidR="00E55018" w:rsidRPr="000267B9" w:rsidRDefault="002273C7" w:rsidP="000267B9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ab/>
        <w:t xml:space="preserve">1.3.2.2. </w:t>
      </w:r>
      <w:proofErr w:type="spellStart"/>
      <w:r w:rsidRPr="000267B9">
        <w:rPr>
          <w:rFonts w:ascii="Times New Roman" w:hAnsi="Times New Roman" w:cs="Times New Roman"/>
        </w:rPr>
        <w:t>Hecho_Consumo</w:t>
      </w:r>
      <w:proofErr w:type="spellEnd"/>
    </w:p>
    <w:p w14:paraId="40DA83B9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19FC360A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 xml:space="preserve">Utilidad general: registra la energía medida en los medidores (kWh, </w:t>
      </w:r>
      <w:proofErr w:type="spellStart"/>
      <w:r w:rsidRPr="000267B9">
        <w:rPr>
          <w:rFonts w:ascii="Times New Roman" w:hAnsi="Times New Roman" w:cs="Times New Roman"/>
        </w:rPr>
        <w:t>kVarh</w:t>
      </w:r>
      <w:proofErr w:type="spellEnd"/>
      <w:r w:rsidRPr="000267B9">
        <w:rPr>
          <w:rFonts w:ascii="Times New Roman" w:hAnsi="Times New Roman" w:cs="Times New Roman"/>
        </w:rPr>
        <w:t xml:space="preserve">, </w:t>
      </w:r>
      <w:proofErr w:type="spellStart"/>
      <w:r w:rsidRPr="000267B9">
        <w:rPr>
          <w:rFonts w:ascii="Times New Roman" w:hAnsi="Times New Roman" w:cs="Times New Roman"/>
        </w:rPr>
        <w:t>kVA</w:t>
      </w:r>
      <w:proofErr w:type="spellEnd"/>
      <w:r w:rsidRPr="000267B9">
        <w:rPr>
          <w:rFonts w:ascii="Times New Roman" w:hAnsi="Times New Roman" w:cs="Times New Roman"/>
        </w:rPr>
        <w:t>) por periodo y suministro.</w:t>
      </w:r>
    </w:p>
    <w:p w14:paraId="7BB1CB56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6ED29ACD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lastRenderedPageBreak/>
        <w:t>En el contexto: Alimenta el cálculo de Facturación Teórica (FT) bajo la estructura tarifaria.</w:t>
      </w:r>
    </w:p>
    <w:p w14:paraId="20898E5B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5826F17A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Contiene métricas de consumo atípico (z-robusto, estacionalidad), cruciales para detectar anomalías tempranas antes de la facturación.</w:t>
      </w:r>
    </w:p>
    <w:p w14:paraId="690ACCE7" w14:textId="77777777" w:rsidR="00E55018" w:rsidRPr="000267B9" w:rsidRDefault="00E55018" w:rsidP="000267B9">
      <w:pPr>
        <w:spacing w:line="360" w:lineRule="auto"/>
        <w:ind w:left="2160" w:firstLine="720"/>
        <w:rPr>
          <w:rFonts w:ascii="Times New Roman" w:hAnsi="Times New Roman" w:cs="Times New Roman"/>
        </w:rPr>
      </w:pPr>
    </w:p>
    <w:p w14:paraId="5E63B639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Relacionado con el segmento y tarifa, ayuda a distinguir si las desviaciones son propias de un cliente, un grupo, o un error sistémico.</w:t>
      </w:r>
    </w:p>
    <w:p w14:paraId="32528FA9" w14:textId="77777777" w:rsidR="00E55018" w:rsidRPr="000267B9" w:rsidRDefault="00E55018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</w:p>
    <w:p w14:paraId="245E0FE7" w14:textId="77777777" w:rsidR="00E55018" w:rsidRPr="000267B9" w:rsidRDefault="002273C7" w:rsidP="000267B9">
      <w:pPr>
        <w:spacing w:line="360" w:lineRule="auto"/>
        <w:ind w:left="216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3E4541AB" wp14:editId="01F520EE">
            <wp:extent cx="2992129" cy="2605088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2129" cy="2605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94CBA9" w14:textId="77777777" w:rsidR="00E55018" w:rsidRPr="000267B9" w:rsidRDefault="00E55018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</w:p>
    <w:p w14:paraId="3255FBD2" w14:textId="77777777" w:rsidR="00E55018" w:rsidRPr="000267B9" w:rsidRDefault="002273C7" w:rsidP="000267B9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ab/>
        <w:t xml:space="preserve">1.3.2.3. </w:t>
      </w:r>
      <w:proofErr w:type="spellStart"/>
      <w:r w:rsidRPr="000267B9">
        <w:rPr>
          <w:rFonts w:ascii="Times New Roman" w:hAnsi="Times New Roman" w:cs="Times New Roman"/>
        </w:rPr>
        <w:t>Hecho_Cobranza</w:t>
      </w:r>
      <w:proofErr w:type="spellEnd"/>
    </w:p>
    <w:p w14:paraId="27AA7092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50AD5D3E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Utilidad general: almacena los pagos, fechas, importes pendientes y días de mora asociados a facturas.</w:t>
      </w:r>
    </w:p>
    <w:p w14:paraId="25DEE2F3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72B54C6E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En el contexto: Permite medir la morosidad asociada a anomalías (ej. si las facturas divergentes son más propensas a no ser pagadas).</w:t>
      </w:r>
    </w:p>
    <w:p w14:paraId="30421518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722FFA61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Brinda la base para calcular el impacto financiero real de los errores de facturación.</w:t>
      </w:r>
    </w:p>
    <w:p w14:paraId="35A55213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224A800A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lastRenderedPageBreak/>
        <w:t>Conecta con el área de Finanzas para ver cuánto capital se pierde o retrasa debido a problemas de medición/facturación.</w:t>
      </w:r>
    </w:p>
    <w:p w14:paraId="1F1ED102" w14:textId="77777777" w:rsidR="00E55018" w:rsidRPr="000267B9" w:rsidRDefault="00E55018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</w:p>
    <w:p w14:paraId="7C44F73D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33FCFBD7" wp14:editId="0B56357D">
            <wp:extent cx="2438400" cy="2943225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CDE43B" w14:textId="77777777" w:rsidR="00E55018" w:rsidRPr="000267B9" w:rsidRDefault="00E55018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</w:p>
    <w:p w14:paraId="01B99C0E" w14:textId="77777777" w:rsidR="00E55018" w:rsidRPr="000267B9" w:rsidRDefault="002273C7" w:rsidP="000267B9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ab/>
        <w:t xml:space="preserve">1.3.2.4. </w:t>
      </w:r>
      <w:proofErr w:type="spellStart"/>
      <w:r w:rsidRPr="000267B9">
        <w:rPr>
          <w:rFonts w:ascii="Times New Roman" w:hAnsi="Times New Roman" w:cs="Times New Roman"/>
        </w:rPr>
        <w:t>Hecho_Correcciones</w:t>
      </w:r>
      <w:proofErr w:type="spellEnd"/>
    </w:p>
    <w:p w14:paraId="48A478DC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68BD7D78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Utilidad general: registra casos de ajustes a facturas, reclamos y tiempos de corrección.</w:t>
      </w:r>
    </w:p>
    <w:p w14:paraId="48834480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6EE7CF85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En el contexto: Distingue entre correcciones proactivas (antes del reclamo) y reactivas (después del reclamo), midiendo eficiencia en gestión.</w:t>
      </w:r>
    </w:p>
    <w:p w14:paraId="4E11062B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7E268C57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Permite calcular el tiempo promedio/mediano de regularización de una anomalía.</w:t>
      </w:r>
    </w:p>
    <w:p w14:paraId="27E2D4F3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4410451F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Refleja la calidad de procesos internos y su impacto en la satisfacción del cliente y en la reputación regulatoria.</w:t>
      </w:r>
    </w:p>
    <w:p w14:paraId="3F387DBE" w14:textId="77777777" w:rsidR="00E55018" w:rsidRPr="000267B9" w:rsidRDefault="00E55018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</w:p>
    <w:p w14:paraId="753CC6CD" w14:textId="77777777" w:rsidR="00E55018" w:rsidRPr="000267B9" w:rsidRDefault="002273C7" w:rsidP="000267B9">
      <w:pPr>
        <w:spacing w:line="360" w:lineRule="auto"/>
        <w:ind w:left="288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054EA061" wp14:editId="346B63E8">
            <wp:extent cx="3975402" cy="2043511"/>
            <wp:effectExtent l="0" t="0" r="0" b="0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5402" cy="2043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38C14" w14:textId="77777777" w:rsidR="00E55018" w:rsidRPr="000267B9" w:rsidRDefault="00E55018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</w:p>
    <w:p w14:paraId="18419A6F" w14:textId="77777777" w:rsidR="00E55018" w:rsidRPr="000267B9" w:rsidRDefault="002273C7" w:rsidP="000267B9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ab/>
        <w:t xml:space="preserve">1.3.2.5. </w:t>
      </w:r>
      <w:proofErr w:type="spellStart"/>
      <w:r w:rsidRPr="000267B9">
        <w:rPr>
          <w:rFonts w:ascii="Times New Roman" w:hAnsi="Times New Roman" w:cs="Times New Roman"/>
        </w:rPr>
        <w:t>Hecho_Cortes</w:t>
      </w:r>
      <w:proofErr w:type="spellEnd"/>
    </w:p>
    <w:p w14:paraId="27CE4C86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305A6D00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Utilidad general: guarda los eventos de interrupciones (programadas o fortuitas), clientes afectados y notificación asociada.</w:t>
      </w:r>
    </w:p>
    <w:p w14:paraId="181454F2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5F0B8760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eastAsia="Arial Unicode MS" w:hAnsi="Times New Roman" w:cs="Times New Roman"/>
        </w:rPr>
        <w:t>En el contexto: Permite calcular el índice de notificación oportuna (≥24h/48h).</w:t>
      </w:r>
    </w:p>
    <w:p w14:paraId="5855684F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5F8F70E5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Identifica zonas o sectores con más cortes no notificados.</w:t>
      </w:r>
    </w:p>
    <w:p w14:paraId="1CEAE500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7A5FE260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Facilita cruzar cortes con reclamos posteriores y analizar si los eventos afectan indicadores de transparencia y satisfacción.</w:t>
      </w:r>
    </w:p>
    <w:p w14:paraId="4B7C719D" w14:textId="77777777" w:rsidR="00E55018" w:rsidRPr="000267B9" w:rsidRDefault="002273C7" w:rsidP="000267B9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ab/>
      </w:r>
    </w:p>
    <w:p w14:paraId="001F6DE1" w14:textId="77777777" w:rsidR="00E55018" w:rsidRPr="000267B9" w:rsidRDefault="002273C7" w:rsidP="000267B9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ab/>
      </w:r>
      <w:r w:rsidRPr="000267B9">
        <w:rPr>
          <w:rFonts w:ascii="Times New Roman" w:hAnsi="Times New Roman" w:cs="Times New Roman"/>
        </w:rPr>
        <w:tab/>
      </w: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16E49DBD" wp14:editId="5B84290F">
            <wp:extent cx="4386263" cy="1770535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1770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C6FC0C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7CC031BF" w14:textId="77777777" w:rsidR="00E55018" w:rsidRPr="000267B9" w:rsidRDefault="002273C7" w:rsidP="000267B9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br w:type="page"/>
      </w:r>
    </w:p>
    <w:p w14:paraId="416D24EA" w14:textId="2A0E8356" w:rsidR="00514350" w:rsidRDefault="002273C7" w:rsidP="00514350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lastRenderedPageBreak/>
        <w:t>1.3.3. Diagrama completo</w:t>
      </w:r>
      <w:r w:rsidR="00514350">
        <w:rPr>
          <w:rFonts w:ascii="Times New Roman" w:hAnsi="Times New Roman" w:cs="Times New Roman"/>
        </w:rPr>
        <w:t xml:space="preserve">: </w:t>
      </w:r>
      <w:hyperlink r:id="rId18" w:history="1">
        <w:r w:rsidR="00514350" w:rsidRPr="002D64BB">
          <w:rPr>
            <w:rStyle w:val="Hipervnculo"/>
            <w:rFonts w:ascii="Times New Roman" w:hAnsi="Times New Roman" w:cs="Times New Roman"/>
          </w:rPr>
          <w:t>https://drive.google.com/file/d/1A0H1osmfAtF85C0ckRnI5LhXY_ZNytFB/view?usp=sharing</w:t>
        </w:r>
      </w:hyperlink>
      <w:bookmarkStart w:id="14" w:name="_4fvc1pz3qr72" w:colFirst="0" w:colLast="0"/>
      <w:bookmarkEnd w:id="14"/>
    </w:p>
    <w:p w14:paraId="1EE1920F" w14:textId="77777777" w:rsidR="00514350" w:rsidRDefault="00514350" w:rsidP="00514350">
      <w:pPr>
        <w:spacing w:line="360" w:lineRule="auto"/>
        <w:ind w:left="1440"/>
        <w:rPr>
          <w:rFonts w:ascii="Times New Roman" w:hAnsi="Times New Roman" w:cs="Times New Roman"/>
        </w:rPr>
      </w:pPr>
    </w:p>
    <w:p w14:paraId="29625C8A" w14:textId="5D624AEF" w:rsidR="00E55018" w:rsidRPr="00514350" w:rsidRDefault="002273C7" w:rsidP="00514350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sz w:val="24"/>
          <w:szCs w:val="24"/>
        </w:rPr>
        <w:t>1.4. Inventario de Fuentes OLT</w:t>
      </w:r>
      <w:r w:rsidR="000267B9">
        <w:rPr>
          <w:rFonts w:ascii="Times New Roman" w:hAnsi="Times New Roman" w:cs="Times New Roman"/>
          <w:sz w:val="24"/>
          <w:szCs w:val="24"/>
        </w:rPr>
        <w:t>P</w:t>
      </w:r>
    </w:p>
    <w:tbl>
      <w:tblPr>
        <w:tblStyle w:val="Tablaconcuadrcula5oscura-nfasis5"/>
        <w:tblpPr w:leftFromText="180" w:rightFromText="180" w:topFromText="180" w:bottomFromText="180" w:vertAnchor="text" w:tblpX="135"/>
        <w:tblW w:w="951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155"/>
        <w:gridCol w:w="960"/>
        <w:gridCol w:w="1605"/>
        <w:gridCol w:w="1560"/>
        <w:gridCol w:w="2625"/>
      </w:tblGrid>
      <w:tr w:rsidR="00E55018" w:rsidRPr="000267B9" w14:paraId="60320366" w14:textId="77777777" w:rsidTr="000267B9">
        <w:trPr>
          <w:trHeight w:val="770"/>
        </w:trPr>
        <w:tc>
          <w:tcPr>
            <w:tcW w:w="1605" w:type="dxa"/>
          </w:tcPr>
          <w:p w14:paraId="3D84F013" w14:textId="77777777" w:rsidR="00E55018" w:rsidRPr="000267B9" w:rsidRDefault="002273C7" w:rsidP="000267B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Sistema</w:t>
            </w:r>
          </w:p>
        </w:tc>
        <w:tc>
          <w:tcPr>
            <w:tcW w:w="1155" w:type="dxa"/>
          </w:tcPr>
          <w:p w14:paraId="2FFAEFDB" w14:textId="77777777" w:rsidR="00E55018" w:rsidRPr="000267B9" w:rsidRDefault="002273C7" w:rsidP="000267B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Área usuaria</w:t>
            </w:r>
          </w:p>
        </w:tc>
        <w:tc>
          <w:tcPr>
            <w:tcW w:w="960" w:type="dxa"/>
          </w:tcPr>
          <w:p w14:paraId="48D06E10" w14:textId="77777777" w:rsidR="00E55018" w:rsidRPr="000267B9" w:rsidRDefault="002273C7" w:rsidP="000267B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Tipo</w:t>
            </w:r>
          </w:p>
        </w:tc>
        <w:tc>
          <w:tcPr>
            <w:tcW w:w="1605" w:type="dxa"/>
          </w:tcPr>
          <w:p w14:paraId="7F1B3CEB" w14:textId="77777777" w:rsidR="00E55018" w:rsidRPr="000267B9" w:rsidRDefault="002273C7" w:rsidP="000267B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Tecnología</w:t>
            </w:r>
          </w:p>
        </w:tc>
        <w:tc>
          <w:tcPr>
            <w:tcW w:w="1560" w:type="dxa"/>
          </w:tcPr>
          <w:p w14:paraId="52FCECCB" w14:textId="77777777" w:rsidR="00E55018" w:rsidRPr="000267B9" w:rsidRDefault="002273C7" w:rsidP="000267B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Frecuencia actualización</w:t>
            </w:r>
          </w:p>
        </w:tc>
        <w:tc>
          <w:tcPr>
            <w:tcW w:w="2625" w:type="dxa"/>
          </w:tcPr>
          <w:p w14:paraId="4C151777" w14:textId="77777777" w:rsidR="00E55018" w:rsidRPr="000267B9" w:rsidRDefault="002273C7" w:rsidP="000267B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Observaciones</w:t>
            </w:r>
          </w:p>
        </w:tc>
      </w:tr>
      <w:tr w:rsidR="00E55018" w:rsidRPr="000267B9" w14:paraId="01B6509A" w14:textId="77777777" w:rsidTr="000267B9">
        <w:trPr>
          <w:trHeight w:val="2930"/>
        </w:trPr>
        <w:tc>
          <w:tcPr>
            <w:tcW w:w="1605" w:type="dxa"/>
          </w:tcPr>
          <w:p w14:paraId="79B951B8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Sistema Comercial de Facturación (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Billing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55" w:type="dxa"/>
          </w:tcPr>
          <w:p w14:paraId="5580EEBD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Comercial</w:t>
            </w:r>
          </w:p>
        </w:tc>
        <w:tc>
          <w:tcPr>
            <w:tcW w:w="960" w:type="dxa"/>
          </w:tcPr>
          <w:p w14:paraId="4E539BE8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Core OLTP</w:t>
            </w:r>
          </w:p>
        </w:tc>
        <w:tc>
          <w:tcPr>
            <w:tcW w:w="1605" w:type="dxa"/>
          </w:tcPr>
          <w:p w14:paraId="7890E58D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PostgreSQL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; Ingesta/ETL con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(outputs: CSV, 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Parquet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Feather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, JSON); análisis en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Excel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y </w:t>
            </w:r>
            <w:proofErr w:type="spellStart"/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Power</w:t>
            </w:r>
            <w:proofErr w:type="spellEnd"/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BI</w:t>
            </w:r>
          </w:p>
        </w:tc>
        <w:tc>
          <w:tcPr>
            <w:tcW w:w="1560" w:type="dxa"/>
          </w:tcPr>
          <w:p w14:paraId="69C33CFE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Diario / Mensual (cierre)</w:t>
            </w:r>
          </w:p>
        </w:tc>
        <w:tc>
          <w:tcPr>
            <w:tcW w:w="2625" w:type="dxa"/>
          </w:tcPr>
          <w:p w14:paraId="0207D656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Fuente primaria de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FR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. Contiene facturas, conceptos (energéticos/no energéticos), IGV, notas de crédito. Separar IGV para divergencia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FT vs FR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sin impuestos. Normalizar catálogo de conceptos.</w:t>
            </w:r>
          </w:p>
        </w:tc>
      </w:tr>
      <w:tr w:rsidR="00E55018" w:rsidRPr="000267B9" w14:paraId="62897171" w14:textId="77777777" w:rsidTr="000267B9">
        <w:trPr>
          <w:trHeight w:val="2930"/>
        </w:trPr>
        <w:tc>
          <w:tcPr>
            <w:tcW w:w="1605" w:type="dxa"/>
          </w:tcPr>
          <w:p w14:paraId="4A3ECFA1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HES/MDM (Medición)</w:t>
            </w:r>
          </w:p>
        </w:tc>
        <w:tc>
          <w:tcPr>
            <w:tcW w:w="1155" w:type="dxa"/>
          </w:tcPr>
          <w:p w14:paraId="66B0405A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Operaciones / Medición</w:t>
            </w:r>
          </w:p>
        </w:tc>
        <w:tc>
          <w:tcPr>
            <w:tcW w:w="960" w:type="dxa"/>
          </w:tcPr>
          <w:p w14:paraId="12A1B256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Medición inteligente</w:t>
            </w:r>
          </w:p>
        </w:tc>
        <w:tc>
          <w:tcPr>
            <w:tcW w:w="1605" w:type="dxa"/>
          </w:tcPr>
          <w:p w14:paraId="60434776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PostgreSQL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(outputs: CSV, 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Parquet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Feather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, JSON) para VEE y series; </w:t>
            </w:r>
            <w:proofErr w:type="spellStart"/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Power</w:t>
            </w:r>
            <w:proofErr w:type="spellEnd"/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BI / Excel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para análisis</w:t>
            </w:r>
          </w:p>
        </w:tc>
        <w:tc>
          <w:tcPr>
            <w:tcW w:w="1560" w:type="dxa"/>
          </w:tcPr>
          <w:p w14:paraId="101958E1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Casi tiempo real / Diario</w:t>
            </w:r>
          </w:p>
        </w:tc>
        <w:tc>
          <w:tcPr>
            <w:tcW w:w="2625" w:type="dxa"/>
          </w:tcPr>
          <w:p w14:paraId="37736F81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KWh, kW, 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kVA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y eventos. Base para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FT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y detección temprana de anomalías (z-robusto, estacionalidad). Reglas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VEE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obligatorias.</w:t>
            </w:r>
          </w:p>
        </w:tc>
      </w:tr>
      <w:tr w:rsidR="00E55018" w:rsidRPr="000267B9" w14:paraId="6BF4C8DB" w14:textId="77777777" w:rsidTr="000267B9">
        <w:trPr>
          <w:trHeight w:val="2120"/>
        </w:trPr>
        <w:tc>
          <w:tcPr>
            <w:tcW w:w="1605" w:type="dxa"/>
          </w:tcPr>
          <w:p w14:paraId="4DD1E420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Sistema de Cobranzas</w:t>
            </w:r>
          </w:p>
        </w:tc>
        <w:tc>
          <w:tcPr>
            <w:tcW w:w="1155" w:type="dxa"/>
          </w:tcPr>
          <w:p w14:paraId="082984EF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Finanzas / Comercial</w:t>
            </w:r>
          </w:p>
        </w:tc>
        <w:tc>
          <w:tcPr>
            <w:tcW w:w="960" w:type="dxa"/>
          </w:tcPr>
          <w:p w14:paraId="3BDD681E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Gestión de pagos</w:t>
            </w:r>
          </w:p>
        </w:tc>
        <w:tc>
          <w:tcPr>
            <w:tcW w:w="1605" w:type="dxa"/>
          </w:tcPr>
          <w:p w14:paraId="37F00F94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PostgreSQL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(outputs: CSV, 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Parquet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Feather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, JSON); </w:t>
            </w:r>
            <w:proofErr w:type="spellStart"/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Power</w:t>
            </w:r>
            <w:proofErr w:type="spellEnd"/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BI / Excel</w:t>
            </w:r>
          </w:p>
        </w:tc>
        <w:tc>
          <w:tcPr>
            <w:tcW w:w="1560" w:type="dxa"/>
          </w:tcPr>
          <w:p w14:paraId="0F9281F3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Diario</w:t>
            </w:r>
          </w:p>
        </w:tc>
        <w:tc>
          <w:tcPr>
            <w:tcW w:w="2625" w:type="dxa"/>
          </w:tcPr>
          <w:p w14:paraId="02901150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Pagos, fechas, moras, refinanciaciones. Cruce con facturas (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factura_id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) para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morosidad en anomalías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. Cuidar integridad referencial y fechas.</w:t>
            </w:r>
          </w:p>
        </w:tc>
      </w:tr>
      <w:tr w:rsidR="00E55018" w:rsidRPr="000267B9" w14:paraId="52860022" w14:textId="77777777" w:rsidTr="000267B9">
        <w:trPr>
          <w:trHeight w:val="2120"/>
        </w:trPr>
        <w:tc>
          <w:tcPr>
            <w:tcW w:w="1605" w:type="dxa"/>
          </w:tcPr>
          <w:p w14:paraId="28CA6C81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Gestión de Reclamos y Correcciones</w:t>
            </w:r>
          </w:p>
        </w:tc>
        <w:tc>
          <w:tcPr>
            <w:tcW w:w="1155" w:type="dxa"/>
          </w:tcPr>
          <w:p w14:paraId="78B14D7A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Atención al Cliente / Comercial</w:t>
            </w:r>
          </w:p>
        </w:tc>
        <w:tc>
          <w:tcPr>
            <w:tcW w:w="960" w:type="dxa"/>
          </w:tcPr>
          <w:p w14:paraId="44F63F80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Gestión de casos</w:t>
            </w:r>
          </w:p>
        </w:tc>
        <w:tc>
          <w:tcPr>
            <w:tcW w:w="1605" w:type="dxa"/>
          </w:tcPr>
          <w:p w14:paraId="35EEE6D8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PostgreSQL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(outputs: CSV, 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Parquet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Feather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, JSON); </w:t>
            </w:r>
            <w:proofErr w:type="spellStart"/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Power</w:t>
            </w:r>
            <w:proofErr w:type="spellEnd"/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BI / Excel</w:t>
            </w:r>
          </w:p>
        </w:tc>
        <w:tc>
          <w:tcPr>
            <w:tcW w:w="1560" w:type="dxa"/>
          </w:tcPr>
          <w:p w14:paraId="291AC20A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Diario</w:t>
            </w:r>
          </w:p>
        </w:tc>
        <w:tc>
          <w:tcPr>
            <w:tcW w:w="2625" w:type="dxa"/>
          </w:tcPr>
          <w:p w14:paraId="0292BDBF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Reclamos, correcciones, tiempos. Distinguir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proactiva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vs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reactiva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y calcular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días de regularización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5018" w:rsidRPr="000267B9" w14:paraId="5AE79DF2" w14:textId="77777777" w:rsidTr="000267B9">
        <w:trPr>
          <w:trHeight w:val="2120"/>
        </w:trPr>
        <w:tc>
          <w:tcPr>
            <w:tcW w:w="1605" w:type="dxa"/>
          </w:tcPr>
          <w:p w14:paraId="79BFF796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OMS – Interrupciones (Cortes)</w:t>
            </w:r>
          </w:p>
        </w:tc>
        <w:tc>
          <w:tcPr>
            <w:tcW w:w="1155" w:type="dxa"/>
          </w:tcPr>
          <w:p w14:paraId="548A212A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Operaciones / Atención</w:t>
            </w:r>
          </w:p>
        </w:tc>
        <w:tc>
          <w:tcPr>
            <w:tcW w:w="960" w:type="dxa"/>
          </w:tcPr>
          <w:p w14:paraId="522722D8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Registro de cortes</w:t>
            </w:r>
          </w:p>
        </w:tc>
        <w:tc>
          <w:tcPr>
            <w:tcW w:w="1605" w:type="dxa"/>
          </w:tcPr>
          <w:p w14:paraId="4270A976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PostgreSQL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(outputs: CSV, 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Parquet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Feather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, JSON); </w:t>
            </w:r>
            <w:proofErr w:type="spellStart"/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Power</w:t>
            </w:r>
            <w:proofErr w:type="spellEnd"/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BI / Excel</w:t>
            </w:r>
          </w:p>
        </w:tc>
        <w:tc>
          <w:tcPr>
            <w:tcW w:w="1560" w:type="dxa"/>
          </w:tcPr>
          <w:p w14:paraId="7721EA68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Tiempo real / Diario</w:t>
            </w:r>
          </w:p>
        </w:tc>
        <w:tc>
          <w:tcPr>
            <w:tcW w:w="2625" w:type="dxa"/>
          </w:tcPr>
          <w:p w14:paraId="6B2A901D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Cortes programados/fortuitos, zonas y clientes afectados. KPI de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notificación oportuna</w:t>
            </w:r>
            <w:r w:rsidRPr="000267B9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(≥24/48h). Requiere cruce con maestro de clientes.</w:t>
            </w:r>
          </w:p>
        </w:tc>
      </w:tr>
      <w:tr w:rsidR="00E55018" w:rsidRPr="000267B9" w14:paraId="264B1864" w14:textId="77777777" w:rsidTr="000267B9">
        <w:trPr>
          <w:trHeight w:val="2930"/>
        </w:trPr>
        <w:tc>
          <w:tcPr>
            <w:tcW w:w="1605" w:type="dxa"/>
          </w:tcPr>
          <w:p w14:paraId="02A33F09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Catálogo de Tarifas y Conceptos Regulatorios</w:t>
            </w:r>
          </w:p>
        </w:tc>
        <w:tc>
          <w:tcPr>
            <w:tcW w:w="1155" w:type="dxa"/>
          </w:tcPr>
          <w:p w14:paraId="4BB5E1E2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Regulación / Comercial</w:t>
            </w:r>
          </w:p>
        </w:tc>
        <w:tc>
          <w:tcPr>
            <w:tcW w:w="960" w:type="dxa"/>
          </w:tcPr>
          <w:p w14:paraId="1BA77BFD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Maestro de referencia</w:t>
            </w:r>
          </w:p>
        </w:tc>
        <w:tc>
          <w:tcPr>
            <w:tcW w:w="1605" w:type="dxa"/>
          </w:tcPr>
          <w:p w14:paraId="034C5E13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PostgreSQL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(repositorio maestro); mantenimiento con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(outputs: CSV, 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Parquet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); consulta en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Excel / </w:t>
            </w:r>
            <w:proofErr w:type="spellStart"/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Power</w:t>
            </w:r>
            <w:proofErr w:type="spellEnd"/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BI</w:t>
            </w:r>
          </w:p>
        </w:tc>
        <w:tc>
          <w:tcPr>
            <w:tcW w:w="1560" w:type="dxa"/>
          </w:tcPr>
          <w:p w14:paraId="23C1A51E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Según pliego (mensual/anual)</w:t>
            </w:r>
          </w:p>
        </w:tc>
        <w:tc>
          <w:tcPr>
            <w:tcW w:w="2625" w:type="dxa"/>
          </w:tcPr>
          <w:p w14:paraId="56E83BCD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Parámetros para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FT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y clasificación de conceptos.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Versionado y vigencia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indispensables.</w:t>
            </w:r>
          </w:p>
        </w:tc>
      </w:tr>
      <w:tr w:rsidR="00E55018" w:rsidRPr="000267B9" w14:paraId="58A16F2C" w14:textId="77777777" w:rsidTr="000267B9">
        <w:trPr>
          <w:trHeight w:val="2120"/>
        </w:trPr>
        <w:tc>
          <w:tcPr>
            <w:tcW w:w="1605" w:type="dxa"/>
          </w:tcPr>
          <w:p w14:paraId="29F383E7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Maestro de Clientes y Suministros</w:t>
            </w:r>
          </w:p>
        </w:tc>
        <w:tc>
          <w:tcPr>
            <w:tcW w:w="1155" w:type="dxa"/>
          </w:tcPr>
          <w:p w14:paraId="7E180B02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Comercial / Regulación</w:t>
            </w:r>
          </w:p>
        </w:tc>
        <w:tc>
          <w:tcPr>
            <w:tcW w:w="960" w:type="dxa"/>
          </w:tcPr>
          <w:p w14:paraId="7B6B409D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Maestro</w:t>
            </w:r>
          </w:p>
        </w:tc>
        <w:tc>
          <w:tcPr>
            <w:tcW w:w="1605" w:type="dxa"/>
          </w:tcPr>
          <w:p w14:paraId="5C9AAEA9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PostgreSQL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(outputs: CSV, 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Parquet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Feather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, JSON); </w:t>
            </w:r>
            <w:proofErr w:type="spellStart"/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Power</w:t>
            </w:r>
            <w:proofErr w:type="spellEnd"/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BI / Excel</w:t>
            </w:r>
          </w:p>
        </w:tc>
        <w:tc>
          <w:tcPr>
            <w:tcW w:w="1560" w:type="dxa"/>
          </w:tcPr>
          <w:p w14:paraId="352B6B54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Diario / Semanal</w:t>
            </w:r>
          </w:p>
        </w:tc>
        <w:tc>
          <w:tcPr>
            <w:tcW w:w="2625" w:type="dxa"/>
          </w:tcPr>
          <w:p w14:paraId="5DC13880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Suministro, cliente, medidor, sucursal/sector, segmento. Usar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SCD2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para historia (cambios de 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tarifa/segmento/dirección).</w:t>
            </w:r>
          </w:p>
        </w:tc>
      </w:tr>
      <w:tr w:rsidR="00E55018" w:rsidRPr="000267B9" w14:paraId="1B204CCD" w14:textId="77777777" w:rsidTr="000267B9">
        <w:trPr>
          <w:trHeight w:val="3200"/>
        </w:trPr>
        <w:tc>
          <w:tcPr>
            <w:tcW w:w="1605" w:type="dxa"/>
          </w:tcPr>
          <w:p w14:paraId="4432E1AC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Diccionario Semántico y Catálogos de Negocio</w:t>
            </w:r>
          </w:p>
        </w:tc>
        <w:tc>
          <w:tcPr>
            <w:tcW w:w="1155" w:type="dxa"/>
          </w:tcPr>
          <w:p w14:paraId="6F085288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BI / Gobierno de Datos</w:t>
            </w:r>
          </w:p>
        </w:tc>
        <w:tc>
          <w:tcPr>
            <w:tcW w:w="960" w:type="dxa"/>
          </w:tcPr>
          <w:p w14:paraId="2D531D73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Repositorio semántico</w:t>
            </w:r>
          </w:p>
        </w:tc>
        <w:tc>
          <w:tcPr>
            <w:tcW w:w="1605" w:type="dxa"/>
          </w:tcPr>
          <w:p w14:paraId="689D89EF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PostgreSQL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metadata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); edición/repaso en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Excel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; validaciones con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(outputs: CSV/JSON para linaje); visualización en </w:t>
            </w:r>
            <w:proofErr w:type="spellStart"/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Power</w:t>
            </w:r>
            <w:proofErr w:type="spellEnd"/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BI</w:t>
            </w:r>
          </w:p>
        </w:tc>
        <w:tc>
          <w:tcPr>
            <w:tcW w:w="1560" w:type="dxa"/>
          </w:tcPr>
          <w:p w14:paraId="7EC188C3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Según actualizaciones de BI</w:t>
            </w:r>
          </w:p>
        </w:tc>
        <w:tc>
          <w:tcPr>
            <w:tcW w:w="2625" w:type="dxa"/>
          </w:tcPr>
          <w:p w14:paraId="61A8931B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Estandariza nombres, definiciones, unidades y responsables. Base de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veracidad y reproducibilidad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KPIs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12F0DB8" w14:textId="77777777" w:rsidR="00E55018" w:rsidRPr="000267B9" w:rsidRDefault="00E55018" w:rsidP="00026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2E1CFE" w14:textId="77777777" w:rsidR="00E55018" w:rsidRPr="000267B9" w:rsidRDefault="00E55018" w:rsidP="00026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DD3B1D" w14:textId="77777777" w:rsidR="000267B9" w:rsidRDefault="000267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51B0B40" w14:textId="06E6948B" w:rsidR="00E55018" w:rsidRPr="000267B9" w:rsidRDefault="002273C7" w:rsidP="000267B9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0267B9">
        <w:rPr>
          <w:rFonts w:ascii="Times New Roman" w:hAnsi="Times New Roman" w:cs="Times New Roman"/>
          <w:b/>
          <w:bCs/>
        </w:rPr>
        <w:lastRenderedPageBreak/>
        <w:t>Evidencia Técnica</w:t>
      </w:r>
    </w:p>
    <w:p w14:paraId="498B5AF6" w14:textId="77777777" w:rsidR="00E55018" w:rsidRPr="000267B9" w:rsidRDefault="002273C7" w:rsidP="000267B9">
      <w:pPr>
        <w:spacing w:line="360" w:lineRule="auto"/>
        <w:ind w:left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 xml:space="preserve">2.1. Implementación de </w:t>
      </w:r>
      <w:proofErr w:type="spellStart"/>
      <w:r w:rsidRPr="000267B9">
        <w:rPr>
          <w:rFonts w:ascii="Times New Roman" w:hAnsi="Times New Roman" w:cs="Times New Roman"/>
        </w:rPr>
        <w:t>Hortonworks</w:t>
      </w:r>
      <w:proofErr w:type="spellEnd"/>
    </w:p>
    <w:p w14:paraId="022D5880" w14:textId="77777777" w:rsidR="00E55018" w:rsidRPr="000267B9" w:rsidRDefault="002273C7" w:rsidP="000267B9">
      <w:pPr>
        <w:spacing w:line="360" w:lineRule="auto"/>
        <w:ind w:left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ab/>
        <w:t>Archivos Cargados en HDFS (/data/raw)</w:t>
      </w:r>
    </w:p>
    <w:p w14:paraId="20A8E4C5" w14:textId="77777777" w:rsidR="00E55018" w:rsidRPr="000267B9" w:rsidRDefault="002273C7" w:rsidP="000267B9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 xml:space="preserve">Primero, nos localizamos en nuestra distribución de </w:t>
      </w:r>
      <w:proofErr w:type="spellStart"/>
      <w:r w:rsidRPr="000267B9">
        <w:rPr>
          <w:rFonts w:ascii="Times New Roman" w:hAnsi="Times New Roman" w:cs="Times New Roman"/>
        </w:rPr>
        <w:t>hadoop</w:t>
      </w:r>
      <w:proofErr w:type="spellEnd"/>
      <w:r w:rsidRPr="000267B9">
        <w:rPr>
          <w:rFonts w:ascii="Times New Roman" w:hAnsi="Times New Roman" w:cs="Times New Roman"/>
        </w:rPr>
        <w:t xml:space="preserve"> </w:t>
      </w:r>
      <w:proofErr w:type="spellStart"/>
      <w:r w:rsidRPr="000267B9">
        <w:rPr>
          <w:rFonts w:ascii="Times New Roman" w:hAnsi="Times New Roman" w:cs="Times New Roman"/>
        </w:rPr>
        <w:t>hortonworks</w:t>
      </w:r>
      <w:proofErr w:type="spellEnd"/>
      <w:r w:rsidRPr="000267B9">
        <w:rPr>
          <w:rFonts w:ascii="Times New Roman" w:hAnsi="Times New Roman" w:cs="Times New Roman"/>
        </w:rPr>
        <w:t>.</w:t>
      </w:r>
    </w:p>
    <w:p w14:paraId="0A5D0AE0" w14:textId="77777777" w:rsidR="00E55018" w:rsidRPr="000267B9" w:rsidRDefault="002273C7" w:rsidP="000267B9">
      <w:pPr>
        <w:spacing w:line="360" w:lineRule="auto"/>
        <w:ind w:left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5E924584" wp14:editId="2C81B4D1">
            <wp:extent cx="5731200" cy="27432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76EB6C" w14:textId="77777777" w:rsidR="00E55018" w:rsidRPr="000267B9" w:rsidRDefault="002273C7" w:rsidP="000267B9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 xml:space="preserve">Ahora toca ingresar a nuestra </w:t>
      </w:r>
      <w:proofErr w:type="spellStart"/>
      <w:r w:rsidRPr="000267B9">
        <w:rPr>
          <w:rFonts w:ascii="Times New Roman" w:hAnsi="Times New Roman" w:cs="Times New Roman"/>
        </w:rPr>
        <w:t>herramientaweb</w:t>
      </w:r>
      <w:proofErr w:type="spellEnd"/>
      <w:r w:rsidRPr="000267B9">
        <w:rPr>
          <w:rFonts w:ascii="Times New Roman" w:hAnsi="Times New Roman" w:cs="Times New Roman"/>
        </w:rPr>
        <w:t xml:space="preserve"> </w:t>
      </w:r>
      <w:proofErr w:type="spellStart"/>
      <w:r w:rsidRPr="000267B9">
        <w:rPr>
          <w:rFonts w:ascii="Times New Roman" w:hAnsi="Times New Roman" w:cs="Times New Roman"/>
        </w:rPr>
        <w:t>Ambari</w:t>
      </w:r>
      <w:proofErr w:type="spellEnd"/>
      <w:r w:rsidRPr="000267B9">
        <w:rPr>
          <w:rFonts w:ascii="Times New Roman" w:hAnsi="Times New Roman" w:cs="Times New Roman"/>
        </w:rPr>
        <w:t>.</w:t>
      </w:r>
      <w:r w:rsidRPr="000267B9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59264" behindDoc="0" locked="0" layoutInCell="1" hidden="0" allowOverlap="1" wp14:anchorId="070283EE" wp14:editId="068BF850">
            <wp:simplePos x="0" y="0"/>
            <wp:positionH relativeFrom="column">
              <wp:posOffset>1004888</wp:posOffset>
            </wp:positionH>
            <wp:positionV relativeFrom="paragraph">
              <wp:posOffset>507972</wp:posOffset>
            </wp:positionV>
            <wp:extent cx="4195763" cy="1999157"/>
            <wp:effectExtent l="0" t="0" r="0" b="0"/>
            <wp:wrapTopAndBottom distT="114300" distB="11430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1999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3262FB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5F0BFB5E" w14:textId="77777777" w:rsidR="00E55018" w:rsidRPr="000267B9" w:rsidRDefault="002273C7" w:rsidP="000267B9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Ahora ingresamos a la opción Files View ubicado en la parte superior derecha.</w:t>
      </w:r>
    </w:p>
    <w:p w14:paraId="69B72A39" w14:textId="77777777" w:rsidR="00E55018" w:rsidRPr="000267B9" w:rsidRDefault="002273C7" w:rsidP="000267B9">
      <w:pPr>
        <w:spacing w:line="360" w:lineRule="auto"/>
        <w:ind w:left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42C1C70A" wp14:editId="1EFDAA65">
            <wp:extent cx="5731200" cy="2387600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DBCE2F" w14:textId="77777777" w:rsidR="00E55018" w:rsidRPr="000267B9" w:rsidRDefault="002273C7" w:rsidP="000267B9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Una vez dentro, se procede a crear un directorio a través del botón New File.</w:t>
      </w:r>
    </w:p>
    <w:p w14:paraId="3581B61E" w14:textId="77777777" w:rsidR="00E55018" w:rsidRPr="000267B9" w:rsidRDefault="002273C7" w:rsidP="000267B9">
      <w:pPr>
        <w:spacing w:line="360" w:lineRule="auto"/>
        <w:ind w:left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047E9D6B" wp14:editId="0869B23E">
            <wp:extent cx="5731200" cy="2730500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347CF5" w14:textId="77777777" w:rsidR="00E55018" w:rsidRPr="000267B9" w:rsidRDefault="002273C7" w:rsidP="000267B9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Ya creado el directorio se sube nuestro archivo .</w:t>
      </w:r>
      <w:proofErr w:type="spellStart"/>
      <w:r w:rsidRPr="000267B9">
        <w:rPr>
          <w:rFonts w:ascii="Times New Roman" w:hAnsi="Times New Roman" w:cs="Times New Roman"/>
        </w:rPr>
        <w:t>csv</w:t>
      </w:r>
      <w:proofErr w:type="spellEnd"/>
      <w:r w:rsidRPr="000267B9">
        <w:rPr>
          <w:rFonts w:ascii="Times New Roman" w:hAnsi="Times New Roman" w:cs="Times New Roman"/>
        </w:rPr>
        <w:t xml:space="preserve"> de datos mediante el </w:t>
      </w:r>
      <w:proofErr w:type="spellStart"/>
      <w:r w:rsidRPr="000267B9">
        <w:rPr>
          <w:rFonts w:ascii="Times New Roman" w:hAnsi="Times New Roman" w:cs="Times New Roman"/>
        </w:rPr>
        <w:t>boton</w:t>
      </w:r>
      <w:proofErr w:type="spellEnd"/>
      <w:r w:rsidRPr="000267B9">
        <w:rPr>
          <w:rFonts w:ascii="Times New Roman" w:hAnsi="Times New Roman" w:cs="Times New Roman"/>
        </w:rPr>
        <w:t xml:space="preserve"> de </w:t>
      </w:r>
      <w:proofErr w:type="spellStart"/>
      <w:r w:rsidRPr="000267B9">
        <w:rPr>
          <w:rFonts w:ascii="Times New Roman" w:hAnsi="Times New Roman" w:cs="Times New Roman"/>
        </w:rPr>
        <w:t>upload</w:t>
      </w:r>
      <w:proofErr w:type="spellEnd"/>
      <w:r w:rsidRPr="000267B9">
        <w:rPr>
          <w:rFonts w:ascii="Times New Roman" w:hAnsi="Times New Roman" w:cs="Times New Roman"/>
        </w:rPr>
        <w:t>.</w:t>
      </w:r>
    </w:p>
    <w:p w14:paraId="14AA979A" w14:textId="77777777" w:rsidR="00E55018" w:rsidRPr="000267B9" w:rsidRDefault="002273C7" w:rsidP="000267B9">
      <w:pPr>
        <w:spacing w:line="360" w:lineRule="auto"/>
        <w:ind w:left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59E7B9FB" wp14:editId="29D6BAA3">
            <wp:extent cx="5731200" cy="27178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86A531" w14:textId="77777777" w:rsidR="00E55018" w:rsidRPr="000267B9" w:rsidRDefault="00E55018" w:rsidP="000267B9">
      <w:pPr>
        <w:spacing w:line="360" w:lineRule="auto"/>
        <w:ind w:left="720"/>
        <w:rPr>
          <w:rFonts w:ascii="Times New Roman" w:hAnsi="Times New Roman" w:cs="Times New Roman"/>
        </w:rPr>
      </w:pPr>
    </w:p>
    <w:p w14:paraId="1B7C3620" w14:textId="77777777" w:rsidR="00E55018" w:rsidRPr="000267B9" w:rsidRDefault="002273C7" w:rsidP="000267B9">
      <w:pPr>
        <w:spacing w:line="360" w:lineRule="auto"/>
        <w:ind w:left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ab/>
        <w:t xml:space="preserve">Scripts CREATE EXTERNAL TABLE en </w:t>
      </w:r>
      <w:proofErr w:type="spellStart"/>
      <w:r w:rsidRPr="000267B9">
        <w:rPr>
          <w:rFonts w:ascii="Times New Roman" w:hAnsi="Times New Roman" w:cs="Times New Roman"/>
        </w:rPr>
        <w:t>Hive</w:t>
      </w:r>
      <w:proofErr w:type="spellEnd"/>
      <w:r w:rsidRPr="000267B9">
        <w:rPr>
          <w:rFonts w:ascii="Times New Roman" w:hAnsi="Times New Roman" w:cs="Times New Roman"/>
        </w:rPr>
        <w:t>.</w:t>
      </w:r>
    </w:p>
    <w:p w14:paraId="07351DB4" w14:textId="77777777" w:rsidR="00E55018" w:rsidRPr="000267B9" w:rsidRDefault="002273C7" w:rsidP="000267B9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 xml:space="preserve">Primero ingresamos a nuestra interfaz de </w:t>
      </w:r>
      <w:proofErr w:type="spellStart"/>
      <w:r w:rsidRPr="000267B9">
        <w:rPr>
          <w:rFonts w:ascii="Times New Roman" w:hAnsi="Times New Roman" w:cs="Times New Roman"/>
        </w:rPr>
        <w:t>Hive</w:t>
      </w:r>
      <w:proofErr w:type="spellEnd"/>
      <w:r w:rsidRPr="000267B9">
        <w:rPr>
          <w:rFonts w:ascii="Times New Roman" w:hAnsi="Times New Roman" w:cs="Times New Roman"/>
        </w:rPr>
        <w:t xml:space="preserve"> mediante la opción de </w:t>
      </w:r>
      <w:proofErr w:type="spellStart"/>
      <w:r w:rsidRPr="000267B9">
        <w:rPr>
          <w:rFonts w:ascii="Times New Roman" w:hAnsi="Times New Roman" w:cs="Times New Roman"/>
        </w:rPr>
        <w:t>Hive</w:t>
      </w:r>
      <w:proofErr w:type="spellEnd"/>
      <w:r w:rsidRPr="000267B9">
        <w:rPr>
          <w:rFonts w:ascii="Times New Roman" w:hAnsi="Times New Roman" w:cs="Times New Roman"/>
        </w:rPr>
        <w:t xml:space="preserve"> View.</w:t>
      </w:r>
    </w:p>
    <w:p w14:paraId="1BC13F16" w14:textId="77777777" w:rsidR="00E55018" w:rsidRPr="000267B9" w:rsidRDefault="002273C7" w:rsidP="000267B9">
      <w:pPr>
        <w:spacing w:line="360" w:lineRule="auto"/>
        <w:ind w:left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2DC2BAA2" wp14:editId="227EB444">
            <wp:extent cx="5731200" cy="27178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9DE769" w14:textId="77777777" w:rsidR="00E55018" w:rsidRPr="000267B9" w:rsidRDefault="002273C7" w:rsidP="000267B9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Ingresamos el script CREATE EXTERNAL TABLE para crear la tabla de datos</w:t>
      </w:r>
    </w:p>
    <w:p w14:paraId="47C39EBB" w14:textId="77777777" w:rsidR="00E55018" w:rsidRPr="000267B9" w:rsidRDefault="002273C7" w:rsidP="000267B9">
      <w:pPr>
        <w:spacing w:line="360" w:lineRule="auto"/>
        <w:ind w:left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71D65F41" wp14:editId="4811368D">
            <wp:extent cx="5731200" cy="27305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AD41E1" w14:textId="77777777" w:rsidR="00E55018" w:rsidRPr="000267B9" w:rsidRDefault="002273C7" w:rsidP="000267B9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 xml:space="preserve">Podemos comprobar si actualizamos la página y revisamos en </w:t>
      </w:r>
      <w:proofErr w:type="spellStart"/>
      <w:r w:rsidRPr="000267B9">
        <w:rPr>
          <w:rFonts w:ascii="Times New Roman" w:hAnsi="Times New Roman" w:cs="Times New Roman"/>
        </w:rPr>
        <w:t>Databases</w:t>
      </w:r>
      <w:proofErr w:type="spellEnd"/>
      <w:r w:rsidRPr="000267B9">
        <w:rPr>
          <w:rFonts w:ascii="Times New Roman" w:hAnsi="Times New Roman" w:cs="Times New Roman"/>
        </w:rPr>
        <w:t xml:space="preserve"> y en default.</w:t>
      </w:r>
    </w:p>
    <w:p w14:paraId="2FC51554" w14:textId="77777777" w:rsidR="00E55018" w:rsidRPr="000267B9" w:rsidRDefault="002273C7" w:rsidP="000267B9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57669577" wp14:editId="1580D2B2">
            <wp:extent cx="4305300" cy="219075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D00105" w14:textId="77777777" w:rsidR="00E55018" w:rsidRPr="000267B9" w:rsidRDefault="002273C7" w:rsidP="000267B9">
      <w:pPr>
        <w:spacing w:line="360" w:lineRule="auto"/>
        <w:ind w:left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ab/>
        <w:t>Resultados de consulta simple (ejemplo: top 10 productos).</w:t>
      </w:r>
    </w:p>
    <w:p w14:paraId="64C3FDEC" w14:textId="77777777" w:rsidR="00E55018" w:rsidRPr="000267B9" w:rsidRDefault="002273C7" w:rsidP="000267B9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Top 5 Tarifa con mayor consumo total</w:t>
      </w:r>
    </w:p>
    <w:p w14:paraId="4DF13028" w14:textId="77777777" w:rsidR="00E55018" w:rsidRPr="000267B9" w:rsidRDefault="002273C7" w:rsidP="000267B9">
      <w:p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0A1FAFB0" wp14:editId="7CA3AF2D">
            <wp:extent cx="5731200" cy="7416800"/>
            <wp:effectExtent l="0" t="0" r="0" b="0"/>
            <wp:docPr id="18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1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D15E2D" w14:textId="77777777" w:rsidR="00E55018" w:rsidRPr="000267B9" w:rsidRDefault="00E55018" w:rsidP="000267B9">
      <w:pPr>
        <w:spacing w:line="360" w:lineRule="auto"/>
        <w:rPr>
          <w:rFonts w:ascii="Times New Roman" w:hAnsi="Times New Roman" w:cs="Times New Roman"/>
        </w:rPr>
      </w:pPr>
    </w:p>
    <w:p w14:paraId="5316B08D" w14:textId="77777777" w:rsidR="00E55018" w:rsidRPr="000267B9" w:rsidRDefault="00E55018" w:rsidP="000267B9">
      <w:pPr>
        <w:spacing w:line="360" w:lineRule="auto"/>
        <w:rPr>
          <w:rFonts w:ascii="Times New Roman" w:hAnsi="Times New Roman" w:cs="Times New Roman"/>
        </w:rPr>
      </w:pPr>
    </w:p>
    <w:p w14:paraId="287FE0A6" w14:textId="77777777" w:rsidR="00E55018" w:rsidRPr="000267B9" w:rsidRDefault="00E55018" w:rsidP="000267B9">
      <w:pPr>
        <w:spacing w:line="360" w:lineRule="auto"/>
        <w:rPr>
          <w:rFonts w:ascii="Times New Roman" w:hAnsi="Times New Roman" w:cs="Times New Roman"/>
        </w:rPr>
      </w:pPr>
    </w:p>
    <w:p w14:paraId="4CDA0876" w14:textId="77777777" w:rsidR="00E55018" w:rsidRPr="000267B9" w:rsidRDefault="00E55018" w:rsidP="000267B9">
      <w:pPr>
        <w:spacing w:line="360" w:lineRule="auto"/>
        <w:rPr>
          <w:rFonts w:ascii="Times New Roman" w:hAnsi="Times New Roman" w:cs="Times New Roman"/>
        </w:rPr>
      </w:pPr>
    </w:p>
    <w:p w14:paraId="63836DA2" w14:textId="77777777" w:rsidR="00E55018" w:rsidRPr="000267B9" w:rsidRDefault="00E55018" w:rsidP="000267B9">
      <w:pPr>
        <w:spacing w:line="360" w:lineRule="auto"/>
        <w:rPr>
          <w:rFonts w:ascii="Times New Roman" w:hAnsi="Times New Roman" w:cs="Times New Roman"/>
        </w:rPr>
      </w:pPr>
    </w:p>
    <w:p w14:paraId="4411C6BA" w14:textId="77777777" w:rsidR="00E55018" w:rsidRPr="000267B9" w:rsidRDefault="00E55018" w:rsidP="000267B9">
      <w:pPr>
        <w:spacing w:line="360" w:lineRule="auto"/>
        <w:rPr>
          <w:rFonts w:ascii="Times New Roman" w:hAnsi="Times New Roman" w:cs="Times New Roman"/>
        </w:rPr>
      </w:pPr>
    </w:p>
    <w:p w14:paraId="7901B677" w14:textId="77777777" w:rsidR="00E55018" w:rsidRPr="000267B9" w:rsidRDefault="00E55018" w:rsidP="000267B9">
      <w:pPr>
        <w:spacing w:line="360" w:lineRule="auto"/>
        <w:rPr>
          <w:rFonts w:ascii="Times New Roman" w:hAnsi="Times New Roman" w:cs="Times New Roman"/>
        </w:rPr>
      </w:pPr>
    </w:p>
    <w:p w14:paraId="51C1FED2" w14:textId="77777777" w:rsidR="00E55018" w:rsidRPr="000267B9" w:rsidRDefault="002273C7" w:rsidP="000267B9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 xml:space="preserve">Conteo de registros por Sector </w:t>
      </w:r>
      <w:proofErr w:type="spellStart"/>
      <w:r w:rsidRPr="000267B9">
        <w:rPr>
          <w:rFonts w:ascii="Times New Roman" w:hAnsi="Times New Roman" w:cs="Times New Roman"/>
        </w:rPr>
        <w:t>Tipico</w:t>
      </w:r>
      <w:proofErr w:type="spellEnd"/>
    </w:p>
    <w:p w14:paraId="1A59A76B" w14:textId="77777777" w:rsidR="00E55018" w:rsidRPr="000267B9" w:rsidRDefault="002273C7" w:rsidP="000267B9">
      <w:pPr>
        <w:spacing w:line="360" w:lineRule="auto"/>
        <w:ind w:left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2E84530D" wp14:editId="2572DD63">
            <wp:extent cx="5731200" cy="7416800"/>
            <wp:effectExtent l="0" t="0" r="0" b="0"/>
            <wp:docPr id="7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1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786146" w14:textId="77777777" w:rsidR="00E55018" w:rsidRPr="000267B9" w:rsidRDefault="00E55018" w:rsidP="000267B9">
      <w:pPr>
        <w:spacing w:line="360" w:lineRule="auto"/>
        <w:ind w:left="720"/>
        <w:rPr>
          <w:rFonts w:ascii="Times New Roman" w:hAnsi="Times New Roman" w:cs="Times New Roman"/>
        </w:rPr>
      </w:pPr>
    </w:p>
    <w:p w14:paraId="3138BD7B" w14:textId="77777777" w:rsidR="00E55018" w:rsidRPr="000267B9" w:rsidRDefault="00E55018" w:rsidP="000267B9">
      <w:pPr>
        <w:spacing w:line="360" w:lineRule="auto"/>
        <w:ind w:left="720"/>
        <w:rPr>
          <w:rFonts w:ascii="Times New Roman" w:hAnsi="Times New Roman" w:cs="Times New Roman"/>
        </w:rPr>
      </w:pPr>
    </w:p>
    <w:p w14:paraId="68C9E5AF" w14:textId="77777777" w:rsidR="00E55018" w:rsidRPr="000267B9" w:rsidRDefault="00E55018" w:rsidP="000267B9">
      <w:pPr>
        <w:spacing w:line="360" w:lineRule="auto"/>
        <w:ind w:left="720"/>
        <w:rPr>
          <w:rFonts w:ascii="Times New Roman" w:hAnsi="Times New Roman" w:cs="Times New Roman"/>
        </w:rPr>
      </w:pPr>
    </w:p>
    <w:p w14:paraId="247D47C9" w14:textId="77777777" w:rsidR="00E55018" w:rsidRPr="000267B9" w:rsidRDefault="00E55018" w:rsidP="000267B9">
      <w:pPr>
        <w:spacing w:line="360" w:lineRule="auto"/>
        <w:ind w:left="720"/>
        <w:rPr>
          <w:rFonts w:ascii="Times New Roman" w:hAnsi="Times New Roman" w:cs="Times New Roman"/>
        </w:rPr>
      </w:pPr>
    </w:p>
    <w:p w14:paraId="7537C25B" w14:textId="77777777" w:rsidR="00E55018" w:rsidRPr="000267B9" w:rsidRDefault="00E55018" w:rsidP="000267B9">
      <w:pPr>
        <w:spacing w:line="360" w:lineRule="auto"/>
        <w:ind w:left="720"/>
        <w:rPr>
          <w:rFonts w:ascii="Times New Roman" w:hAnsi="Times New Roman" w:cs="Times New Roman"/>
        </w:rPr>
      </w:pPr>
    </w:p>
    <w:p w14:paraId="7728232D" w14:textId="77777777" w:rsidR="00E55018" w:rsidRPr="000267B9" w:rsidRDefault="00E55018" w:rsidP="000267B9">
      <w:pPr>
        <w:spacing w:line="360" w:lineRule="auto"/>
        <w:ind w:left="720"/>
        <w:rPr>
          <w:rFonts w:ascii="Times New Roman" w:hAnsi="Times New Roman" w:cs="Times New Roman"/>
        </w:rPr>
      </w:pPr>
    </w:p>
    <w:p w14:paraId="59DA7AF2" w14:textId="77777777" w:rsidR="00E55018" w:rsidRPr="000267B9" w:rsidRDefault="002273C7" w:rsidP="000267B9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Consumo promedio de energía para cada zona de concesión.</w:t>
      </w:r>
    </w:p>
    <w:p w14:paraId="2DAB6AA9" w14:textId="77777777" w:rsidR="00E55018" w:rsidRPr="000267B9" w:rsidRDefault="002273C7" w:rsidP="000267B9">
      <w:p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42A3D344" wp14:editId="21ECA94D">
            <wp:extent cx="5731200" cy="7416800"/>
            <wp:effectExtent l="0" t="0" r="0" b="0"/>
            <wp:docPr id="8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1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55018" w:rsidRPr="000267B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A0081"/>
    <w:multiLevelType w:val="multilevel"/>
    <w:tmpl w:val="F5D469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B7266E2"/>
    <w:multiLevelType w:val="multilevel"/>
    <w:tmpl w:val="5768BD4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3A823B57"/>
    <w:multiLevelType w:val="multilevel"/>
    <w:tmpl w:val="6FE8A38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5642603A"/>
    <w:multiLevelType w:val="multilevel"/>
    <w:tmpl w:val="CA6C42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CC2162D"/>
    <w:multiLevelType w:val="multilevel"/>
    <w:tmpl w:val="DDC8E56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779568B5"/>
    <w:multiLevelType w:val="multilevel"/>
    <w:tmpl w:val="799CF4F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5018"/>
    <w:rsid w:val="000267B9"/>
    <w:rsid w:val="002273C7"/>
    <w:rsid w:val="00514350"/>
    <w:rsid w:val="00E55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333120B"/>
  <w15:docId w15:val="{5D908E69-0AE7-41D0-A370-AE9EBB016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styleId="Tablaconcuadrcula5oscura-nfasis5">
    <w:name w:val="Grid Table 5 Dark Accent 5"/>
    <w:basedOn w:val="Tablanormal"/>
    <w:uiPriority w:val="50"/>
    <w:rsid w:val="000267B9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styleId="Hipervnculo">
    <w:name w:val="Hyperlink"/>
    <w:basedOn w:val="Fuentedeprrafopredeter"/>
    <w:uiPriority w:val="99"/>
    <w:unhideWhenUsed/>
    <w:rsid w:val="00514350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143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drive.google.com/file/d/1A0H1osmfAtF85C0ckRnI5LhXY_ZNytFB/view?usp=sharing" TargetMode="External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jp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30</Pages>
  <Words>3111</Words>
  <Characters>17115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Mikhael Gordillo Inocente</cp:lastModifiedBy>
  <cp:revision>3</cp:revision>
  <dcterms:created xsi:type="dcterms:W3CDTF">2025-09-29T22:02:00Z</dcterms:created>
  <dcterms:modified xsi:type="dcterms:W3CDTF">2025-09-29T22:43:00Z</dcterms:modified>
</cp:coreProperties>
</file>