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FarmifAI: Un Asistente Agrícola con IA Completamente Offline para Comunidades Rurales</w:t>
      </w:r>
    </w:p>
    <w:p>
      <w:pPr>
        <w:jc w:val="center"/>
      </w:pPr>
      <w:r>
        <w:t>Diciembre 2025</w:t>
      </w:r>
    </w:p>
    <w:p/>
    <w:p>
      <w:pPr>
        <w:pStyle w:val="Heading1"/>
      </w:pPr>
      <w:r>
        <w:t>Resumen</w:t>
      </w:r>
    </w:p>
    <w:p>
      <w:r>
        <w:t>Este documento presenta FarmifAI, una aplicación móvil completamente offline diseñada para proporcionar asistencia agrícola a agricultores en áreas rurales con conectividad limitada o inexistente. El sistema integra cuatro modelos de IA: (1) un modelo de visión basado en MobileNetV2 para clasificación de enfermedades en plantas con 21 clases en 5 cultivos, (2) un modelo NLP usando MiniLM para búsqueda semántica con embeddings de 384 dimensiones, (3) un modelo de lenguaje Llama 3.2 1B cuantizado para generación de respuestas contextuales, y (4) reconocimiento de voz basado en Vosk para interacción manos libres. Toda la inferencia se realiza en el dispositivo usando MindSpore Lite y llama.cpp, logrando tiempos de respuesta menores a 5 segundos en dispositivos Android de gama media. La aplicación emplea una arquitectura de Generación Aumentada por Recuperación para proporcionar respuestas precisas y contextuales a consultas agrícolas. Las pruebas de campo demuestran 92.3% de precisión en detección de enfermedades y alta satisfacción de usuarios entre caficultores colombianos.</w:t>
      </w:r>
    </w:p>
    <w:p>
      <w:r>
        <w:rPr>
          <w:b/>
        </w:rPr>
        <w:t xml:space="preserve">Palabras clave: </w:t>
      </w:r>
      <w:r>
        <w:t>IA Móvil, Inferencia Offline, Tecnología Agrícola, Detección de Enfermedades en Plantas, Búsqueda Semántica, Computación en el Borde</w:t>
      </w:r>
    </w:p>
    <w:p>
      <w:pPr>
        <w:pStyle w:val="Heading1"/>
      </w:pPr>
      <w:r>
        <w:t>1. Introducción</w:t>
      </w:r>
    </w:p>
    <w:p>
      <w:r>
        <w:t>Los pequeños agricultores en regiones en desarrollo a menudo carecen de acceso a conectividad de internet confiable y asesoría agrícola experta. Esta brecha tecnológica puede llevar a pérdidas significativas de cultivos debido a enfermedades no detectadas y prácticas agrícolas subóptimas. FarmifAI aborda este desafío desplegando un asistente de IA integral que opera completamente offline en dispositivos Android.</w:t>
      </w:r>
    </w:p>
    <w:p>
      <w:r>
        <w:t>Las principales contribuciones de este trabajo son:</w:t>
      </w:r>
    </w:p>
    <w:p>
      <w:pPr>
        <w:pStyle w:val="ListBullet"/>
      </w:pPr>
      <w:r>
        <w:t>• Un sistema de IA multimodal que combina visión, NLP y capacidades de voz para asistencia agrícola</w:t>
      </w:r>
    </w:p>
    <w:p>
      <w:pPr>
        <w:pStyle w:val="ListBullet"/>
      </w:pPr>
      <w:r>
        <w:t>• Un pipeline de inferencia eficiente en dispositivo logrando rendimiento en tiempo real</w:t>
      </w:r>
    </w:p>
    <w:p>
      <w:pPr>
        <w:pStyle w:val="ListBullet"/>
      </w:pPr>
      <w:r>
        <w:t>• Un enfoque de aprendizaje por transferencia en dos fases para clasificación de enfermedades</w:t>
      </w:r>
    </w:p>
    <w:p>
      <w:pPr>
        <w:pStyle w:val="ListBullet"/>
      </w:pPr>
      <w:r>
        <w:t>• Integración de búsqueda semántica con LLM local para respuestas precisas del dominio</w:t>
      </w:r>
    </w:p>
    <w:p>
      <w:pPr>
        <w:pStyle w:val="Heading1"/>
      </w:pPr>
      <w:r>
        <w:t>2. Arquitectura del Sistema</w:t>
      </w:r>
    </w:p>
    <w:p>
      <w:pPr>
        <w:pStyle w:val="Heading2"/>
      </w:pPr>
      <w:r>
        <w:t>2.1 Visión General</w:t>
      </w:r>
    </w:p>
    <w:p>
      <w:r>
        <w:t>FarmifAI consiste en cuatro componentes principales integrados en una sola aplicación Android:</w:t>
      </w:r>
    </w:p>
    <w:p>
      <w:pPr>
        <w:pStyle w:val="ListNumber"/>
      </w:pPr>
      <w:r>
        <w:t>1. Interfaz de Voz: Conversión de voz a texto (STT) basada en Vosk y TTS de Android</w:t>
      </w:r>
    </w:p>
    <w:p>
      <w:pPr>
        <w:pStyle w:val="ListNumber"/>
      </w:pPr>
      <w:r>
        <w:t>2. Módulo de Visión: Clasificador basado en MobileNetV2 para detección de enfermedades</w:t>
      </w:r>
    </w:p>
    <w:p>
      <w:pPr>
        <w:pStyle w:val="ListNumber"/>
      </w:pPr>
      <w:r>
        <w:t>3. Búsqueda Semántica: Codificador MiniLM con embeddings pre-calculados</w:t>
      </w:r>
    </w:p>
    <w:p>
      <w:pPr>
        <w:pStyle w:val="ListNumber"/>
      </w:pPr>
      <w:r>
        <w:t>4. Modelo de Lenguaje: Llama 3.2 1B cuantizado para generación de respuestas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2975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297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1: Arquitectura del sistema FarmifAI</w:t>
      </w:r>
    </w:p>
    <w:p>
      <w:pPr>
        <w:pStyle w:val="Heading2"/>
      </w:pPr>
      <w:r>
        <w:t>2.2 Stack Tecnológico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DDDDD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880"/>
            <w:shd w:fill="DDDDDD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2880"/>
            <w:shd w:fill="DDDDDD"/>
          </w:tcPr>
          <w:p>
            <w:r>
              <w:rPr>
                <w:b/>
              </w:rPr>
              <w:t>Especificación</w:t>
            </w:r>
          </w:p>
        </w:tc>
      </w:tr>
      <w:tr>
        <w:tc>
          <w:tcPr>
            <w:tcW w:type="dxa" w:w="2880"/>
          </w:tcPr>
          <w:p>
            <w:r>
              <w:t>Modelo de Visión</w:t>
            </w:r>
          </w:p>
        </w:tc>
        <w:tc>
          <w:tcPr>
            <w:tcW w:type="dxa" w:w="2880"/>
          </w:tcPr>
          <w:p>
            <w:r>
              <w:t>MobileNetV2</w:t>
            </w:r>
          </w:p>
        </w:tc>
        <w:tc>
          <w:tcPr>
            <w:tcW w:type="dxa" w:w="2880"/>
          </w:tcPr>
          <w:p>
            <w:r>
              <w:t>21 clases, entrada 224×224</w:t>
            </w:r>
          </w:p>
        </w:tc>
      </w:tr>
      <w:tr>
        <w:tc>
          <w:tcPr>
            <w:tcW w:type="dxa" w:w="2880"/>
          </w:tcPr>
          <w:p>
            <w:r>
              <w:t>Codificador NLP</w:t>
            </w:r>
          </w:p>
        </w:tc>
        <w:tc>
          <w:tcPr>
            <w:tcW w:type="dxa" w:w="2880"/>
          </w:tcPr>
          <w:p>
            <w:r>
              <w:t>MiniLM-L12-v2</w:t>
            </w:r>
          </w:p>
        </w:tc>
        <w:tc>
          <w:tcPr>
            <w:tcW w:type="dxa" w:w="2880"/>
          </w:tcPr>
          <w:p>
            <w:r>
              <w:t>Embeddings de 384 dimensiones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Llama 3.2 1B</w:t>
            </w:r>
          </w:p>
        </w:tc>
        <w:tc>
          <w:tcPr>
            <w:tcW w:type="dxa" w:w="2880"/>
          </w:tcPr>
          <w:p>
            <w:r>
              <w:t>Cuantización Q4_K_M</w:t>
            </w:r>
          </w:p>
        </w:tc>
      </w:tr>
      <w:tr>
        <w:tc>
          <w:tcPr>
            <w:tcW w:type="dxa" w:w="2880"/>
          </w:tcPr>
          <w:p>
            <w:r>
              <w:t>Voz STT</w:t>
            </w:r>
          </w:p>
        </w:tc>
        <w:tc>
          <w:tcPr>
            <w:tcW w:type="dxa" w:w="2880"/>
          </w:tcPr>
          <w:p>
            <w:r>
              <w:t>Vosk</w:t>
            </w:r>
          </w:p>
        </w:tc>
        <w:tc>
          <w:tcPr>
            <w:tcW w:type="dxa" w:w="2880"/>
          </w:tcPr>
          <w:p>
            <w:r>
              <w:t>Modelo español de 50MB</w:t>
            </w:r>
          </w:p>
        </w:tc>
      </w:tr>
      <w:tr>
        <w:tc>
          <w:tcPr>
            <w:tcW w:type="dxa" w:w="2880"/>
          </w:tcPr>
          <w:p>
            <w:r>
              <w:t>Inferencia</w:t>
            </w:r>
          </w:p>
        </w:tc>
        <w:tc>
          <w:tcPr>
            <w:tcW w:type="dxa" w:w="2880"/>
          </w:tcPr>
          <w:p>
            <w:r>
              <w:t>MindSpore Lite</w:t>
            </w:r>
          </w:p>
        </w:tc>
        <w:tc>
          <w:tcPr>
            <w:tcW w:type="dxa" w:w="2880"/>
          </w:tcPr>
          <w:p>
            <w:r>
              <w:t>Optimizado para CPU/GPU</w:t>
            </w:r>
          </w:p>
        </w:tc>
      </w:tr>
    </w:tbl>
    <w:p>
      <w:pPr>
        <w:pStyle w:val="Heading1"/>
      </w:pPr>
      <w:r>
        <w:t>3. Modelo de Visión: Clasificación de Enfermedades</w:t>
      </w:r>
    </w:p>
    <w:p>
      <w:pPr>
        <w:pStyle w:val="Heading2"/>
      </w:pPr>
      <w:r>
        <w:t>3.1 Arquitectura del Modelo</w:t>
      </w:r>
    </w:p>
    <w:p>
      <w:r>
        <w:t>El componente de visión usa MobileNetV2 como arquitectura backbone, elegida por su balance óptimo entre precisión y eficiencia computacional en dispositivos móviles.</w:t>
      </w:r>
    </w:p>
    <w:p>
      <w:pPr>
        <w:spacing w:before="12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r>
              <w:rPr>
                <w:rFonts w:ascii="Consolas" w:hAnsi="Consolas"/>
                <w:sz w:val="18"/>
              </w:rPr>
              <w:t># Definición de arquitectura del modelo</w:t>
              <w:br/>
              <w:t>base_model = MobileNetV2(</w:t>
              <w:br/>
              <w:t xml:space="preserve">    weights='imagenet',</w:t>
              <w:br/>
              <w:t xml:space="preserve">    include_top=False,</w:t>
              <w:br/>
              <w:t xml:space="preserve">    input_shape=(224, 224, 3)</w:t>
              <w:br/>
              <w:t>)</w:t>
              <w:br/>
              <w:br/>
              <w:t>model = Sequential([</w:t>
              <w:br/>
              <w:t xml:space="preserve">    base_model,</w:t>
              <w:br/>
              <w:t xml:space="preserve">    GlobalAveragePooling2D(),</w:t>
              <w:br/>
              <w:t xml:space="preserve">    BatchNormalization(),</w:t>
              <w:br/>
              <w:t xml:space="preserve">    Dense(256, activation='relu'),</w:t>
              <w:br/>
              <w:t xml:space="preserve">    Dropout(0.4),</w:t>
              <w:br/>
              <w:t xml:space="preserve">    Dense(21, activation='softmax')  # 21 clases</w:t>
              <w:br/>
              <w:t>])</w:t>
            </w:r>
          </w:p>
        </w:tc>
      </w:tr>
    </w:tbl>
    <w:p/>
    <w:p>
      <w:pPr>
        <w:jc w:val="center"/>
      </w:pPr>
      <w:r>
        <w:rPr>
          <w:i/>
        </w:rPr>
        <w:t>Código 1: Arquitectura MobileNetV2 para clasificación de enfermedades</w:t>
      </w:r>
    </w:p>
    <w:p>
      <w:pPr>
        <w:pStyle w:val="Heading2"/>
      </w:pPr>
      <w:r>
        <w:t>3.2 Pipeline de Entrenamiento</w:t>
      </w:r>
    </w:p>
    <w:p>
      <w:r>
        <w:t>Empleamos una estrategia de aprendizaje por transferencia en dos fases:</w:t>
      </w:r>
    </w:p>
    <w:p>
      <w:r>
        <w:rPr>
          <w:b/>
        </w:rPr>
        <w:t>Fase 1: Extracción de Características (25 épocas)</w:t>
      </w:r>
    </w:p>
    <w:p>
      <w:pPr>
        <w:pStyle w:val="ListBullet"/>
      </w:pPr>
      <w:r>
        <w:t>• Congelar todas las capas del backbone MobileNetV2</w:t>
      </w:r>
    </w:p>
    <w:p>
      <w:pPr>
        <w:pStyle w:val="ListBullet"/>
      </w:pPr>
      <w:r>
        <w:t>• Entrenar solo la cabeza de clasificación</w:t>
      </w:r>
    </w:p>
    <w:p>
      <w:pPr>
        <w:pStyle w:val="ListBullet"/>
      </w:pPr>
      <w:r>
        <w:t>• Tasa de aprendizaje: 10⁻³ con optimizador Adam</w:t>
      </w:r>
    </w:p>
    <w:p>
      <w:pPr>
        <w:pStyle w:val="ListBullet"/>
      </w:pPr>
      <w:r>
        <w:t>• Tasa de dropout: 0.4</w:t>
      </w:r>
    </w:p>
    <w:p>
      <w:r>
        <w:rPr>
          <w:b/>
        </w:rPr>
        <w:t>Fase 2: Ajuste Fino (35 épocas)</w:t>
      </w:r>
    </w:p>
    <w:p>
      <w:pPr>
        <w:pStyle w:val="ListBullet"/>
      </w:pPr>
      <w:r>
        <w:t>• Descongelar todas las capas</w:t>
      </w:r>
    </w:p>
    <w:p>
      <w:pPr>
        <w:pStyle w:val="ListBullet"/>
      </w:pPr>
      <w:r>
        <w:t>• Tasa de aprendizaje: 10⁻⁵ (reducción de 100x)</w:t>
      </w:r>
    </w:p>
    <w:p>
      <w:pPr>
        <w:pStyle w:val="ListBullet"/>
      </w:pPr>
      <w:r>
        <w:t>• Suavizado de etiquetas: 0.1</w:t>
      </w:r>
    </w:p>
    <w:p>
      <w:pPr>
        <w:pStyle w:val="ListBullet"/>
      </w:pPr>
      <w:r>
        <w:t>• Parada temprana con paciencia de 7 épocas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698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wo_phase_train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9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2: Estrategia de aprendizaje por transferencia en dos fases</w:t>
      </w:r>
    </w:p>
    <w:p>
      <w:pPr>
        <w:spacing w:before="12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r>
              <w:rPr>
                <w:rFonts w:ascii="Consolas" w:hAnsi="Consolas"/>
                <w:sz w:val="18"/>
              </w:rPr>
              <w:t>train_datagen = ImageDataGenerator(</w:t>
              <w:br/>
              <w:t xml:space="preserve">    rescale=1./255,</w:t>
              <w:br/>
              <w:t xml:space="preserve">    rotation_range=40,</w:t>
              <w:br/>
              <w:t xml:space="preserve">    width_shift_range=0.3,</w:t>
              <w:br/>
              <w:t xml:space="preserve">    height_shift_range=0.3,</w:t>
              <w:br/>
              <w:t xml:space="preserve">    shear_range=0.2,</w:t>
              <w:br/>
              <w:t xml:space="preserve">    zoom_range=0.3,</w:t>
              <w:br/>
              <w:t xml:space="preserve">    horizontal_flip=True,</w:t>
              <w:br/>
              <w:t xml:space="preserve">    vertical_flip=True,</w:t>
              <w:br/>
              <w:t xml:space="preserve">    brightness_range=[0.6, 1.4],</w:t>
              <w:br/>
              <w:t xml:space="preserve">    fill_mode='reflect',</w:t>
              <w:br/>
              <w:t xml:space="preserve">    validation_split=0.15</w:t>
              <w:br/>
              <w:t>)</w:t>
            </w:r>
          </w:p>
        </w:tc>
      </w:tr>
    </w:tbl>
    <w:p/>
    <w:p>
      <w:pPr>
        <w:jc w:val="center"/>
      </w:pPr>
      <w:r>
        <w:rPr>
          <w:i/>
        </w:rPr>
        <w:t>Código 2: Configuración de aumento de datos</w:t>
      </w:r>
    </w:p>
    <w:p>
      <w:pPr>
        <w:pStyle w:val="Heading2"/>
      </w:pPr>
      <w:r>
        <w:t>3.3 Pipeline de Inferencia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371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ision_infer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37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3: Pipeline de inferencia del modelo de visión</w:t>
      </w:r>
    </w:p>
    <w:p>
      <w:pPr>
        <w:spacing w:before="12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r>
              <w:rPr>
                <w:rFonts w:ascii="Consolas" w:hAnsi="Consolas"/>
                <w:sz w:val="18"/>
              </w:rPr>
              <w:t>fun preprocessImage(bitmap: Bitmap): ByteBuffer {</w:t>
              <w:br/>
              <w:t xml:space="preserve">    val scaled = Bitmap.createScaledBitmap(bitmap, 224, 224, true)</w:t>
              <w:br/>
              <w:t xml:space="preserve">    val buffer = ByteBuffer.allocateDirect(224 * 224 * 3 * 4)</w:t>
              <w:br/>
              <w:t xml:space="preserve">    buffer.order(ByteOrder.nativeOrder())</w:t>
              <w:br/>
              <w:t xml:space="preserve">    </w:t>
              <w:br/>
              <w:t xml:space="preserve">    for (y in 0 until 224) {</w:t>
              <w:br/>
              <w:t xml:space="preserve">        for (x in 0 until 224) {</w:t>
              <w:br/>
              <w:t xml:space="preserve">            val pixel = scaled.getPixel(x, y)</w:t>
              <w:br/>
              <w:t xml:space="preserve">            // Normalizar al rango [-1, 1]</w:t>
              <w:br/>
              <w:t xml:space="preserve">            buffer.putFloat(((pixel shr 16 and 0xFF) - 127.5f) / 127.5f)</w:t>
              <w:br/>
              <w:t xml:space="preserve">            buffer.putFloat(((pixel shr 8 and 0xFF) - 127.5f) / 127.5f)</w:t>
              <w:br/>
              <w:t xml:space="preserve">            buffer.putFloat(((pixel and 0xFF) - 127.5f) / 127.5f)</w:t>
              <w:br/>
              <w:t xml:space="preserve">        }</w:t>
              <w:br/>
              <w:t xml:space="preserve">    }</w:t>
              <w:br/>
              <w:t xml:space="preserve">    return buffer</w:t>
              <w:br/>
              <w:t>}</w:t>
            </w:r>
          </w:p>
        </w:tc>
      </w:tr>
    </w:tbl>
    <w:p/>
    <w:p>
      <w:pPr>
        <w:jc w:val="center"/>
      </w:pPr>
      <w:r>
        <w:rPr>
          <w:i/>
        </w:rPr>
        <w:t>Código 3: Preprocesamiento de imagen para inferencia</w:t>
      </w:r>
    </w:p>
    <w:p>
      <w:pPr>
        <w:pStyle w:val="Heading2"/>
      </w:pPr>
      <w:r>
        <w:t>3.4 Despliegue</w:t>
      </w:r>
    </w:p>
    <w:p>
      <w:pPr>
        <w:spacing w:before="12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r>
              <w:rPr>
                <w:rFonts w:ascii="Consolas" w:hAnsi="Consolas"/>
                <w:sz w:val="18"/>
              </w:rPr>
              <w:t># Exportar SavedModel de TensorFlow</w:t>
              <w:br/>
              <w:t>python tools/export_trained_model.py \</w:t>
              <w:br/>
              <w:t xml:space="preserve">  --model_path outputs/best_model.h5 \</w:t>
              <w:br/>
              <w:t xml:space="preserve">  --output_dir outputs/exported/</w:t>
              <w:br/>
              <w:br/>
              <w:t># Convertir a formato MindSpore Lite</w:t>
              <w:br/>
              <w:t>python -m mindspore_lite.converter \</w:t>
              <w:br/>
              <w:t xml:space="preserve">  --fmk=TF \</w:t>
              <w:br/>
              <w:t xml:space="preserve">  --modelFile=outputs/exported/saved_model.pb \</w:t>
              <w:br/>
              <w:t xml:space="preserve">  --outputFile=plant_disease_model \</w:t>
              <w:br/>
              <w:t xml:space="preserve">  --inputShape=1,224,224,3</w:t>
              <w:br/>
              <w:br/>
              <w:t># Desplegar a assets de la app</w:t>
              <w:br/>
              <w:t>cp plant_disease_model.ms app/src/main/assets/</w:t>
            </w:r>
          </w:p>
        </w:tc>
      </w:tr>
    </w:tbl>
    <w:p/>
    <w:p>
      <w:pPr>
        <w:jc w:val="center"/>
      </w:pPr>
      <w:r>
        <w:rPr>
          <w:i/>
        </w:rPr>
        <w:t>Código 4: Comandos de conversión y despliegue</w:t>
      </w:r>
    </w:p>
    <w:p>
      <w:pPr>
        <w:pStyle w:val="Heading1"/>
      </w:pPr>
      <w:r>
        <w:t>4. Modelo NLP: Búsqueda Semántica</w:t>
      </w:r>
    </w:p>
    <w:p>
      <w:pPr>
        <w:pStyle w:val="Heading2"/>
      </w:pPr>
      <w:r>
        <w:t>4.1 Implementación del Modelo</w:t>
      </w:r>
    </w:p>
    <w:p>
      <w:r>
        <w:t>El componente de búsqueda semántica usa el modelo paraphrase-multilingual-MiniLM-L12-v2 de Sentence Transformers para codificar consultas y entradas de la base de conocimiento.</w:t>
      </w:r>
    </w:p>
    <w:p>
      <w:pPr>
        <w:pStyle w:val="Heading2"/>
      </w:pPr>
      <w:r>
        <w:t>4.2 Generación de Embeddings</w:t>
      </w:r>
    </w:p>
    <w:p>
      <w:pPr>
        <w:spacing w:before="12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r>
              <w:rPr>
                <w:rFonts w:ascii="Consolas" w:hAnsi="Consolas"/>
                <w:sz w:val="18"/>
              </w:rPr>
              <w:t>import torch</w:t>
              <w:br/>
              <w:t>import torch.nn.functional as F</w:t>
              <w:br/>
              <w:t>from transformers import AutoTokenizer, AutoModel</w:t>
              <w:br/>
              <w:br/>
              <w:t>def encode_with_mean_pooling(model, tokenizer, texts):</w:t>
              <w:br/>
              <w:t xml:space="preserve">    inputs = tokenizer(</w:t>
              <w:br/>
              <w:t xml:space="preserve">        texts, padding="max_length", truncation=True,</w:t>
              <w:br/>
              <w:t xml:space="preserve">        max_length=128, return_tensors="pt"</w:t>
              <w:br/>
              <w:t xml:space="preserve">    )</w:t>
              <w:br/>
              <w:t xml:space="preserve">    </w:t>
              <w:br/>
              <w:t xml:space="preserve">    with torch.no_grad():</w:t>
              <w:br/>
              <w:t xml:space="preserve">        outputs = model(**inputs)</w:t>
              <w:br/>
              <w:t xml:space="preserve">        attention_mask = inputs['attention_mask']</w:t>
              <w:br/>
              <w:t xml:space="preserve">        token_embeddings = outputs.last_hidden_state</w:t>
              <w:br/>
              <w:t xml:space="preserve">        </w:t>
              <w:br/>
              <w:t xml:space="preserve">        # Expandir máscara para broadcasting</w:t>
              <w:br/>
              <w:t xml:space="preserve">        input_mask_expanded = attention_mask.unsqueeze(-1).expand(</w:t>
              <w:br/>
              <w:t xml:space="preserve">            token_embeddings.size()</w:t>
              <w:br/>
              <w:t xml:space="preserve">        ).float()</w:t>
              <w:br/>
              <w:t xml:space="preserve">        </w:t>
              <w:br/>
              <w:t xml:space="preserve">        # Mean pooling</w:t>
              <w:br/>
              <w:t xml:space="preserve">        sum_embeddings = torch.sum(</w:t>
              <w:br/>
              <w:t xml:space="preserve">            token_embeddings * input_mask_expanded, 1</w:t>
              <w:br/>
              <w:t xml:space="preserve">        )</w:t>
              <w:br/>
              <w:t xml:space="preserve">        sum_mask = torch.clamp(input_mask_expanded.sum(1), min=1e-9)</w:t>
              <w:br/>
              <w:t xml:space="preserve">        embeddings = sum_embeddings / sum_mask</w:t>
              <w:br/>
              <w:t xml:space="preserve">        </w:t>
              <w:br/>
              <w:t xml:space="preserve">        # Normalización L2</w:t>
              <w:br/>
              <w:t xml:space="preserve">        embeddings = F.normalize(embeddings, p=2, dim=1)</w:t>
              <w:br/>
              <w:t xml:space="preserve">    </w:t>
              <w:br/>
              <w:t xml:space="preserve">    return embeddings.numpy()</w:t>
            </w:r>
          </w:p>
        </w:tc>
      </w:tr>
    </w:tbl>
    <w:p/>
    <w:p>
      <w:pPr>
        <w:jc w:val="center"/>
      </w:pPr>
      <w:r>
        <w:rPr>
          <w:i/>
        </w:rPr>
        <w:t>Código 5: Mean pooling para embeddings de oraciones</w:t>
      </w:r>
    </w:p>
    <w:p>
      <w:pPr>
        <w:pStyle w:val="Heading2"/>
      </w:pPr>
      <w:r>
        <w:t>4.3 Pipeline de Procesamiento</w:t>
      </w:r>
    </w:p>
    <w:p>
      <w:r>
        <w:t>El pipeline de búsqueda semántica procesa las consultas:</w:t>
      </w:r>
    </w:p>
    <w:p>
      <w:pPr>
        <w:pStyle w:val="ListNumber"/>
      </w:pPr>
      <w:r>
        <w:t>1. Tokenizar consulta de entrada (máx 128 tokens)</w:t>
      </w:r>
    </w:p>
    <w:p>
      <w:pPr>
        <w:pStyle w:val="ListNumber"/>
      </w:pPr>
      <w:r>
        <w:t>2. Codificar consulta usando codificador MiniLM</w:t>
      </w:r>
    </w:p>
    <w:p>
      <w:pPr>
        <w:pStyle w:val="ListNumber"/>
      </w:pPr>
      <w:r>
        <w:t>3. Calcular similitud coseno contra 517 embeddings pre-calculados</w:t>
      </w:r>
    </w:p>
    <w:p>
      <w:pPr>
        <w:pStyle w:val="ListNumber"/>
      </w:pPr>
      <w:r>
        <w:t>4. Recuperar top-3 contextos sobre umbral (0.4)</w:t>
      </w:r>
    </w:p>
    <w:p>
      <w:pPr>
        <w:pStyle w:val="ListNumber"/>
      </w:pPr>
      <w:r>
        <w:t>5. Aumentar prompt con contextos recuperados</w:t>
      </w:r>
    </w:p>
    <w:p>
      <w:pPr>
        <w:pStyle w:val="ListNumber"/>
      </w:pPr>
      <w:r>
        <w:t>6. Generar respuesta usando Llama 3.2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904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ag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90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4: Pipeline de búsqueda semántica para generación de respuestas</w:t>
      </w:r>
    </w:p>
    <w:p>
      <w:pPr>
        <w:spacing w:before="12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r>
              <w:rPr>
                <w:rFonts w:ascii="Consolas" w:hAnsi="Consolas"/>
                <w:sz w:val="18"/>
              </w:rPr>
              <w:t>fun findTopKContexts(query: String, topK: Int = 3): List&lt;Context&gt; {</w:t>
              <w:br/>
              <w:t xml:space="preserve">    val queryEmbedding = computeEmbedding(query)</w:t>
              <w:br/>
              <w:t xml:space="preserve">    </w:t>
              <w:br/>
              <w:t xml:space="preserve">    return kbEmbeddings.mapIndexed { i, emb -&gt;</w:t>
              <w:br/>
              <w:t xml:space="preserve">        val score = cosineSimilarity(queryEmbedding, emb)</w:t>
              <w:br/>
              <w:t xml:space="preserve">        i to score</w:t>
              <w:br/>
              <w:t xml:space="preserve">    }.filter { it.second &gt;= 0.4f }</w:t>
              <w:br/>
              <w:t xml:space="preserve">     .sortedByDescending { it.second }</w:t>
              <w:br/>
              <w:t xml:space="preserve">     .take(topK)</w:t>
              <w:br/>
              <w:t xml:space="preserve">     .map { (idx, score) -&gt;</w:t>
              <w:br/>
              <w:t xml:space="preserve">         Context(</w:t>
              <w:br/>
              <w:t xml:space="preserve">             answer = kbEntries[idx].answer,</w:t>
              <w:br/>
              <w:t xml:space="preserve">             score = score,</w:t>
              <w:br/>
              <w:t xml:space="preserve">             category = kbEntries[idx].category</w:t>
              <w:br/>
              <w:t xml:space="preserve">         )</w:t>
              <w:br/>
              <w:t xml:space="preserve">     }</w:t>
              <w:br/>
              <w:t>}</w:t>
              <w:br/>
              <w:br/>
              <w:t>fun cosineSimilarity(a: FloatArray, b: FloatArray): Float {</w:t>
              <w:br/>
              <w:t xml:space="preserve">    return a.indices.sumOf { (a[it] * b[it]).toDouble() }.toFloat()</w:t>
              <w:br/>
              <w:t>}</w:t>
            </w:r>
          </w:p>
        </w:tc>
      </w:tr>
    </w:tbl>
    <w:p/>
    <w:p>
      <w:pPr>
        <w:jc w:val="center"/>
      </w:pPr>
      <w:r>
        <w:rPr>
          <w:i/>
        </w:rPr>
        <w:t>Código 6: Implementación de búsqueda por similitud coseno</w:t>
      </w:r>
    </w:p>
    <w:p>
      <w:pPr>
        <w:pStyle w:val="Heading1"/>
      </w:pPr>
      <w:r>
        <w:t>5. LLM: Modelo de Lenguaje Local</w:t>
      </w:r>
    </w:p>
    <w:p>
      <w:pPr>
        <w:pStyle w:val="Heading2"/>
      </w:pPr>
      <w:r>
        <w:t>5.1 Implementación del Modelo</w:t>
      </w:r>
    </w:p>
    <w:p>
      <w:r>
        <w:t>FarmifAI usa Llama 3.2 1B Instruct con cuantización Q4_K_M, reduciendo el tamaño del modelo de ~2GB a ~750MB manteniendo la calidad de respuestas.</w:t>
      </w:r>
    </w:p>
    <w:p>
      <w:pPr>
        <w:pStyle w:val="Heading2"/>
      </w:pPr>
      <w:r>
        <w:t>5.2 Inferencia</w:t>
      </w:r>
    </w:p>
    <w:p>
      <w:pPr>
        <w:spacing w:before="12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r>
              <w:rPr>
                <w:rFonts w:ascii="Consolas" w:hAnsi="Consolas"/>
                <w:sz w:val="18"/>
              </w:rPr>
              <w:t>val prompt = """</w:t>
              <w:br/>
              <w:t>&lt;|begin_of_text|&gt;&lt;|start_header_id|&gt;system&lt;|end_header_id|&gt;</w:t>
              <w:br/>
              <w:br/>
              <w:t xml:space="preserve">Eres FarmifAI, un asistente agrícola experto para </w:t>
              <w:br/>
              <w:t xml:space="preserve">agricultores colombianos. Responde de forma clara, </w:t>
              <w:br/>
              <w:t>práctica y concisa.</w:t>
              <w:br/>
              <w:br/>
              <w:t>Contexto relevante:</w:t>
              <w:br/>
              <w:t>$retrievedContext</w:t>
              <w:br/>
              <w:t>&lt;|eot_id|&gt;&lt;|start_header_id|&gt;user&lt;|end_header_id|}</w:t>
              <w:br/>
              <w:br/>
              <w:t>$userQuery&lt;|eot_id|&gt;&lt;|start_header_id|&gt;assistant&lt;|end_header_id|&gt;</w:t>
              <w:br/>
              <w:t>"""</w:t>
              <w:br/>
              <w:br/>
              <w:t>val response = llamaService.generate(</w:t>
              <w:br/>
              <w:t xml:space="preserve">    prompt = prompt,</w:t>
              <w:br/>
              <w:t xml:space="preserve">    maxTokens = 256,</w:t>
              <w:br/>
              <w:t xml:space="preserve">    temperature = 0.7f,</w:t>
              <w:br/>
              <w:t xml:space="preserve">    topP = 0.9f</w:t>
              <w:br/>
              <w:t>)</w:t>
            </w:r>
          </w:p>
        </w:tc>
      </w:tr>
    </w:tbl>
    <w:p/>
    <w:p>
      <w:pPr>
        <w:jc w:val="center"/>
      </w:pPr>
      <w:r>
        <w:rPr>
          <w:i/>
        </w:rPr>
        <w:t>Código 7: Construcción de prompt y generación con Llama 3.2</w:t>
      </w:r>
    </w:p>
    <w:p>
      <w:pPr>
        <w:pStyle w:val="Heading1"/>
      </w:pPr>
      <w:r>
        <w:t>6. Interfaz de Voz</w:t>
      </w:r>
    </w:p>
    <w:p>
      <w:pPr>
        <w:pStyle w:val="Heading2"/>
      </w:pPr>
      <w:r>
        <w:t>6.1 Reconocimiento de Voz</w:t>
      </w:r>
    </w:p>
    <w:p>
      <w:r>
        <w:t>La entrada de voz es manejada por Vosk, un toolkit de reconocimiento de voz offline liviano con un modelo de idioma español de 50MB.</w:t>
      </w:r>
    </w:p>
    <w:p>
      <w:pPr>
        <w:spacing w:before="12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r>
              <w:rPr>
                <w:rFonts w:ascii="Consolas" w:hAnsi="Consolas"/>
                <w:sz w:val="18"/>
              </w:rPr>
              <w:t>class VoiceHelper(context: Context) {</w:t>
              <w:br/>
              <w:t xml:space="preserve">    private var voskModel: Model? = null</w:t>
              <w:br/>
              <w:t xml:space="preserve">    private var speechService: SpeechService? = null</w:t>
              <w:br/>
              <w:t xml:space="preserve">    </w:t>
              <w:br/>
              <w:t xml:space="preserve">    fun initialize(modelPath: String) {</w:t>
              <w:br/>
              <w:t xml:space="preserve">        voskModel = Model(modelPath)</w:t>
              <w:br/>
              <w:t xml:space="preserve">    }</w:t>
              <w:br/>
              <w:t xml:space="preserve">    </w:t>
              <w:br/>
              <w:t xml:space="preserve">    fun startListening() {</w:t>
              <w:br/>
              <w:t xml:space="preserve">        val recognizer = Recognizer(voskModel, 16000.0f)</w:t>
              <w:br/>
              <w:t xml:space="preserve">        speechService = SpeechService(recognizer, 16000.0f)</w:t>
              <w:br/>
              <w:t xml:space="preserve">        speechService?.startListening(object : RecognitionListener {</w:t>
              <w:br/>
              <w:t xml:space="preserve">            override fun onResult(hypothesis: String?) {</w:t>
              <w:br/>
              <w:t xml:space="preserve">                hypothesis?.let {</w:t>
              <w:br/>
              <w:t xml:space="preserve">                    val json = JSONObject(it)</w:t>
              <w:br/>
              <w:t xml:space="preserve">                    val text = json.getString("text")</w:t>
              <w:br/>
              <w:t xml:space="preserve">                    if (text.isNotBlank()) onResult?.invoke(text)</w:t>
              <w:br/>
              <w:t xml:space="preserve">                }</w:t>
              <w:br/>
              <w:t xml:space="preserve">            }</w:t>
              <w:br/>
              <w:t xml:space="preserve">        })</w:t>
              <w:br/>
              <w:t xml:space="preserve">    }</w:t>
              <w:br/>
              <w:t>}</w:t>
            </w:r>
          </w:p>
        </w:tc>
      </w:tr>
    </w:tbl>
    <w:p/>
    <w:p>
      <w:pPr>
        <w:jc w:val="center"/>
      </w:pPr>
      <w:r>
        <w:rPr>
          <w:i/>
        </w:rPr>
        <w:t>Código 8: Integración de Vosk STT</w:t>
      </w:r>
    </w:p>
    <w:p>
      <w:pPr>
        <w:pStyle w:val="Heading1"/>
      </w:pPr>
      <w:r>
        <w:t>7. Resultados y Evaluación</w:t>
      </w:r>
    </w:p>
    <w:p>
      <w:pPr>
        <w:pStyle w:val="Heading2"/>
      </w:pPr>
      <w:r>
        <w:t>7.1 Métricas de Rendimiento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DDDDD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160"/>
            <w:shd w:fill="DDDDDD"/>
          </w:tcPr>
          <w:p>
            <w:r>
              <w:rPr>
                <w:b/>
              </w:rPr>
              <w:t>Latencia</w:t>
            </w:r>
          </w:p>
        </w:tc>
        <w:tc>
          <w:tcPr>
            <w:tcW w:type="dxa" w:w="2160"/>
            <w:shd w:fill="DDDDDD"/>
          </w:tcPr>
          <w:p>
            <w:r>
              <w:rPr>
                <w:b/>
              </w:rPr>
              <w:t>Memoria</w:t>
            </w:r>
          </w:p>
        </w:tc>
        <w:tc>
          <w:tcPr>
            <w:tcW w:type="dxa" w:w="2160"/>
            <w:shd w:fill="DDDDDD"/>
          </w:tcPr>
          <w:p>
            <w:r>
              <w:rPr>
                <w:b/>
              </w:rPr>
              <w:t>Precisión</w:t>
            </w:r>
          </w:p>
        </w:tc>
      </w:tr>
      <w:tr>
        <w:tc>
          <w:tcPr>
            <w:tcW w:type="dxa" w:w="2160"/>
          </w:tcPr>
          <w:p>
            <w:r>
              <w:t>Modelo de Visión</w:t>
            </w:r>
          </w:p>
        </w:tc>
        <w:tc>
          <w:tcPr>
            <w:tcW w:type="dxa" w:w="2160"/>
          </w:tcPr>
          <w:p>
            <w:r>
              <w:t>200-400ms</w:t>
            </w:r>
          </w:p>
        </w:tc>
        <w:tc>
          <w:tcPr>
            <w:tcW w:type="dxa" w:w="2160"/>
          </w:tcPr>
          <w:p>
            <w:r>
              <w:t>50MB</w:t>
            </w:r>
          </w:p>
        </w:tc>
        <w:tc>
          <w:tcPr>
            <w:tcW w:type="dxa" w:w="2160"/>
          </w:tcPr>
          <w:p>
            <w:r>
              <w:t>92.3% Top-1</w:t>
            </w:r>
          </w:p>
        </w:tc>
      </w:tr>
      <w:tr>
        <w:tc>
          <w:tcPr>
            <w:tcW w:type="dxa" w:w="2160"/>
          </w:tcPr>
          <w:p>
            <w:r>
              <w:t>Búsqueda Semántica</w:t>
            </w:r>
          </w:p>
        </w:tc>
        <w:tc>
          <w:tcPr>
            <w:tcW w:type="dxa" w:w="2160"/>
          </w:tcPr>
          <w:p>
            <w:r>
              <w:t>60-130ms</w:t>
            </w:r>
          </w:p>
        </w:tc>
        <w:tc>
          <w:tcPr>
            <w:tcW w:type="dxa" w:w="2160"/>
          </w:tcPr>
          <w:p>
            <w:r>
              <w:t>100MB</w:t>
            </w:r>
          </w:p>
        </w:tc>
        <w:tc>
          <w:tcPr>
            <w:tcW w:type="dxa" w:w="2160"/>
          </w:tcPr>
          <w:p>
            <w:r>
              <w:t>94.4% Top-1</w:t>
            </w:r>
          </w:p>
        </w:tc>
      </w:tr>
      <w:tr>
        <w:tc>
          <w:tcPr>
            <w:tcW w:type="dxa" w:w="2160"/>
          </w:tcPr>
          <w:p>
            <w:r>
              <w:t>Generación LLM</w:t>
            </w:r>
          </w:p>
        </w:tc>
        <w:tc>
          <w:tcPr>
            <w:tcW w:type="dxa" w:w="2160"/>
          </w:tcPr>
          <w:p>
            <w:r>
              <w:t>2-5s</w:t>
            </w:r>
          </w:p>
        </w:tc>
        <w:tc>
          <w:tcPr>
            <w:tcW w:type="dxa" w:w="2160"/>
          </w:tcPr>
          <w:p>
            <w:r>
              <w:t>1.2GB</w:t>
            </w:r>
          </w:p>
        </w:tc>
        <w:tc>
          <w:tcPr>
            <w:tcW w:type="dxa" w:w="2160"/>
          </w:tcPr>
          <w:p>
            <w:r>
              <w:t>--</w:t>
            </w:r>
          </w:p>
        </w:tc>
      </w:tr>
      <w:tr>
        <w:tc>
          <w:tcPr>
            <w:tcW w:type="dxa" w:w="2160"/>
          </w:tcPr>
          <w:p>
            <w:r>
              <w:t>Voz STT</w:t>
            </w:r>
          </w:p>
        </w:tc>
        <w:tc>
          <w:tcPr>
            <w:tcW w:type="dxa" w:w="2160"/>
          </w:tcPr>
          <w:p>
            <w:r>
              <w:t>Tiempo real</w:t>
            </w:r>
          </w:p>
        </w:tc>
        <w:tc>
          <w:tcPr>
            <w:tcW w:type="dxa" w:w="2160"/>
          </w:tcPr>
          <w:p>
            <w:r>
              <w:t>100MB</w:t>
            </w:r>
          </w:p>
        </w:tc>
        <w:tc>
          <w:tcPr>
            <w:tcW w:type="dxa" w:w="2160"/>
          </w:tcPr>
          <w:p>
            <w:r>
              <w:t>85-92%</w:t>
            </w:r>
          </w:p>
        </w:tc>
      </w:tr>
    </w:tbl>
    <w:p>
      <w:pPr>
        <w:jc w:val="center"/>
      </w:pPr>
      <w:r>
        <w:rPr>
          <w:i/>
        </w:rPr>
        <w:t>Tabla 1: Métricas de rendimiento en dispositivo Android de gama media</w:t>
      </w:r>
    </w:p>
    <w:p>
      <w:pPr>
        <w:pStyle w:val="Heading2"/>
      </w:pPr>
      <w:r>
        <w:t>7.2 Resultados de Detección de Enfermedades</w:t>
      </w:r>
    </w:p>
    <w:p>
      <w:r>
        <w:t>El modelo de visión logra:</w:t>
      </w:r>
    </w:p>
    <w:p>
      <w:pPr>
        <w:pStyle w:val="ListBullet"/>
      </w:pPr>
      <w:r>
        <w:t>• Precisión Top-1: 92.3%</w:t>
      </w:r>
    </w:p>
    <w:p>
      <w:pPr>
        <w:pStyle w:val="ListBullet"/>
      </w:pPr>
      <w:r>
        <w:t>• Precisión Top-3: 98.1%</w:t>
      </w:r>
    </w:p>
    <w:p>
      <w:pPr>
        <w:pStyle w:val="ListBullet"/>
      </w:pPr>
      <w:r>
        <w:t>• Tiempo de Inferencia: 200-400ms</w:t>
      </w:r>
    </w:p>
    <w:p>
      <w:pPr>
        <w:pStyle w:val="Heading1"/>
      </w:pPr>
      <w:r>
        <w:t>8. Flujo de Trabajo de Despliegue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81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eployment_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8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5: Flujo de trabajo de despliegue de modelos</w:t>
      </w:r>
    </w:p>
    <w:p>
      <w:pPr>
        <w:pStyle w:val="Heading1"/>
      </w:pPr>
      <w:r>
        <w:t>9. Datasets y Fuentes de Datos</w:t>
      </w:r>
    </w:p>
    <w:p>
      <w:pPr>
        <w:pStyle w:val="Heading2"/>
      </w:pPr>
      <w:r>
        <w:t>9.1 Datos de Entrenamiento del Modelo de Visión</w:t>
      </w:r>
    </w:p>
    <w:p>
      <w:r>
        <w:t>El modelo de clasificación de enfermedades fue entrenado usando dos datasets complementarios:</w:t>
      </w:r>
    </w:p>
    <w:p>
      <w:r>
        <w:rPr>
          <w:b/>
        </w:rPr>
        <w:t xml:space="preserve">Dataset PlantVillage: </w:t>
      </w:r>
      <w:r>
        <w:t>Un dataset públicamente disponible que contiene 54,309 imágenes de hojas de plantas sanas y enfermas en 14 especies de cultivos. Se extrajeron imágenes para cultivos objetivo (tomate, papa, pimiento, maíz) cubriendo 18 clases de enfermedades más estados saludables.</w:t>
      </w:r>
    </w:p>
    <w:p>
      <w:r>
        <w:rPr>
          <w:b/>
        </w:rPr>
        <w:t xml:space="preserve">Disponible en: </w:t>
      </w:r>
      <w:r>
        <w:t>https://github.com/spMohanty/PlantVillage-Dataset y https://www.kaggle.com/datasets/emmarex/plantdisease</w:t>
      </w:r>
    </w:p>
    <w:p>
      <w:r>
        <w:rPr>
          <w:b/>
        </w:rPr>
        <w:t xml:space="preserve">Dataset BRACOL de Café: </w:t>
      </w:r>
      <w:r>
        <w:t>El dataset Brazilian Arabica Coffee Leaf (BRACOL) contiene 1,747 imágenes de hojas de café arábica afectadas por los principales estreses bióticos, incluyendo cuatro clases de enfermedades: Minador de la hoja, Roya del café, Mancha parda y Mancha de Cercospora.</w:t>
      </w:r>
    </w:p>
    <w:p>
      <w:r>
        <w:rPr>
          <w:b/>
        </w:rPr>
        <w:t xml:space="preserve">Disponible en: </w:t>
      </w:r>
      <w:r>
        <w:t>https://data.mendeley.com/datasets/yy2k5y8mxg/1 (Paper: https://doi.org/10.1016/j.compag.2019.105162)</w:t>
      </w:r>
    </w:p>
    <w:p>
      <w:r>
        <w:t>Ambos datasets fueron preprocesados a 224×224 píxeles y aumentados usando rotaciones, volteos, zooms y variaciones de brillo.</w:t>
      </w:r>
    </w:p>
    <w:p>
      <w:pPr>
        <w:pStyle w:val="Heading2"/>
      </w:pPr>
      <w:r>
        <w:t>9.2 Base de Conocimiento NLP</w:t>
      </w:r>
    </w:p>
    <w:p>
      <w:r>
        <w:t>El componente de búsqueda semántica usa una base de conocimiento agrícola curada:</w:t>
      </w:r>
    </w:p>
    <w:p>
      <w:pPr>
        <w:pStyle w:val="ListBullet"/>
      </w:pPr>
      <w:r>
        <w:t>• 517 pares pregunta-respuesta cubriendo manejo de cultivos, identificación de enfermedades, control de plagas</w:t>
      </w:r>
    </w:p>
    <w:p>
      <w:pPr>
        <w:pStyle w:val="ListBullet"/>
      </w:pPr>
      <w:r>
        <w:t>• Preguntas obtenidas de servicios de extensión agrícola, foros de agricultores y consultas con expertos</w:t>
      </w:r>
    </w:p>
    <w:p>
      <w:pPr>
        <w:pStyle w:val="ListBullet"/>
      </w:pPr>
      <w:r>
        <w:t>• Contenido validado por agrónomos de la Universidad del Cauca</w:t>
      </w:r>
    </w:p>
    <w:p>
      <w:pPr>
        <w:pStyle w:val="ListBullet"/>
      </w:pPr>
      <w:r>
        <w:t>• Categorías: Manejo de Cultivos (35%), Control de Enfermedades (30%), Manejo de Plagas (20%), Suelo y Fertilización (15%)</w:t>
      </w:r>
    </w:p>
    <w:p>
      <w:pPr>
        <w:pStyle w:val="Heading2"/>
      </w:pPr>
      <w:r>
        <w:t>9.3 Modelo de Reconocimiento de Voz</w:t>
      </w:r>
    </w:p>
    <w:p>
      <w:r>
        <w:t>El reconocimiento de voz offline usa el modelo de idioma español pre-entrenado de Vosk (vosk-model-small-es-0.42):</w:t>
      </w:r>
    </w:p>
    <w:p>
      <w:pPr>
        <w:pStyle w:val="ListBullet"/>
      </w:pPr>
      <w:r>
        <w:t>• Datos de entrenamiento: Corpus Common Voice en español + datasets propietarios</w:t>
      </w:r>
    </w:p>
    <w:p>
      <w:pPr>
        <w:pStyle w:val="ListBullet"/>
      </w:pPr>
      <w:r>
        <w:t>• Tamaño del modelo: 50MB comprimido</w:t>
      </w:r>
    </w:p>
    <w:p>
      <w:pPr>
        <w:pStyle w:val="ListBullet"/>
      </w:pPr>
      <w:r>
        <w:t>• Optimizado para dialectos del español latinoamericano</w:t>
      </w:r>
    </w:p>
    <w:p>
      <w:pPr>
        <w:pStyle w:val="ListBullet"/>
      </w:pPr>
      <w:r>
        <w:t>• Vocabulario adaptado incluye terminología agrícola</w:t>
      </w:r>
    </w:p>
    <w:p>
      <w:r>
        <w:rPr>
          <w:b/>
        </w:rPr>
        <w:t xml:space="preserve">Disponible en: </w:t>
      </w:r>
      <w:r>
        <w:t>https://alphacephei.com/vosk/models/vosk-model-small-es-0.42.zip (Modelos oficiales: https://alphacephei.com/vosk/models)</w:t>
      </w:r>
    </w:p>
    <w:p>
      <w:pPr>
        <w:pStyle w:val="Heading2"/>
      </w:pPr>
      <w:r>
        <w:t>9.4 Modelo de Lenguaje</w:t>
      </w:r>
    </w:p>
    <w:p>
      <w:r>
        <w:t>El modelo Llama 3.2 1B Instruct fue desarrollado por Meta AI:</w:t>
      </w:r>
    </w:p>
    <w:p>
      <w:pPr>
        <w:pStyle w:val="ListBullet"/>
      </w:pPr>
      <w:r>
        <w:t>• Pre-entrenado en texto diverso de internet y código</w:t>
      </w:r>
    </w:p>
    <w:p>
      <w:pPr>
        <w:pStyle w:val="ListBullet"/>
      </w:pPr>
      <w:r>
        <w:t>• Ajustado para tareas de seguimiento de instrucciones</w:t>
      </w:r>
    </w:p>
    <w:p>
      <w:pPr>
        <w:pStyle w:val="ListBullet"/>
      </w:pPr>
      <w:r>
        <w:t>• Cuantizado a formato Q4_K_M usando llama.cpp</w:t>
      </w:r>
    </w:p>
    <w:p>
      <w:pPr>
        <w:pStyle w:val="ListBullet"/>
      </w:pPr>
      <w:r>
        <w:t>• No se aplicó ajuste fino adicional específico del dominio</w:t>
      </w:r>
    </w:p>
    <w:p>
      <w:r>
        <w:rPr>
          <w:b/>
        </w:rPr>
        <w:t xml:space="preserve">Disponible en: </w:t>
      </w:r>
      <w:r>
        <w:t>https://huggingface.co/meta-llama/Llama-3.2-1B-Instruct (Cuantizado: https://huggingface.co/bartowski/Llama-3.2-1B-Instruct-GGUF)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