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EF" w:rsidRDefault="00FD36EF" w:rsidP="00FD36EF">
      <w:pPr>
        <w:pStyle w:val="1"/>
      </w:pPr>
      <w:bookmarkStart w:id="0" w:name="bookmark0"/>
      <w:r>
        <w:t>ОБЩИЕ ПОЛОЖЕНИЯ</w:t>
      </w:r>
      <w:bookmarkEnd w:id="0"/>
    </w:p>
    <w:p w:rsidR="00FD36EF" w:rsidRDefault="00FD36EF" w:rsidP="00FD36EF">
      <w:pPr>
        <w:pStyle w:val="11"/>
      </w:pPr>
      <w:bookmarkStart w:id="1" w:name="bookmark1"/>
      <w:r>
        <w:t>Область применения</w:t>
      </w:r>
      <w:bookmarkEnd w:id="1"/>
    </w:p>
    <w:p w:rsidR="003F3E58" w:rsidRDefault="00FD36EF" w:rsidP="00FD36EF">
      <w:pPr>
        <w:pStyle w:val="21"/>
      </w:pPr>
      <w:r>
        <w:t>Политика информационной безопасност</w:t>
      </w:r>
      <w:proofErr w:type="gramStart"/>
      <w:r>
        <w:t xml:space="preserve">и </w:t>
      </w:r>
      <w:r>
        <w:t>ООО</w:t>
      </w:r>
      <w:proofErr w:type="gramEnd"/>
      <w:r w:rsidRPr="00FD36EF">
        <w:t>”</w:t>
      </w:r>
      <w:r>
        <w:rPr>
          <w:lang w:val="en-US"/>
        </w:rPr>
        <w:t>Wayne</w:t>
      </w:r>
      <w:r w:rsidRPr="00FD36EF">
        <w:t xml:space="preserve"> </w:t>
      </w:r>
      <w:r>
        <w:rPr>
          <w:lang w:val="en-US"/>
        </w:rPr>
        <w:t>Enterprise</w:t>
      </w:r>
      <w:r w:rsidRPr="00FD36EF">
        <w:t xml:space="preserve">” </w:t>
      </w:r>
      <w:r>
        <w:t>определяет высо</w:t>
      </w:r>
      <w:r>
        <w:softHyphen/>
        <w:t>коуровневые цели, содержание и основные направления деятельности по обеспечению ин</w:t>
      </w:r>
      <w:r>
        <w:softHyphen/>
        <w:t>формационной безопасности Компании.</w:t>
      </w:r>
    </w:p>
    <w:p w:rsidR="00FD36EF" w:rsidRDefault="00FD36EF" w:rsidP="00FD36EF">
      <w:pPr>
        <w:pStyle w:val="21"/>
      </w:pPr>
      <w:r>
        <w:t>Положения настоящего документа распространяются на все структурные подразде</w:t>
      </w:r>
      <w:r>
        <w:softHyphen/>
        <w:t>ления Компании, независимо от их местонахождения и являются обязательными для испол</w:t>
      </w:r>
      <w:r>
        <w:softHyphen/>
        <w:t>нения.</w:t>
      </w:r>
    </w:p>
    <w:p w:rsidR="00FD36EF" w:rsidRDefault="00FD36EF" w:rsidP="00FD36EF">
      <w:pPr>
        <w:pStyle w:val="11"/>
      </w:pPr>
      <w:bookmarkStart w:id="2" w:name="bookmark2"/>
      <w:r>
        <w:t>Термины и определения</w:t>
      </w:r>
      <w:bookmarkEnd w:id="2"/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1"/>
        <w:gridCol w:w="6643"/>
      </w:tblGrid>
      <w:tr w:rsidR="00FD36EF" w:rsidTr="003F3E58">
        <w:trPr>
          <w:trHeight w:hRule="exact" w:val="302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center"/>
              <w:rPr>
                <w:lang w:bidi="ru-RU"/>
              </w:rPr>
            </w:pPr>
            <w:r>
              <w:rPr>
                <w:rStyle w:val="14"/>
              </w:rPr>
              <w:t>Термин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center"/>
              <w:rPr>
                <w:lang w:bidi="ru-RU"/>
              </w:rPr>
            </w:pPr>
            <w:r>
              <w:rPr>
                <w:rStyle w:val="14"/>
              </w:rPr>
              <w:t>Определение</w:t>
            </w:r>
          </w:p>
        </w:tc>
      </w:tr>
      <w:tr w:rsidR="00FD36EF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Служебная информация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Информация, создаваемая, обрабатываемая и используемая Компанией, доверенная Компании её клиентами и бизнес парт</w:t>
            </w:r>
            <w:r>
              <w:rPr>
                <w:rStyle w:val="14"/>
                <w:sz w:val="20"/>
                <w:szCs w:val="20"/>
              </w:rPr>
              <w:softHyphen/>
              <w:t>нерами, а также информация, которую Компания должна защи</w:t>
            </w:r>
            <w:r>
              <w:rPr>
                <w:rStyle w:val="14"/>
                <w:sz w:val="20"/>
                <w:szCs w:val="20"/>
              </w:rPr>
              <w:softHyphen/>
              <w:t>щать в соответствии с действующим законодательством Россий</w:t>
            </w:r>
            <w:r>
              <w:rPr>
                <w:rStyle w:val="14"/>
                <w:sz w:val="20"/>
                <w:szCs w:val="20"/>
              </w:rPr>
              <w:softHyphen/>
              <w:t>ской Федерации</w:t>
            </w:r>
          </w:p>
        </w:tc>
      </w:tr>
      <w:tr w:rsidR="00FD36EF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Владелец информации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Организационная роль сотрудника Компании по обеспечению ИБ информации, создаваемой в рамках своего подразделения.</w:t>
            </w:r>
          </w:p>
        </w:tc>
      </w:tr>
      <w:tr w:rsidR="00FD36EF" w:rsidTr="003F3E58">
        <w:trPr>
          <w:trHeight w:hRule="exact" w:val="1500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Организационная роль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Совокупность обязанностей сотрудника Компании, возлагаемых на него отдельными поручениями руководства Компании или Ру</w:t>
            </w:r>
            <w:r>
              <w:rPr>
                <w:rStyle w:val="14"/>
                <w:sz w:val="20"/>
                <w:szCs w:val="20"/>
              </w:rPr>
              <w:softHyphen/>
              <w:t>ководителем подразделения, и уточняющие отдельные положе</w:t>
            </w:r>
            <w:r>
              <w:rPr>
                <w:rStyle w:val="14"/>
                <w:sz w:val="20"/>
                <w:szCs w:val="20"/>
              </w:rPr>
              <w:softHyphen/>
              <w:t xml:space="preserve">ния должностных обязанностей (например, участие в конкретной рабочей группе, кураторство нескольких конкретных филиалов, участие в разработке </w:t>
            </w:r>
            <w:proofErr w:type="spellStart"/>
            <w:proofErr w:type="gramStart"/>
            <w:r>
              <w:rPr>
                <w:rStyle w:val="14"/>
                <w:sz w:val="20"/>
                <w:szCs w:val="20"/>
              </w:rPr>
              <w:t>конкре</w:t>
            </w:r>
            <w:proofErr w:type="spellEnd"/>
            <w:r>
              <w:rPr>
                <w:rStyle w:val="1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14"/>
                <w:sz w:val="20"/>
                <w:szCs w:val="20"/>
              </w:rPr>
              <w:t>тного</w:t>
            </w:r>
            <w:proofErr w:type="spellEnd"/>
            <w:proofErr w:type="gramEnd"/>
            <w:r>
              <w:rPr>
                <w:rStyle w:val="14"/>
                <w:sz w:val="20"/>
                <w:szCs w:val="20"/>
              </w:rPr>
              <w:t xml:space="preserve"> проекта, и т.п.)</w:t>
            </w:r>
          </w:p>
        </w:tc>
      </w:tr>
      <w:tr w:rsidR="00FD36EF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Политика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Настоящий документ</w:t>
            </w:r>
          </w:p>
        </w:tc>
      </w:tr>
      <w:tr w:rsidR="00FD36EF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Руководитель, Руководитель подразделения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D36EF" w:rsidRDefault="00FD36EF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Руководитель Департамента, Управления, не входящего в струк</w:t>
            </w:r>
            <w:r>
              <w:rPr>
                <w:rStyle w:val="14"/>
                <w:sz w:val="20"/>
                <w:szCs w:val="20"/>
              </w:rPr>
              <w:softHyphen/>
              <w:t>туру Департамента, Отдела, не входящего в структуру Дирекции или Департамента</w:t>
            </w:r>
          </w:p>
        </w:tc>
      </w:tr>
      <w:tr w:rsidR="003F3E58" w:rsidTr="003F3E58">
        <w:trPr>
          <w:trHeight w:hRule="exact" w:val="240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Информационная инфраструктура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Система организационных структур, обеспечивающих функцио</w:t>
            </w:r>
            <w:r>
              <w:rPr>
                <w:rStyle w:val="14"/>
                <w:sz w:val="20"/>
                <w:szCs w:val="20"/>
              </w:rPr>
              <w:softHyphen/>
              <w:t>нирование и развитие информационного пространства и средств информационного взаимодействия.</w:t>
            </w:r>
          </w:p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Примечание</w:t>
            </w:r>
          </w:p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Информационная инфраструктура:</w:t>
            </w:r>
          </w:p>
          <w:p w:rsidR="003F3E58" w:rsidRDefault="003F3E58" w:rsidP="003F3E58">
            <w:pPr>
              <w:pStyle w:val="2"/>
              <w:numPr>
                <w:ilvl w:val="0"/>
                <w:numId w:val="3"/>
              </w:numPr>
              <w:shd w:val="clear" w:color="auto" w:fill="auto"/>
              <w:tabs>
                <w:tab w:val="left" w:pos="413"/>
              </w:tabs>
              <w:spacing w:after="0" w:line="240" w:lineRule="auto"/>
              <w:ind w:left="400" w:hanging="280"/>
              <w:jc w:val="left"/>
              <w:rPr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включает совокупность информационных центров, баз дан</w:t>
            </w:r>
            <w:r>
              <w:rPr>
                <w:rStyle w:val="14"/>
                <w:sz w:val="20"/>
                <w:szCs w:val="20"/>
              </w:rPr>
              <w:softHyphen/>
              <w:t>ных и знаний, систем связи;</w:t>
            </w:r>
          </w:p>
          <w:p w:rsidR="003F3E58" w:rsidRPr="003F3E58" w:rsidRDefault="003F3E58" w:rsidP="003F3E58">
            <w:pPr>
              <w:pStyle w:val="2"/>
              <w:numPr>
                <w:ilvl w:val="0"/>
                <w:numId w:val="3"/>
              </w:numPr>
              <w:shd w:val="clear" w:color="auto" w:fill="auto"/>
              <w:tabs>
                <w:tab w:val="left" w:pos="413"/>
              </w:tabs>
              <w:spacing w:after="0" w:line="240" w:lineRule="auto"/>
              <w:ind w:left="400" w:hanging="280"/>
              <w:jc w:val="left"/>
              <w:rPr>
                <w:sz w:val="20"/>
                <w:szCs w:val="20"/>
              </w:rPr>
            </w:pPr>
            <w:r w:rsidRPr="003F3E58">
              <w:rPr>
                <w:rStyle w:val="14"/>
                <w:sz w:val="20"/>
                <w:szCs w:val="20"/>
              </w:rPr>
              <w:t>обеспечивает доступ потребителей к информационным ресур</w:t>
            </w:r>
            <w:r w:rsidRPr="003F3E58">
              <w:rPr>
                <w:rStyle w:val="14"/>
                <w:sz w:val="20"/>
                <w:szCs w:val="20"/>
              </w:rPr>
              <w:softHyphen/>
              <w:t>сам.</w:t>
            </w:r>
          </w:p>
        </w:tc>
      </w:tr>
      <w:tr w:rsidR="003F3E58" w:rsidTr="003F3E58">
        <w:trPr>
          <w:trHeight w:hRule="exact" w:val="709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Информационная</w:t>
            </w:r>
            <w:r>
              <w:rPr>
                <w:rStyle w:val="11pt"/>
                <w:b/>
                <w:bCs/>
                <w:lang w:val="en-US"/>
              </w:rPr>
              <w:t xml:space="preserve"> </w:t>
            </w:r>
            <w:r>
              <w:rPr>
                <w:rStyle w:val="11pt"/>
                <w:b/>
                <w:bCs/>
              </w:rPr>
              <w:t>безопасность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 w:rsidP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 xml:space="preserve">Безопасность, связанная с угрозами в информационной сфере. </w:t>
            </w:r>
          </w:p>
        </w:tc>
      </w:tr>
      <w:tr w:rsidR="003F3E58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10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Угроза информацион</w:t>
            </w:r>
            <w:r>
              <w:rPr>
                <w:rStyle w:val="11pt"/>
                <w:b/>
                <w:bCs/>
              </w:rPr>
              <w:softHyphen/>
              <w:t>ной безопасности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sz w:val="20"/>
                <w:szCs w:val="20"/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Опасность, предполагающая возможность потерь (ущерба) по причине нарушения свойств ИБ - доступности, целостности или конфиденциальности информационных активов.</w:t>
            </w:r>
          </w:p>
        </w:tc>
      </w:tr>
      <w:tr w:rsidR="003F3E58" w:rsidTr="003F3E58">
        <w:trPr>
          <w:trHeight w:hRule="exact" w:val="2136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83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lastRenderedPageBreak/>
              <w:t>Инцидент информаци</w:t>
            </w:r>
            <w:r>
              <w:rPr>
                <w:rStyle w:val="11pt"/>
                <w:b/>
                <w:bCs/>
              </w:rPr>
              <w:softHyphen/>
              <w:t>онной безопасности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 xml:space="preserve">Событие, указывающее на </w:t>
            </w:r>
            <w:proofErr w:type="gramStart"/>
            <w:r>
              <w:rPr>
                <w:rStyle w:val="14"/>
                <w:sz w:val="20"/>
                <w:szCs w:val="20"/>
              </w:rPr>
              <w:t>свершившуюся</w:t>
            </w:r>
            <w:proofErr w:type="gramEnd"/>
            <w:r>
              <w:rPr>
                <w:rStyle w:val="14"/>
                <w:sz w:val="20"/>
                <w:szCs w:val="20"/>
              </w:rPr>
              <w:t>, предпринимаемую</w:t>
            </w:r>
          </w:p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или вероятную реализацию угрозы ИБ</w:t>
            </w:r>
          </w:p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Примечание.</w:t>
            </w:r>
          </w:p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lang w:bidi="ru-RU"/>
              </w:rPr>
            </w:pPr>
            <w:r>
              <w:rPr>
                <w:rStyle w:val="14"/>
                <w:sz w:val="20"/>
                <w:szCs w:val="20"/>
              </w:rPr>
              <w:t>Нарушение может вызываться источниками угроз ИБ: либо слу</w:t>
            </w:r>
            <w:r>
              <w:rPr>
                <w:rStyle w:val="14"/>
                <w:sz w:val="20"/>
                <w:szCs w:val="20"/>
              </w:rPr>
              <w:softHyphen/>
              <w:t>чайными факторами (ошибкой персонала, неправильным функ</w:t>
            </w:r>
            <w:r>
              <w:rPr>
                <w:rStyle w:val="14"/>
                <w:sz w:val="20"/>
                <w:szCs w:val="20"/>
              </w:rPr>
              <w:softHyphen/>
              <w:t>ционированием технических средств, природными факторами, например, пожаром или наводнением), либо преднамеренными действиями, приводящими к нарушению доступности, целостно</w:t>
            </w:r>
            <w:r>
              <w:rPr>
                <w:rStyle w:val="14"/>
                <w:sz w:val="20"/>
                <w:szCs w:val="20"/>
              </w:rPr>
              <w:softHyphen/>
              <w:t>сти или конфиденциальности информационных активов.</w:t>
            </w:r>
          </w:p>
        </w:tc>
      </w:tr>
      <w:tr w:rsidR="003F3E58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Нарушитель информа</w:t>
            </w:r>
            <w:r>
              <w:rPr>
                <w:rStyle w:val="11pt"/>
                <w:b/>
                <w:bCs/>
              </w:rPr>
              <w:softHyphen/>
              <w:t>ционной безопасности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 xml:space="preserve">Субъект, реализующий угрозы ИБ, нарушая </w:t>
            </w:r>
            <w:r>
              <w:rPr>
                <w:rStyle w:val="14"/>
                <w:sz w:val="20"/>
                <w:szCs w:val="20"/>
              </w:rPr>
              <w:t>предоставленные ему полномочия п</w:t>
            </w:r>
            <w:r>
              <w:rPr>
                <w:rStyle w:val="14"/>
                <w:sz w:val="20"/>
                <w:szCs w:val="20"/>
              </w:rPr>
              <w:t>о доступу к информационным активам или по распоряжению ими.</w:t>
            </w:r>
          </w:p>
        </w:tc>
      </w:tr>
      <w:tr w:rsidR="003F3E58" w:rsidTr="003F3E58">
        <w:trPr>
          <w:trHeight w:hRule="exact" w:val="2123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Модель нарушителя информационной без</w:t>
            </w:r>
            <w:r>
              <w:rPr>
                <w:rStyle w:val="11pt"/>
                <w:b/>
                <w:bCs/>
              </w:rPr>
              <w:softHyphen/>
              <w:t>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Описание и классификация нарушителей ИБ, включая описание их опыта, знаний, доступных ресурсов, необходимых для реали</w:t>
            </w:r>
            <w:r>
              <w:rPr>
                <w:rStyle w:val="14"/>
                <w:sz w:val="20"/>
                <w:szCs w:val="20"/>
              </w:rPr>
              <w:softHyphen/>
              <w:t>зации угрозы, возможной мотивации их действий, а также спо</w:t>
            </w:r>
            <w:r>
              <w:rPr>
                <w:rStyle w:val="14"/>
                <w:sz w:val="20"/>
                <w:szCs w:val="20"/>
              </w:rPr>
              <w:softHyphen/>
              <w:t>собы реализации угроз ИБ со стороны указанных нарушителей.</w:t>
            </w:r>
          </w:p>
        </w:tc>
      </w:tr>
      <w:tr w:rsidR="003F3E58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78" w:lineRule="exact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Модель угроз инфор</w:t>
            </w:r>
            <w:r>
              <w:rPr>
                <w:rStyle w:val="11pt"/>
                <w:b/>
                <w:bCs/>
              </w:rPr>
              <w:softHyphen/>
              <w:t>мационной безопасно</w:t>
            </w:r>
            <w:r>
              <w:rPr>
                <w:rStyle w:val="11pt"/>
                <w:b/>
                <w:bCs/>
              </w:rPr>
              <w:softHyphen/>
              <w:t>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Описание источников угроз ИБ; методов реализации угроз ИБ; объектов, пригодных для реализации угроз ИБ; уязвимостей, ис</w:t>
            </w:r>
            <w:r>
              <w:rPr>
                <w:rStyle w:val="14"/>
                <w:sz w:val="20"/>
                <w:szCs w:val="20"/>
              </w:rPr>
              <w:softHyphen/>
              <w:t>пользуемых источниками угроз ИБ; типов возможных потерь (например, нарушение доступности, целостности или конфиден</w:t>
            </w:r>
            <w:r>
              <w:rPr>
                <w:rStyle w:val="14"/>
                <w:sz w:val="20"/>
                <w:szCs w:val="20"/>
              </w:rPr>
              <w:softHyphen/>
              <w:t>циальности информационных активов); масштабов потенциаль</w:t>
            </w:r>
            <w:r>
              <w:rPr>
                <w:rStyle w:val="14"/>
                <w:sz w:val="20"/>
                <w:szCs w:val="20"/>
              </w:rPr>
              <w:softHyphen/>
              <w:t>ного ущерба.</w:t>
            </w:r>
          </w:p>
        </w:tc>
      </w:tr>
      <w:tr w:rsidR="003F3E58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Риск нарушения ин</w:t>
            </w:r>
            <w:r>
              <w:rPr>
                <w:rStyle w:val="11pt"/>
                <w:b/>
                <w:bCs/>
              </w:rPr>
              <w:softHyphen/>
              <w:t>формационной без</w:t>
            </w:r>
            <w:r>
              <w:rPr>
                <w:rStyle w:val="11pt"/>
                <w:b/>
                <w:bCs/>
              </w:rPr>
              <w:softHyphen/>
              <w:t>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Мера, учитывающая вероятность реализации угрозы ИБ и вели</w:t>
            </w:r>
            <w:r>
              <w:rPr>
                <w:rStyle w:val="14"/>
                <w:sz w:val="20"/>
                <w:szCs w:val="20"/>
              </w:rPr>
              <w:softHyphen/>
              <w:t>чину потерь (ущерба) от реализации этой угрозы.</w:t>
            </w:r>
          </w:p>
        </w:tc>
      </w:tr>
      <w:tr w:rsidR="003F3E58" w:rsidTr="003F3E58">
        <w:trPr>
          <w:trHeight w:hRule="exact" w:val="1280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Оценка риска наруше</w:t>
            </w:r>
            <w:r>
              <w:rPr>
                <w:rStyle w:val="11pt"/>
                <w:b/>
                <w:bCs/>
              </w:rPr>
              <w:softHyphen/>
              <w:t>ния информационной безопасности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Систематический и документированный процесс выявления, сбора, использования и анализа информации, позволяющей про</w:t>
            </w:r>
            <w:r>
              <w:rPr>
                <w:rStyle w:val="14"/>
                <w:sz w:val="20"/>
                <w:szCs w:val="20"/>
              </w:rPr>
              <w:softHyphen/>
              <w:t>вести оценивание рисков нарушения ИБ.</w:t>
            </w:r>
          </w:p>
        </w:tc>
      </w:tr>
      <w:tr w:rsidR="003F3E58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 xml:space="preserve">Обработка риска </w:t>
            </w:r>
            <w:proofErr w:type="gramStart"/>
            <w:r>
              <w:rPr>
                <w:rStyle w:val="11pt"/>
                <w:b/>
                <w:bCs/>
              </w:rPr>
              <w:t>нарушении</w:t>
            </w:r>
            <w:proofErr w:type="gramEnd"/>
            <w:r>
              <w:rPr>
                <w:rStyle w:val="11pt"/>
                <w:b/>
                <w:bCs/>
              </w:rPr>
              <w:t xml:space="preserve"> информа</w:t>
            </w:r>
            <w:r>
              <w:rPr>
                <w:rStyle w:val="11pt"/>
                <w:b/>
                <w:bCs/>
              </w:rPr>
              <w:softHyphen/>
              <w:t>ционной безопасности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 xml:space="preserve">Процесс выбора и </w:t>
            </w:r>
            <w:proofErr w:type="gramStart"/>
            <w:r>
              <w:rPr>
                <w:rStyle w:val="14"/>
                <w:sz w:val="20"/>
                <w:szCs w:val="20"/>
              </w:rPr>
              <w:t>осуществления</w:t>
            </w:r>
            <w:proofErr w:type="gramEnd"/>
            <w:r>
              <w:rPr>
                <w:rStyle w:val="14"/>
                <w:sz w:val="20"/>
                <w:szCs w:val="20"/>
              </w:rPr>
              <w:t xml:space="preserve"> защитных мер, снижающих риск нарушения ИБ. или мер по переносу, принятию или уходу от риска.</w:t>
            </w:r>
          </w:p>
        </w:tc>
      </w:tr>
      <w:tr w:rsidR="003F3E58" w:rsidTr="003F3E58">
        <w:trPr>
          <w:trHeight w:hRule="exact" w:val="1134"/>
        </w:trPr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/>
              <w:ind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Остаточный риск нарушения информа</w:t>
            </w:r>
            <w:r>
              <w:rPr>
                <w:rStyle w:val="11pt"/>
                <w:b/>
                <w:bCs/>
              </w:rPr>
              <w:softHyphen/>
              <w:t>ционной безопасности</w:t>
            </w:r>
          </w:p>
        </w:tc>
        <w:tc>
          <w:tcPr>
            <w:tcW w:w="3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F3E58" w:rsidRDefault="003F3E58">
            <w:pPr>
              <w:pStyle w:val="2"/>
              <w:shd w:val="clear" w:color="auto" w:fill="auto"/>
              <w:spacing w:after="0" w:line="240" w:lineRule="auto"/>
              <w:ind w:firstLine="0"/>
              <w:jc w:val="left"/>
              <w:rPr>
                <w:rStyle w:val="14"/>
                <w:sz w:val="20"/>
                <w:szCs w:val="20"/>
              </w:rPr>
            </w:pPr>
            <w:r>
              <w:rPr>
                <w:rStyle w:val="14"/>
                <w:sz w:val="20"/>
                <w:szCs w:val="20"/>
              </w:rPr>
              <w:t>Риск, остающийся после обработки риска нарушения ИБ.</w:t>
            </w:r>
          </w:p>
        </w:tc>
      </w:tr>
    </w:tbl>
    <w:p w:rsidR="00FD36EF" w:rsidRDefault="00FD36EF" w:rsidP="00FD36EF">
      <w:pPr>
        <w:pStyle w:val="10"/>
        <w:numPr>
          <w:ilvl w:val="0"/>
          <w:numId w:val="0"/>
        </w:numPr>
        <w:ind w:left="792"/>
      </w:pPr>
    </w:p>
    <w:p w:rsidR="00FD36EF" w:rsidRDefault="00FD36EF" w:rsidP="00FD36EF">
      <w:pPr>
        <w:pStyle w:val="11"/>
      </w:pPr>
      <w:r>
        <w:t>Сокращения</w:t>
      </w:r>
    </w:p>
    <w:p w:rsidR="00FD36EF" w:rsidRDefault="00FD36EF" w:rsidP="00FD36EF">
      <w:pPr>
        <w:rPr>
          <w:rFonts w:ascii="Times New Roman" w:hAnsi="Times New Roman" w:cs="Times New Roman"/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5659"/>
        <w:gridCol w:w="2530"/>
      </w:tblGrid>
      <w:tr w:rsidR="00FD36EF" w:rsidTr="00FD36EF">
        <w:trPr>
          <w:trHeight w:hRule="exact" w:val="30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10" w:lineRule="exact"/>
              <w:ind w:left="220" w:firstLine="0"/>
              <w:jc w:val="left"/>
              <w:rPr>
                <w:lang w:bidi="ru-RU"/>
              </w:rPr>
            </w:pPr>
            <w:r>
              <w:rPr>
                <w:rStyle w:val="14"/>
              </w:rPr>
              <w:t>Сокращение</w:t>
            </w:r>
          </w:p>
        </w:tc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center"/>
              <w:rPr>
                <w:lang w:bidi="ru-RU"/>
              </w:rPr>
            </w:pPr>
            <w:r>
              <w:rPr>
                <w:rStyle w:val="14"/>
              </w:rPr>
              <w:t>Расшифровка сокращения</w:t>
            </w:r>
          </w:p>
        </w:tc>
      </w:tr>
      <w:tr w:rsidR="00FD36EF" w:rsidTr="00FD36EF">
        <w:trPr>
          <w:trHeight w:hRule="exact" w:val="283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20" w:lineRule="exact"/>
              <w:ind w:left="120"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Компания</w:t>
            </w:r>
          </w:p>
        </w:tc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D36EF" w:rsidRP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10" w:lineRule="exact"/>
              <w:ind w:firstLine="0"/>
              <w:jc w:val="both"/>
              <w:rPr>
                <w:lang w:val="en-US" w:bidi="ru-RU"/>
              </w:rPr>
            </w:pPr>
            <w:r>
              <w:rPr>
                <w:rStyle w:val="14"/>
              </w:rPr>
              <w:t>ООО</w:t>
            </w:r>
            <w:r>
              <w:rPr>
                <w:rStyle w:val="14"/>
                <w:lang w:val="en-US"/>
              </w:rPr>
              <w:t>”Wayne Enterprise”</w:t>
            </w:r>
          </w:p>
        </w:tc>
      </w:tr>
      <w:tr w:rsidR="00FD36EF" w:rsidTr="00FD36EF">
        <w:trPr>
          <w:trHeight w:hRule="exact" w:val="850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20" w:lineRule="exact"/>
              <w:ind w:left="120"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ДИБ</w:t>
            </w:r>
          </w:p>
        </w:tc>
        <w:tc>
          <w:tcPr>
            <w:tcW w:w="818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/>
              <w:ind w:firstLine="0"/>
              <w:jc w:val="both"/>
              <w:rPr>
                <w:lang w:bidi="ru-RU"/>
              </w:rPr>
            </w:pPr>
            <w:r>
              <w:rPr>
                <w:rStyle w:val="14"/>
              </w:rPr>
              <w:t>Департамент информационной безопасности - структурное подразделение Компании, уполномоченное на выполнение мероприятий в области инфор</w:t>
            </w:r>
            <w:r>
              <w:rPr>
                <w:rStyle w:val="14"/>
              </w:rPr>
              <w:softHyphen/>
              <w:t>мационной безопасности.</w:t>
            </w:r>
          </w:p>
        </w:tc>
      </w:tr>
      <w:tr w:rsidR="00FD36EF" w:rsidTr="00FD36EF">
        <w:trPr>
          <w:trHeight w:hRule="exact" w:val="302"/>
          <w:jc w:val="center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20" w:lineRule="exact"/>
              <w:ind w:left="120" w:firstLine="0"/>
              <w:jc w:val="left"/>
              <w:rPr>
                <w:lang w:bidi="ru-RU"/>
              </w:rPr>
            </w:pPr>
            <w:r>
              <w:rPr>
                <w:rStyle w:val="11pt"/>
                <w:b/>
                <w:bCs/>
              </w:rPr>
              <w:t>ИБ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FD36EF" w:rsidRDefault="00FD36EF">
            <w:pPr>
              <w:pStyle w:val="2"/>
              <w:framePr w:w="9874" w:wrap="notBeside" w:vAnchor="text" w:hAnchor="text" w:xAlign="center" w:y="1"/>
              <w:shd w:val="clear" w:color="auto" w:fill="auto"/>
              <w:spacing w:after="0" w:line="210" w:lineRule="exact"/>
              <w:ind w:left="120" w:firstLine="0"/>
              <w:jc w:val="left"/>
              <w:rPr>
                <w:lang w:bidi="ru-RU"/>
              </w:rPr>
            </w:pPr>
            <w:r>
              <w:rPr>
                <w:rStyle w:val="14"/>
              </w:rPr>
              <w:t>Информационная безопасность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36EF" w:rsidRDefault="00FD36EF">
            <w:pPr>
              <w:framePr w:w="9874"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72168E" w:rsidRDefault="0072168E" w:rsidP="0072168E">
      <w:pPr>
        <w:pStyle w:val="21"/>
      </w:pPr>
    </w:p>
    <w:p w:rsidR="00FD36EF" w:rsidRDefault="00FD36EF" w:rsidP="00FD36EF">
      <w:pPr>
        <w:pStyle w:val="1"/>
      </w:pPr>
      <w:bookmarkStart w:id="3" w:name="bookmark4"/>
      <w:r>
        <w:lastRenderedPageBreak/>
        <w:t>ОСНОВНЫЕ ПОЛОЖЕНИЯ</w:t>
      </w:r>
      <w:bookmarkEnd w:id="3"/>
    </w:p>
    <w:p w:rsidR="00FD36EF" w:rsidRDefault="00FD36EF" w:rsidP="00FD36EF">
      <w:pPr>
        <w:pStyle w:val="11"/>
      </w:pPr>
      <w:bookmarkStart w:id="4" w:name="bookmark5"/>
      <w:r>
        <w:t>Цели деятельности по обеспечению информационной безопасности Компании</w:t>
      </w:r>
      <w:bookmarkEnd w:id="4"/>
    </w:p>
    <w:p w:rsidR="00FD36EF" w:rsidRDefault="00FD36EF" w:rsidP="00FD36EF">
      <w:pPr>
        <w:pStyle w:val="21"/>
        <w:numPr>
          <w:ilvl w:val="2"/>
          <w:numId w:val="1"/>
        </w:numPr>
      </w:pPr>
      <w:r>
        <w:t>Меры безопасности, реализуемые в рамках системы обеспечения информационной безопасности Компании, и процессы эксплуатации этих мер нацелены на минимизацию лю</w:t>
      </w:r>
      <w:r>
        <w:softHyphen/>
        <w:t>бых выявленных угроз информационной безопасности.</w:t>
      </w:r>
    </w:p>
    <w:p w:rsidR="003F3E58" w:rsidRDefault="003F3E58" w:rsidP="003F3E58">
      <w:pPr>
        <w:pStyle w:val="21"/>
        <w:ind w:left="1224"/>
      </w:pPr>
    </w:p>
    <w:p w:rsidR="00FD36EF" w:rsidRDefault="00FD36EF" w:rsidP="00FD36EF">
      <w:pPr>
        <w:pStyle w:val="10"/>
        <w:numPr>
          <w:ilvl w:val="2"/>
          <w:numId w:val="1"/>
        </w:numPr>
        <w:rPr>
          <w:b w:val="0"/>
        </w:rPr>
      </w:pPr>
      <w:r>
        <w:rPr>
          <w:b w:val="0"/>
        </w:rPr>
        <w:t xml:space="preserve"> Основными целями обеспечения ИБ являются: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0"/>
        <w:ind w:right="40"/>
        <w:jc w:val="both"/>
      </w:pPr>
      <w:r>
        <w:t>Соответствие требованиям законодательства, требованиям надзорных и регули</w:t>
      </w:r>
      <w:r>
        <w:softHyphen/>
        <w:t>рующих органов;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0"/>
        <w:ind w:right="40"/>
        <w:jc w:val="both"/>
      </w:pPr>
      <w:r>
        <w:t>Обеспечение стабильности функционирования Компании (обеспечение непре</w:t>
      </w:r>
      <w:r>
        <w:softHyphen/>
        <w:t>рывности его бизнеса) посредством обеспечения необходимой доступности информаци</w:t>
      </w:r>
      <w:r>
        <w:softHyphen/>
        <w:t>онных активов Компании;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0"/>
        <w:ind w:right="40"/>
        <w:jc w:val="both"/>
      </w:pPr>
      <w:r>
        <w:t>Повышение доверия к Компании со стороны клиентов, контрагентов, партнеров, инвесторов и общественности в целом;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0"/>
        <w:ind w:right="40"/>
        <w:jc w:val="both"/>
      </w:pPr>
      <w:r>
        <w:t>Предотвращение или снижение ущерба от инцидентов ИБ посредством обеспе</w:t>
      </w:r>
      <w:r>
        <w:softHyphen/>
        <w:t>чения целостности и конфиденциальности чувствительных информационных активов Компании;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0"/>
        <w:ind w:right="40"/>
        <w:jc w:val="both"/>
      </w:pPr>
      <w:r>
        <w:t>Защита законных прав Компан</w:t>
      </w:r>
      <w:proofErr w:type="gramStart"/>
      <w:r>
        <w:t>ии и её</w:t>
      </w:r>
      <w:proofErr w:type="gramEnd"/>
      <w:r>
        <w:t xml:space="preserve"> работников, в случаях неправомерного использования или злоупотребления информационными активами;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0"/>
        <w:ind w:right="40"/>
        <w:jc w:val="both"/>
      </w:pPr>
      <w:r>
        <w:t>Защита капиталовложений в информационную инфраструктуру и реализуемые посредством ее технологические процессы Компании;</w:t>
      </w:r>
    </w:p>
    <w:p w:rsidR="00FD36EF" w:rsidRDefault="00FD36EF" w:rsidP="00FD36EF">
      <w:pPr>
        <w:pStyle w:val="2"/>
        <w:numPr>
          <w:ilvl w:val="3"/>
          <w:numId w:val="1"/>
        </w:numPr>
        <w:shd w:val="clear" w:color="auto" w:fill="auto"/>
        <w:spacing w:after="223"/>
        <w:ind w:right="40"/>
        <w:jc w:val="both"/>
      </w:pPr>
      <w:r>
        <w:t>Формирование взвешенного подхода к защите от угроз ИБ посредством приме</w:t>
      </w:r>
      <w:r>
        <w:softHyphen/>
        <w:t>нения экономически и технически обоснованных, а также необходимых и достаточных защитных мер информационной безопасности.</w:t>
      </w:r>
    </w:p>
    <w:p w:rsidR="00FD36EF" w:rsidRDefault="00FD36EF" w:rsidP="00FD36EF">
      <w:pPr>
        <w:pStyle w:val="11"/>
      </w:pPr>
      <w:bookmarkStart w:id="5" w:name="bookmark6"/>
      <w:r>
        <w:t>Основные задачи и прин</w:t>
      </w:r>
      <w:r>
        <w:t>ципы информационной безопасност</w:t>
      </w:r>
      <w:r>
        <w:t>и Компании</w:t>
      </w:r>
      <w:bookmarkEnd w:id="5"/>
    </w:p>
    <w:p w:rsidR="00FD36EF" w:rsidRDefault="00FD36EF" w:rsidP="00FD36EF">
      <w:pPr>
        <w:pStyle w:val="21"/>
        <w:numPr>
          <w:ilvl w:val="2"/>
          <w:numId w:val="1"/>
        </w:numPr>
      </w:pPr>
      <w:r>
        <w:t xml:space="preserve">Одним из наиболее ценных </w:t>
      </w:r>
      <w:r>
        <w:rPr>
          <w:rStyle w:val="12pt"/>
        </w:rPr>
        <w:t xml:space="preserve">активов </w:t>
      </w:r>
      <w:r>
        <w:t>Компании является информация, создаваемая, обрабатываемая и используемая Компанией, доверенная Компании её клиентами и бизнес партнерами, а также информация, которую Компания должна защищать в соответствии с действующим законодательством РФ.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Компания должна обеспечить конфиденциальность, целостность и доступност</w:t>
      </w:r>
      <w:r>
        <w:t>ь служебной информации и защити</w:t>
      </w:r>
      <w:r>
        <w:t>ть се от повреждения, изменения, разглашения и утраты.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Безопасность информационных ресурсов Компании должна быть обеспечена как от нарушителей (внутренних и внешних), так и от естественных (природных и техногенных) угроз.</w:t>
      </w:r>
    </w:p>
    <w:p w:rsidR="00FD36EF" w:rsidRDefault="00FD36EF" w:rsidP="00FD36EF">
      <w:pPr>
        <w:widowControl/>
        <w:rPr>
          <w:rFonts w:ascii="Times New Roman" w:eastAsia="Times New Roman" w:hAnsi="Times New Roman" w:cs="Times New Roman"/>
          <w:color w:val="auto"/>
          <w:sz w:val="21"/>
          <w:szCs w:val="21"/>
        </w:rPr>
        <w:sectPr w:rsidR="00FD36EF">
          <w:pgSz w:w="11909" w:h="16838"/>
          <w:pgMar w:top="1134" w:right="850" w:bottom="1134" w:left="1701" w:header="283" w:footer="283" w:gutter="0"/>
          <w:pgNumType w:start="3"/>
          <w:cols w:space="720"/>
        </w:sectPr>
      </w:pPr>
    </w:p>
    <w:p w:rsidR="00FD36EF" w:rsidRDefault="00FD36EF" w:rsidP="00FD36EF">
      <w:pPr>
        <w:pStyle w:val="21"/>
        <w:numPr>
          <w:ilvl w:val="2"/>
          <w:numId w:val="1"/>
        </w:numPr>
      </w:pPr>
      <w:r>
        <w:lastRenderedPageBreak/>
        <w:t>Для оценки угроз информационной безопасности в Компании должен быть реализо</w:t>
      </w:r>
      <w:r>
        <w:softHyphen/>
        <w:t>ван процесс управления рисками инфо</w:t>
      </w:r>
      <w:r w:rsidR="0072168E">
        <w:t>рмационной безопасности</w:t>
      </w:r>
      <w:r>
        <w:t>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Информационные активы Компании должны быть защищены на всех этапах их жиз</w:t>
      </w:r>
      <w:r>
        <w:softHyphen/>
        <w:t>ненного цикла: разработка технических заданий - проектирование - создание и тестирование - приемка и ввод в действие - эксплуатация - сопровождение и модернизация - снятие с экс</w:t>
      </w:r>
      <w:r>
        <w:softHyphen/>
        <w:t>плуатации.</w:t>
      </w:r>
    </w:p>
    <w:p w:rsidR="00FD36EF" w:rsidRDefault="00FD36EF" w:rsidP="0072168E">
      <w:pPr>
        <w:pStyle w:val="21"/>
        <w:numPr>
          <w:ilvl w:val="2"/>
          <w:numId w:val="1"/>
        </w:numPr>
      </w:pPr>
      <w:r>
        <w:t>Для любой служебной информации должен быть определен и документально за</w:t>
      </w:r>
      <w:r>
        <w:softHyphen/>
        <w:t>креплен Владелец информации.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Настоящая Политика и соответствующие частные Политики должны периодически пересматриваться и при необходимости обновляться, при этом ответственность за пересмотр и обновление возлагается на Департамент информационной безопасности.</w:t>
      </w:r>
    </w:p>
    <w:p w:rsidR="00FD36EF" w:rsidRDefault="00FD36EF" w:rsidP="00FD36EF">
      <w:pPr>
        <w:pStyle w:val="1"/>
      </w:pPr>
      <w:bookmarkStart w:id="6" w:name="bookmark11"/>
      <w:r>
        <w:t>УПРАВЛЕНИЕ РИСКАМИ ИНФОРМАЦИОННОЙ</w:t>
      </w:r>
      <w:bookmarkEnd w:id="6"/>
      <w:r>
        <w:t xml:space="preserve"> </w:t>
      </w:r>
      <w:bookmarkStart w:id="7" w:name="bookmark12"/>
      <w:r>
        <w:t>БЕЗОПАСНОСТИ</w:t>
      </w:r>
      <w:bookmarkEnd w:id="7"/>
    </w:p>
    <w:p w:rsidR="00FD36EF" w:rsidRDefault="00FD36EF" w:rsidP="00FD36EF">
      <w:pPr>
        <w:pStyle w:val="11"/>
      </w:pPr>
      <w:bookmarkStart w:id="8" w:name="bookmark13"/>
      <w:r>
        <w:t xml:space="preserve"> Основные принципы управления рисками информационной безопасности</w:t>
      </w:r>
      <w:bookmarkEnd w:id="8"/>
    </w:p>
    <w:p w:rsidR="00FD36EF" w:rsidRDefault="00FD36EF" w:rsidP="00FD36EF">
      <w:pPr>
        <w:pStyle w:val="2"/>
        <w:shd w:val="clear" w:color="auto" w:fill="auto"/>
        <w:spacing w:after="0" w:line="283" w:lineRule="exact"/>
        <w:ind w:left="20" w:right="20" w:firstLine="580"/>
        <w:jc w:val="left"/>
      </w:pPr>
      <w:r>
        <w:t>Для оценки угроз информационной безопасности в Компании должен быть реализован процесс управления рисками информационной безопасности.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Меры безопасности, реализуемые в рамках системы обеспечения информационной безопасности Компании, и процессы их эксплуатации нацелены на минимизацию любых вы</w:t>
      </w:r>
      <w:r>
        <w:softHyphen/>
        <w:t>явленных угроз информационной безопасности и минимизацию связанных с ними операци</w:t>
      </w:r>
      <w:r>
        <w:softHyphen/>
        <w:t>онных рисков основной деятельности Компании (бизнеса).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Снижение рисков нарушения ИБ должно осуществляться до определенного остаточ</w:t>
      </w:r>
      <w:r>
        <w:softHyphen/>
        <w:t>ного уровня. Оставшаяся (остаточная) часть риска должна быть признана приемлемой и при</w:t>
      </w:r>
      <w:r>
        <w:softHyphen/>
        <w:t>нята, либо отклонена. В этом случ</w:t>
      </w:r>
      <w:r>
        <w:t>ае от риска следует либо уклони</w:t>
      </w:r>
      <w:r>
        <w:t>ться (изменить среду дея</w:t>
      </w:r>
      <w:r>
        <w:softHyphen/>
        <w:t>тельности), либо перевести на кого-нибудь (например, застраховать). Таким образом, уровень защищенности интересов Компании определяется, во-первых, величиной принятых остаточ</w:t>
      </w:r>
      <w:r>
        <w:softHyphen/>
        <w:t>ных рисков, а во-вторых, эффективностью работ по поддержанию принятых рисков на допу</w:t>
      </w:r>
      <w:r>
        <w:softHyphen/>
        <w:t>стимом, низком (остаточном) уровне.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Риски нарушения ИБ должны быть согласованы и связаны с рисками основной дея</w:t>
      </w:r>
      <w:r>
        <w:softHyphen/>
        <w:t>тельности Компании.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Анализ и оценка рисков нарушения ИБ должна основываться на идентификации ак</w:t>
      </w:r>
      <w:r>
        <w:softHyphen/>
        <w:t>тивов Компании, на их ценности для целей и задач Компании, на моделях угроз и нарушителей ИБ</w:t>
      </w:r>
      <w:r>
        <w:t>.</w:t>
      </w:r>
    </w:p>
    <w:p w:rsidR="00FD36EF" w:rsidRDefault="00FD36EF" w:rsidP="00FD36EF">
      <w:pPr>
        <w:pStyle w:val="21"/>
        <w:ind w:left="1224"/>
      </w:pPr>
    </w:p>
    <w:p w:rsidR="00FD36EF" w:rsidRDefault="00FD36EF" w:rsidP="00FD36EF">
      <w:pPr>
        <w:pStyle w:val="11"/>
      </w:pPr>
      <w:bookmarkStart w:id="9" w:name="bookmark14"/>
      <w:r>
        <w:t>Реализация процесса управления рисками информационной безопасности</w:t>
      </w:r>
      <w:bookmarkEnd w:id="9"/>
    </w:p>
    <w:p w:rsidR="00FD36EF" w:rsidRDefault="00FD36EF" w:rsidP="00FD36EF">
      <w:pPr>
        <w:pStyle w:val="2"/>
        <w:shd w:val="clear" w:color="auto" w:fill="auto"/>
        <w:spacing w:after="0" w:line="283" w:lineRule="exact"/>
        <w:ind w:left="20" w:right="20" w:firstLine="580"/>
        <w:jc w:val="left"/>
      </w:pPr>
      <w:r>
        <w:t>Реализация процесса управления рисками информационной безопасности возлагается на ДИБ, при этом: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ДИБ должен быть независим от подразделений, ответственных за реализацию и обеспечение информационных технологий в Компании;</w:t>
      </w:r>
    </w:p>
    <w:p w:rsidR="00FD36EF" w:rsidRDefault="00FD36EF" w:rsidP="00FD36EF">
      <w:pPr>
        <w:pStyle w:val="21"/>
        <w:numPr>
          <w:ilvl w:val="2"/>
          <w:numId w:val="1"/>
        </w:numPr>
      </w:pPr>
      <w:r>
        <w:t>Для реализации требований Политики могут быть назначены Администраторы без</w:t>
      </w:r>
      <w:r>
        <w:softHyphen/>
        <w:t xml:space="preserve">опасности </w:t>
      </w:r>
      <w:proofErr w:type="gramStart"/>
      <w:r>
        <w:t>из</w:t>
      </w:r>
      <w:proofErr w:type="gramEnd"/>
      <w:r>
        <w:t xml:space="preserve"> числа сотрудников структурных подразделений Компании.</w:t>
      </w:r>
    </w:p>
    <w:p w:rsidR="00FD36EF" w:rsidRDefault="00FD36EF" w:rsidP="00FD36EF">
      <w:pPr>
        <w:widowControl/>
        <w:rPr>
          <w:rFonts w:ascii="Times New Roman" w:eastAsia="Times New Roman" w:hAnsi="Times New Roman" w:cs="Times New Roman"/>
          <w:color w:val="auto"/>
          <w:sz w:val="21"/>
          <w:szCs w:val="21"/>
        </w:rPr>
        <w:sectPr w:rsidR="00FD36EF">
          <w:pgSz w:w="11909" w:h="16838"/>
          <w:pgMar w:top="1359" w:right="797" w:bottom="1167" w:left="1195" w:header="283" w:footer="283" w:gutter="0"/>
          <w:cols w:space="720"/>
        </w:sectPr>
      </w:pPr>
    </w:p>
    <w:p w:rsidR="00FD36EF" w:rsidRDefault="00FD36EF" w:rsidP="00FD36EF">
      <w:pPr>
        <w:pStyle w:val="1"/>
      </w:pPr>
      <w:bookmarkStart w:id="10" w:name="bookmark15"/>
      <w:r>
        <w:lastRenderedPageBreak/>
        <w:t>ВЛАДЕНИЕ ИНФОРМАЦИЕЙ</w:t>
      </w:r>
      <w:bookmarkEnd w:id="10"/>
    </w:p>
    <w:p w:rsidR="00FD36EF" w:rsidRDefault="00FD36EF" w:rsidP="00FD36EF">
      <w:pPr>
        <w:pStyle w:val="2"/>
        <w:shd w:val="clear" w:color="auto" w:fill="auto"/>
        <w:spacing w:after="0" w:line="293" w:lineRule="exact"/>
        <w:ind w:right="20" w:firstLine="0"/>
        <w:jc w:val="both"/>
      </w:pPr>
      <w:r>
        <w:t>Для любой служебной информации должен быть определен и документально закреплен Владелец информации.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/>
        <w:ind w:right="20"/>
        <w:jc w:val="both"/>
      </w:pPr>
      <w:r>
        <w:t>Руководители подразделений, для служебной информации, находящейся в зоне их ответственности (используемой подразделением), должны определить Владельцев информа</w:t>
      </w:r>
      <w:r>
        <w:softHyphen/>
        <w:t>ции.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/>
        <w:ind w:right="20"/>
        <w:jc w:val="both"/>
      </w:pPr>
      <w:r>
        <w:t>Владелец информации должен классифицировать информацию в зоне своей ответ</w:t>
      </w:r>
      <w:r>
        <w:softHyphen/>
        <w:t>ственности следующим образом:</w:t>
      </w:r>
    </w:p>
    <w:p w:rsidR="00FD36EF" w:rsidRDefault="0072168E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2072" w:right="20"/>
        <w:jc w:val="both"/>
      </w:pPr>
      <w:r>
        <w:t xml:space="preserve"> конфиденциальная</w:t>
      </w:r>
      <w:r w:rsidR="00FD36EF">
        <w:t>,</w:t>
      </w:r>
    </w:p>
    <w:p w:rsidR="00FD36EF" w:rsidRDefault="0072168E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2072" w:right="20"/>
        <w:jc w:val="both"/>
      </w:pPr>
      <w:r>
        <w:t xml:space="preserve"> внутренняя</w:t>
      </w:r>
      <w:r w:rsidR="00FD36EF">
        <w:t>,</w:t>
      </w:r>
    </w:p>
    <w:p w:rsidR="00FD36EF" w:rsidRDefault="0072168E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2072" w:right="20"/>
        <w:jc w:val="both"/>
      </w:pPr>
      <w:r>
        <w:t xml:space="preserve"> общедоступная</w:t>
      </w:r>
      <w:r w:rsidR="00FD36EF">
        <w:t>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/>
        <w:ind w:right="20"/>
        <w:jc w:val="both"/>
      </w:pPr>
      <w:r>
        <w:t>Каждый Руководитель является Владельцем информации, создаваемой в рамках сво</w:t>
      </w:r>
      <w:r>
        <w:softHyphen/>
        <w:t>его подразделения, при этом, для одной и той же информации, может быть определен только один Владелец.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/>
        <w:ind w:right="20"/>
        <w:jc w:val="both"/>
      </w:pPr>
      <w:r>
        <w:t>На основе процесса управления рисками и классификации информации, Руководи</w:t>
      </w:r>
      <w:r>
        <w:softHyphen/>
        <w:t>тель должен определить необходимый уровень защиты для служебной информации и убе</w:t>
      </w:r>
      <w:r>
        <w:softHyphen/>
        <w:t>диться, что существующих мер защиты достаточно, чтобы соответствовать уровню приемле</w:t>
      </w:r>
      <w:r>
        <w:softHyphen/>
        <w:t>мого риска.</w:t>
      </w:r>
    </w:p>
    <w:p w:rsidR="0072168E" w:rsidRDefault="0072168E" w:rsidP="0072168E">
      <w:pPr>
        <w:pStyle w:val="2"/>
        <w:shd w:val="clear" w:color="auto" w:fill="auto"/>
        <w:spacing w:after="0"/>
        <w:ind w:right="20" w:firstLine="0"/>
        <w:jc w:val="both"/>
      </w:pPr>
    </w:p>
    <w:p w:rsidR="00FD36EF" w:rsidRDefault="00FD36EF" w:rsidP="00FD36EF">
      <w:pPr>
        <w:pStyle w:val="1"/>
      </w:pPr>
      <w:bookmarkStart w:id="11" w:name="bookmark16"/>
      <w:r>
        <w:t>МОДЕЛЬ УГРОЗ И НАРУШИТЕЛЕЙ</w:t>
      </w:r>
      <w:bookmarkEnd w:id="11"/>
    </w:p>
    <w:p w:rsidR="00FD36EF" w:rsidRDefault="00FD36EF" w:rsidP="00FD36EF">
      <w:pPr>
        <w:pStyle w:val="2"/>
        <w:shd w:val="clear" w:color="auto" w:fill="auto"/>
        <w:spacing w:after="0" w:line="288" w:lineRule="exact"/>
        <w:ind w:right="20" w:firstLine="0"/>
        <w:jc w:val="both"/>
      </w:pPr>
      <w:r>
        <w:t>Безопасность информационных ресурсов Компании должна быть обеспечена как от нарушителей (внутренних и внешних), так и от естественных (природных и техногенных) угроз.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 w:line="288" w:lineRule="exact"/>
        <w:ind w:right="20"/>
        <w:jc w:val="both"/>
      </w:pPr>
      <w:r>
        <w:t>Модели угроз и нарушителей должны быть основным инструментом Компании при развертывании, поддержании и совершенствовании системы обеспечения ИБ.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 w:line="283" w:lineRule="exact"/>
        <w:ind w:right="20"/>
        <w:jc w:val="both"/>
      </w:pPr>
      <w:r>
        <w:t>Модели угроз и нарушителей должны быть разработаны для Компании в целом, а также, при необходимости, для отдельных процессов и систем.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 w:line="288" w:lineRule="exact"/>
        <w:ind w:right="20"/>
        <w:jc w:val="both"/>
      </w:pPr>
      <w:r>
        <w:t>При построении адекватной модели нарушителя необходимо классифицировать нарушителя по следующим параметрам: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отношению к системе (</w:t>
      </w:r>
      <w:proofErr w:type="gramStart"/>
      <w:r>
        <w:t>внутренний</w:t>
      </w:r>
      <w:proofErr w:type="gramEnd"/>
      <w:r>
        <w:t>, внешний);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правам доступа;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мотивам нарушения;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уровню знаний о системе;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уровню возможностей (используемым методам и средствам);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времени действия;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по месту действия.</w:t>
      </w:r>
    </w:p>
    <w:p w:rsidR="00FD36EF" w:rsidRDefault="00FD36EF" w:rsidP="00FD36EF">
      <w:pPr>
        <w:pStyle w:val="2"/>
        <w:numPr>
          <w:ilvl w:val="2"/>
          <w:numId w:val="1"/>
        </w:numPr>
        <w:shd w:val="clear" w:color="auto" w:fill="auto"/>
        <w:spacing w:after="0" w:line="288" w:lineRule="exact"/>
        <w:ind w:right="20"/>
        <w:jc w:val="both"/>
      </w:pPr>
      <w:r>
        <w:t>При построении адекватной модели угроз необходимо исходить из того, что основ</w:t>
      </w:r>
      <w:r>
        <w:softHyphen/>
        <w:t>ными источниками угроз ИБ являются: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>работники Компании, реализующие угрозы И</w:t>
      </w:r>
      <w:r>
        <w:t>Б</w:t>
      </w:r>
      <w:r>
        <w:t xml:space="preserve"> с использованием легально предоставленных им прав и полномочий (внутренние нарушители ИБ);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>работники Компании, реализующие угрозы ИБ вне легально предоставленных им прав и полномочий, а также субъекты, не являющиеся работниками Компании, но осуществляющие попытки несанкционированного доступа (внешние нарушители ИЬ);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неблагоприятные события природного, техногенного и социального характера;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террористы и криминальные элементы;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зависимость от поставщиков/провайдеров/партнеров/клиентов;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сбои, отказы, разрушения/повреждения программных и технических средств;</w:t>
      </w:r>
    </w:p>
    <w:p w:rsidR="00FD36EF" w:rsidRDefault="00FD36EF" w:rsidP="00FD36EF">
      <w:pPr>
        <w:pStyle w:val="2"/>
        <w:numPr>
          <w:ilvl w:val="0"/>
          <w:numId w:val="4"/>
        </w:numPr>
        <w:shd w:val="clear" w:color="auto" w:fill="auto"/>
        <w:spacing w:after="0" w:line="269" w:lineRule="exact"/>
        <w:ind w:left="1988" w:right="20"/>
        <w:jc w:val="both"/>
      </w:pPr>
      <w:r>
        <w:t xml:space="preserve"> несоответствие требованиям действующего законодательства РФ.</w:t>
      </w:r>
    </w:p>
    <w:p w:rsidR="0072168E" w:rsidRDefault="0072168E" w:rsidP="0072168E">
      <w:pPr>
        <w:pStyle w:val="2"/>
        <w:shd w:val="clear" w:color="auto" w:fill="auto"/>
        <w:spacing w:after="0" w:line="269" w:lineRule="exact"/>
        <w:ind w:right="20" w:firstLine="0"/>
        <w:jc w:val="both"/>
      </w:pPr>
    </w:p>
    <w:p w:rsidR="00FD36EF" w:rsidRDefault="00FD36EF" w:rsidP="00FD36EF">
      <w:pPr>
        <w:pStyle w:val="1"/>
      </w:pPr>
      <w:bookmarkStart w:id="12" w:name="bookmark17"/>
      <w:r>
        <w:lastRenderedPageBreak/>
        <w:t>ЗАКЛЮЧИТЕЛЬНЫЕ ПОЛОЖЕНИЯ</w:t>
      </w:r>
      <w:bookmarkEnd w:id="12"/>
    </w:p>
    <w:p w:rsidR="00FD36EF" w:rsidRDefault="00FD36EF" w:rsidP="00FD36EF">
      <w:pPr>
        <w:pStyle w:val="2"/>
        <w:shd w:val="clear" w:color="auto" w:fill="auto"/>
        <w:spacing w:after="0"/>
        <w:ind w:right="20" w:firstLine="580"/>
        <w:jc w:val="both"/>
      </w:pPr>
      <w:r>
        <w:t>В случае изменений законодательных и иных нормативных актов Российской Федера</w:t>
      </w:r>
      <w:r>
        <w:softHyphen/>
        <w:t xml:space="preserve">ции, а также Устава Компании, настоящий документ, а также изменения к нему, применяются в части не противоречащей вновь принятым законодательным и иным нормативным актам, а также Уставу Компании. </w:t>
      </w:r>
    </w:p>
    <w:p w:rsidR="0063357D" w:rsidRDefault="0063357D">
      <w:bookmarkStart w:id="13" w:name="_GoBack"/>
      <w:bookmarkEnd w:id="13"/>
    </w:p>
    <w:sectPr w:rsidR="0063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296"/>
    <w:multiLevelType w:val="multilevel"/>
    <w:tmpl w:val="8E1EA4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CCF42F9"/>
    <w:multiLevelType w:val="multilevel"/>
    <w:tmpl w:val="290652C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-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993651"/>
    <w:multiLevelType w:val="hybridMultilevel"/>
    <w:tmpl w:val="074E8364"/>
    <w:lvl w:ilvl="0" w:tplc="041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">
    <w:nsid w:val="4BB52A28"/>
    <w:multiLevelType w:val="hybridMultilevel"/>
    <w:tmpl w:val="1BE467B2"/>
    <w:lvl w:ilvl="0" w:tplc="735E704C">
      <w:start w:val="1"/>
      <w:numFmt w:val="bullet"/>
      <w:lvlText w:val="-"/>
      <w:lvlJc w:val="left"/>
      <w:pPr>
        <w:ind w:left="16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94D70"/>
    <w:multiLevelType w:val="hybridMultilevel"/>
    <w:tmpl w:val="2EE0A5D8"/>
    <w:lvl w:ilvl="0" w:tplc="7090D350">
      <w:start w:val="1"/>
      <w:numFmt w:val="decimal"/>
      <w:pStyle w:val="10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EF"/>
    <w:rsid w:val="003F3E58"/>
    <w:rsid w:val="0063357D"/>
    <w:rsid w:val="0072168E"/>
    <w:rsid w:val="00D73DDF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6E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locked/>
    <w:rsid w:val="00FD36EF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3"/>
    <w:rsid w:val="00FD36EF"/>
    <w:pPr>
      <w:shd w:val="clear" w:color="auto" w:fill="FFFFFF"/>
      <w:spacing w:after="5100" w:line="274" w:lineRule="exact"/>
      <w:ind w:hanging="360"/>
      <w:jc w:val="right"/>
    </w:pPr>
    <w:rPr>
      <w:rFonts w:ascii="Times New Roman" w:eastAsia="Times New Roman" w:hAnsi="Times New Roman" w:cs="Times New Roman"/>
      <w:color w:val="auto"/>
      <w:sz w:val="21"/>
      <w:szCs w:val="21"/>
      <w:lang w:eastAsia="en-US" w:bidi="ar-SA"/>
    </w:rPr>
  </w:style>
  <w:style w:type="character" w:customStyle="1" w:styleId="12">
    <w:name w:val="ЗаголовокНумерованный1 Знак"/>
    <w:basedOn w:val="a0"/>
    <w:link w:val="1"/>
    <w:locked/>
    <w:rsid w:val="00FD36EF"/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1">
    <w:name w:val="ЗаголовокНумерованный1"/>
    <w:basedOn w:val="a"/>
    <w:link w:val="12"/>
    <w:qFormat/>
    <w:rsid w:val="00FD36EF"/>
    <w:pPr>
      <w:keepNext/>
      <w:keepLines/>
      <w:numPr>
        <w:numId w:val="1"/>
      </w:numPr>
      <w:tabs>
        <w:tab w:val="left" w:pos="3749"/>
      </w:tabs>
      <w:spacing w:after="305" w:line="260" w:lineRule="exact"/>
      <w:jc w:val="both"/>
      <w:outlineLvl w:val="5"/>
    </w:pPr>
    <w:rPr>
      <w:rFonts w:ascii="Times New Roman" w:eastAsia="Times New Roman" w:hAnsi="Times New Roman" w:cs="Times New Roman"/>
      <w:b/>
      <w:bCs/>
      <w:sz w:val="26"/>
      <w:szCs w:val="26"/>
      <w:lang w:eastAsia="en-US" w:bidi="ar-SA"/>
    </w:rPr>
  </w:style>
  <w:style w:type="character" w:customStyle="1" w:styleId="13">
    <w:name w:val="ПодзаголовокНумерованный1 Знак"/>
    <w:basedOn w:val="a0"/>
    <w:link w:val="10"/>
    <w:locked/>
    <w:rsid w:val="00FD36EF"/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10">
    <w:name w:val="ПодзаголовокНумерованный1"/>
    <w:basedOn w:val="a"/>
    <w:link w:val="13"/>
    <w:qFormat/>
    <w:rsid w:val="00FD36EF"/>
    <w:pPr>
      <w:numPr>
        <w:numId w:val="2"/>
      </w:numPr>
      <w:spacing w:line="220" w:lineRule="exact"/>
    </w:pPr>
    <w:rPr>
      <w:rFonts w:ascii="Times New Roman" w:eastAsia="Times New Roman" w:hAnsi="Times New Roman" w:cs="Times New Roman"/>
      <w:b/>
      <w:bCs/>
      <w:sz w:val="22"/>
      <w:szCs w:val="22"/>
      <w:lang w:eastAsia="en-US" w:bidi="ar-SA"/>
    </w:rPr>
  </w:style>
  <w:style w:type="character" w:customStyle="1" w:styleId="20">
    <w:name w:val="ПодзаголовокНумерованный2 Знак"/>
    <w:basedOn w:val="a3"/>
    <w:link w:val="21"/>
    <w:locked/>
    <w:rsid w:val="00FD36EF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ПодзаголовокНумерованный2"/>
    <w:basedOn w:val="2"/>
    <w:link w:val="20"/>
    <w:qFormat/>
    <w:rsid w:val="00FD36EF"/>
    <w:pPr>
      <w:shd w:val="clear" w:color="auto" w:fill="auto"/>
      <w:spacing w:after="0" w:line="278" w:lineRule="exact"/>
      <w:ind w:right="40" w:firstLine="0"/>
      <w:jc w:val="both"/>
    </w:pPr>
  </w:style>
  <w:style w:type="character" w:customStyle="1" w:styleId="110">
    <w:name w:val="1.1 Знак"/>
    <w:basedOn w:val="a0"/>
    <w:link w:val="11"/>
    <w:locked/>
    <w:rsid w:val="00FD36EF"/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11">
    <w:name w:val="1.1"/>
    <w:basedOn w:val="a"/>
    <w:link w:val="110"/>
    <w:qFormat/>
    <w:rsid w:val="00FD36EF"/>
    <w:pPr>
      <w:keepNext/>
      <w:keepLines/>
      <w:numPr>
        <w:ilvl w:val="1"/>
        <w:numId w:val="1"/>
      </w:numPr>
      <w:tabs>
        <w:tab w:val="left" w:pos="1122"/>
      </w:tabs>
      <w:spacing w:after="91" w:line="220" w:lineRule="exact"/>
      <w:jc w:val="both"/>
      <w:outlineLvl w:val="6"/>
    </w:pPr>
    <w:rPr>
      <w:rFonts w:ascii="Times New Roman" w:eastAsia="Times New Roman" w:hAnsi="Times New Roman" w:cs="Times New Roman"/>
      <w:b/>
      <w:bCs/>
      <w:sz w:val="22"/>
      <w:szCs w:val="22"/>
      <w:lang w:eastAsia="en-US" w:bidi="ar-SA"/>
    </w:rPr>
  </w:style>
  <w:style w:type="character" w:customStyle="1" w:styleId="14">
    <w:name w:val="Основной текст1"/>
    <w:basedOn w:val="a3"/>
    <w:rsid w:val="00FD36EF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1pt">
    <w:name w:val="Основной текст + 11 pt"/>
    <w:aliases w:val="Полужирный"/>
    <w:basedOn w:val="a3"/>
    <w:rsid w:val="00FD36EF"/>
    <w:rPr>
      <w:rFonts w:ascii="Times New Roman" w:eastAsia="Times New Roman" w:hAnsi="Times New Roman" w:cs="Times New Roman"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2pt">
    <w:name w:val="Основной текст + 12 pt"/>
    <w:basedOn w:val="a3"/>
    <w:rsid w:val="00FD36EF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4pt">
    <w:name w:val="Основной текст + 14 pt"/>
    <w:aliases w:val="Курсив"/>
    <w:basedOn w:val="a3"/>
    <w:rsid w:val="00FD36E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6E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locked/>
    <w:rsid w:val="00FD36EF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3"/>
    <w:rsid w:val="00FD36EF"/>
    <w:pPr>
      <w:shd w:val="clear" w:color="auto" w:fill="FFFFFF"/>
      <w:spacing w:after="5100" w:line="274" w:lineRule="exact"/>
      <w:ind w:hanging="360"/>
      <w:jc w:val="right"/>
    </w:pPr>
    <w:rPr>
      <w:rFonts w:ascii="Times New Roman" w:eastAsia="Times New Roman" w:hAnsi="Times New Roman" w:cs="Times New Roman"/>
      <w:color w:val="auto"/>
      <w:sz w:val="21"/>
      <w:szCs w:val="21"/>
      <w:lang w:eastAsia="en-US" w:bidi="ar-SA"/>
    </w:rPr>
  </w:style>
  <w:style w:type="character" w:customStyle="1" w:styleId="12">
    <w:name w:val="ЗаголовокНумерованный1 Знак"/>
    <w:basedOn w:val="a0"/>
    <w:link w:val="1"/>
    <w:locked/>
    <w:rsid w:val="00FD36EF"/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1">
    <w:name w:val="ЗаголовокНумерованный1"/>
    <w:basedOn w:val="a"/>
    <w:link w:val="12"/>
    <w:qFormat/>
    <w:rsid w:val="00FD36EF"/>
    <w:pPr>
      <w:keepNext/>
      <w:keepLines/>
      <w:numPr>
        <w:numId w:val="1"/>
      </w:numPr>
      <w:tabs>
        <w:tab w:val="left" w:pos="3749"/>
      </w:tabs>
      <w:spacing w:after="305" w:line="260" w:lineRule="exact"/>
      <w:jc w:val="both"/>
      <w:outlineLvl w:val="5"/>
    </w:pPr>
    <w:rPr>
      <w:rFonts w:ascii="Times New Roman" w:eastAsia="Times New Roman" w:hAnsi="Times New Roman" w:cs="Times New Roman"/>
      <w:b/>
      <w:bCs/>
      <w:sz w:val="26"/>
      <w:szCs w:val="26"/>
      <w:lang w:eastAsia="en-US" w:bidi="ar-SA"/>
    </w:rPr>
  </w:style>
  <w:style w:type="character" w:customStyle="1" w:styleId="13">
    <w:name w:val="ПодзаголовокНумерованный1 Знак"/>
    <w:basedOn w:val="a0"/>
    <w:link w:val="10"/>
    <w:locked/>
    <w:rsid w:val="00FD36EF"/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10">
    <w:name w:val="ПодзаголовокНумерованный1"/>
    <w:basedOn w:val="a"/>
    <w:link w:val="13"/>
    <w:qFormat/>
    <w:rsid w:val="00FD36EF"/>
    <w:pPr>
      <w:numPr>
        <w:numId w:val="2"/>
      </w:numPr>
      <w:spacing w:line="220" w:lineRule="exact"/>
    </w:pPr>
    <w:rPr>
      <w:rFonts w:ascii="Times New Roman" w:eastAsia="Times New Roman" w:hAnsi="Times New Roman" w:cs="Times New Roman"/>
      <w:b/>
      <w:bCs/>
      <w:sz w:val="22"/>
      <w:szCs w:val="22"/>
      <w:lang w:eastAsia="en-US" w:bidi="ar-SA"/>
    </w:rPr>
  </w:style>
  <w:style w:type="character" w:customStyle="1" w:styleId="20">
    <w:name w:val="ПодзаголовокНумерованный2 Знак"/>
    <w:basedOn w:val="a3"/>
    <w:link w:val="21"/>
    <w:locked/>
    <w:rsid w:val="00FD36EF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1">
    <w:name w:val="ПодзаголовокНумерованный2"/>
    <w:basedOn w:val="2"/>
    <w:link w:val="20"/>
    <w:qFormat/>
    <w:rsid w:val="00FD36EF"/>
    <w:pPr>
      <w:shd w:val="clear" w:color="auto" w:fill="auto"/>
      <w:spacing w:after="0" w:line="278" w:lineRule="exact"/>
      <w:ind w:right="40" w:firstLine="0"/>
      <w:jc w:val="both"/>
    </w:pPr>
  </w:style>
  <w:style w:type="character" w:customStyle="1" w:styleId="110">
    <w:name w:val="1.1 Знак"/>
    <w:basedOn w:val="a0"/>
    <w:link w:val="11"/>
    <w:locked/>
    <w:rsid w:val="00FD36EF"/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11">
    <w:name w:val="1.1"/>
    <w:basedOn w:val="a"/>
    <w:link w:val="110"/>
    <w:qFormat/>
    <w:rsid w:val="00FD36EF"/>
    <w:pPr>
      <w:keepNext/>
      <w:keepLines/>
      <w:numPr>
        <w:ilvl w:val="1"/>
        <w:numId w:val="1"/>
      </w:numPr>
      <w:tabs>
        <w:tab w:val="left" w:pos="1122"/>
      </w:tabs>
      <w:spacing w:after="91" w:line="220" w:lineRule="exact"/>
      <w:jc w:val="both"/>
      <w:outlineLvl w:val="6"/>
    </w:pPr>
    <w:rPr>
      <w:rFonts w:ascii="Times New Roman" w:eastAsia="Times New Roman" w:hAnsi="Times New Roman" w:cs="Times New Roman"/>
      <w:b/>
      <w:bCs/>
      <w:sz w:val="22"/>
      <w:szCs w:val="22"/>
      <w:lang w:eastAsia="en-US" w:bidi="ar-SA"/>
    </w:rPr>
  </w:style>
  <w:style w:type="character" w:customStyle="1" w:styleId="14">
    <w:name w:val="Основной текст1"/>
    <w:basedOn w:val="a3"/>
    <w:rsid w:val="00FD36EF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1pt">
    <w:name w:val="Основной текст + 11 pt"/>
    <w:aliases w:val="Полужирный"/>
    <w:basedOn w:val="a3"/>
    <w:rsid w:val="00FD36EF"/>
    <w:rPr>
      <w:rFonts w:ascii="Times New Roman" w:eastAsia="Times New Roman" w:hAnsi="Times New Roman" w:cs="Times New Roman"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2pt">
    <w:name w:val="Основной текст + 12 pt"/>
    <w:basedOn w:val="a3"/>
    <w:rsid w:val="00FD36EF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14pt">
    <w:name w:val="Основной текст + 14 pt"/>
    <w:aliases w:val="Курсив"/>
    <w:basedOn w:val="a3"/>
    <w:rsid w:val="00FD36EF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ROSGOSSTRAKH</Company>
  <LinksUpToDate>false</LinksUpToDate>
  <CharactersWithSpaces>11515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2020-09-16T16:41:00Z</dcterms:created>
  <dcterms:modified xsi:type="dcterms:W3CDTF">2020-09-16T17:12:00Z</dcterms:modified>
</cp:coreProperties>
</file>