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40A5" w14:textId="502C055E" w:rsidR="00BE1FA1" w:rsidRDefault="00BE1FA1" w:rsidP="001310B4">
      <w:pPr>
        <w:pStyle w:val="Title"/>
        <w:spacing w:after="120"/>
        <w:rPr>
          <w:rFonts w:ascii="Times New Roman" w:hAnsi="Times New Roman" w:cs="Times New Roman"/>
          <w:b/>
          <w:bCs/>
          <w:sz w:val="32"/>
          <w:szCs w:val="32"/>
        </w:rPr>
      </w:pPr>
      <w:r w:rsidRPr="00C844F9">
        <w:rPr>
          <w:rFonts w:ascii="Times New Roman" w:hAnsi="Times New Roman" w:cs="Times New Roman"/>
          <w:b/>
          <w:bCs/>
          <w:sz w:val="32"/>
          <w:szCs w:val="32"/>
        </w:rPr>
        <w:t xml:space="preserve">Manual for t-SNE Visualization </w:t>
      </w:r>
      <w:r w:rsidR="00C844F9" w:rsidRPr="00C844F9">
        <w:rPr>
          <w:rFonts w:ascii="Times New Roman" w:hAnsi="Times New Roman" w:cs="Times New Roman"/>
          <w:b/>
          <w:bCs/>
          <w:sz w:val="32"/>
          <w:szCs w:val="32"/>
        </w:rPr>
        <w:t xml:space="preserve">Interactive </w:t>
      </w:r>
      <w:r w:rsidR="004F014B">
        <w:rPr>
          <w:rFonts w:ascii="Times New Roman" w:hAnsi="Times New Roman" w:cs="Times New Roman"/>
          <w:b/>
          <w:bCs/>
          <w:sz w:val="32"/>
          <w:szCs w:val="32"/>
        </w:rPr>
        <w:t>app</w:t>
      </w:r>
    </w:p>
    <w:p w14:paraId="4BD8B6CC" w14:textId="740B201A" w:rsidR="00BE1FA1" w:rsidRDefault="00BE1FA1" w:rsidP="001310B4">
      <w:r>
        <w:t xml:space="preserve">This manual describes the functionality of a MATLAB-based GUI designed for visualizing gene expression data using </w:t>
      </w:r>
      <w:r w:rsidR="00BB33A5">
        <w:rPr>
          <w:kern w:val="0"/>
          <w14:ligatures w14:val="none"/>
        </w:rPr>
        <w:t>principal component analysis (PCA)</w:t>
      </w:r>
      <w:r>
        <w:t xml:space="preserve">. This </w:t>
      </w:r>
      <w:r w:rsidR="00F105C4">
        <w:t xml:space="preserve">interactive </w:t>
      </w:r>
      <w:r>
        <w:t xml:space="preserve">GUI allows users to perform </w:t>
      </w:r>
      <w:r w:rsidR="00BB33A5">
        <w:t>PCA</w:t>
      </w:r>
      <w:r>
        <w:t xml:space="preserve"> computations on their dataset, visualize the results in 3D, cluster data using K-means, and explore gene correlations and proximities. Start the </w:t>
      </w:r>
      <w:r w:rsidR="00BB33A5">
        <w:t>PCA</w:t>
      </w:r>
      <w:r w:rsidR="004F014B">
        <w:t xml:space="preserve"> app </w:t>
      </w:r>
      <w:r>
        <w:t>GUI</w:t>
      </w:r>
      <w:r w:rsidR="00C844F9">
        <w:t xml:space="preserve"> from by clicking </w:t>
      </w:r>
      <w:r w:rsidR="00BB33A5">
        <w:t>PCA</w:t>
      </w:r>
      <w:r w:rsidR="00F105C4">
        <w:t xml:space="preserve"> button on main IVCCA GUI</w:t>
      </w:r>
      <w:r w:rsidR="004F014B">
        <w:t>.</w:t>
      </w:r>
    </w:p>
    <w:p w14:paraId="2BCD10B0" w14:textId="77777777" w:rsidR="007E1AEF" w:rsidRDefault="007E1AEF" w:rsidP="007E1AEF">
      <w:pPr>
        <w:pStyle w:val="Heading3"/>
      </w:pPr>
      <w:bookmarkStart w:id="0" w:name="OLE_LINK15"/>
      <w:r>
        <w:t>1. Data Input and Initialization</w:t>
      </w:r>
    </w:p>
    <w:p w14:paraId="4A3A3AE7" w14:textId="128F2209" w:rsidR="00BB33A5" w:rsidRDefault="007E1AEF" w:rsidP="00B71F8C">
      <w:r>
        <w:t>Upon starting, the GUI initializes and prompts the user to input their dataset through MATLAB's workspace. The dataset should include gene expression data with genes as variables.</w:t>
      </w:r>
      <w:bookmarkEnd w:id="0"/>
      <w:r>
        <w:t xml:space="preserve"> </w:t>
      </w:r>
      <w:r w:rsidR="00BB33A5" w:rsidRPr="00BB33A5">
        <w:t>The script checks if the input is a square correlation matrix and prepares the data for PCA.</w:t>
      </w:r>
      <w:r w:rsidR="00D219A2">
        <w:t xml:space="preserve"> </w:t>
      </w:r>
    </w:p>
    <w:p w14:paraId="36FE3C9E" w14:textId="73F4BC4A" w:rsidR="007E1AEF" w:rsidRDefault="007E1AEF" w:rsidP="007E1AEF">
      <w:pPr>
        <w:pStyle w:val="Heading3"/>
      </w:pPr>
      <w:r>
        <w:t xml:space="preserve">2. </w:t>
      </w:r>
      <w:r>
        <w:t>PCA</w:t>
      </w:r>
      <w:r>
        <w:t xml:space="preserve"> Computation</w:t>
      </w:r>
    </w:p>
    <w:p w14:paraId="526854BC" w14:textId="123D65D7" w:rsidR="007E1AEF" w:rsidRDefault="007E1AEF" w:rsidP="007E1AEF">
      <w:r>
        <w:t xml:space="preserve">The GUI performs </w:t>
      </w:r>
      <w:r>
        <w:t>PCA</w:t>
      </w:r>
      <w:r>
        <w:t xml:space="preserve"> on the input data, visualizing the data points in a 3D scatter plot. It preprocesses the data by filling missing values, performing PCA for dimensionality reduction, and then applying </w:t>
      </w:r>
      <w:r w:rsidR="007C5B90">
        <w:t>PCA</w:t>
      </w:r>
      <w:r>
        <w:t>.</w:t>
      </w:r>
      <w:r w:rsidR="007C5B90" w:rsidRPr="007C5B90">
        <w:t xml:space="preserve"> </w:t>
      </w:r>
      <w:r w:rsidR="007C5B90">
        <w:t xml:space="preserve">It produces a </w:t>
      </w:r>
      <w:r w:rsidR="007C5B90" w:rsidRPr="00BB33A5">
        <w:t>Scree Plot</w:t>
      </w:r>
      <w:r w:rsidR="007C5B90">
        <w:t xml:space="preserve"> to v</w:t>
      </w:r>
      <w:r w:rsidR="007C5B90" w:rsidRPr="00BB33A5">
        <w:t xml:space="preserve">isualize the variance </w:t>
      </w:r>
      <w:r w:rsidR="007C5B90">
        <w:t xml:space="preserve">with the </w:t>
      </w:r>
      <w:r w:rsidR="007C5B90" w:rsidRPr="00BB33A5">
        <w:t>first 25 principal components</w:t>
      </w:r>
      <w:r w:rsidR="007C5B90">
        <w:t xml:space="preserve"> and a </w:t>
      </w:r>
      <w:r w:rsidR="007C5B90" w:rsidRPr="00BB33A5">
        <w:t xml:space="preserve">3D Scatter </w:t>
      </w:r>
      <w:r w:rsidR="007C5B90">
        <w:t xml:space="preserve">plot </w:t>
      </w:r>
      <w:bookmarkStart w:id="1" w:name="OLE_LINK12"/>
      <w:r w:rsidR="007C5B90">
        <w:t xml:space="preserve">with </w:t>
      </w:r>
      <w:r w:rsidR="007C5B90" w:rsidRPr="00BB33A5">
        <w:t>the first three principal components</w:t>
      </w:r>
      <w:bookmarkEnd w:id="1"/>
      <w:r w:rsidR="007C5B90">
        <w:t xml:space="preserve">. </w:t>
      </w:r>
      <w:r w:rsidR="007C5B90" w:rsidRPr="00BB33A5">
        <w:t>Hover over points in the scatter plot to see gene names.</w:t>
      </w:r>
    </w:p>
    <w:p w14:paraId="3179ADD0" w14:textId="77777777" w:rsidR="007E1AEF" w:rsidRDefault="007E1AEF" w:rsidP="007E1AEF">
      <w:pPr>
        <w:pStyle w:val="Heading3"/>
      </w:pPr>
      <w:r>
        <w:t>3. Visualization Controls</w:t>
      </w:r>
    </w:p>
    <w:p w14:paraId="240DD2A4" w14:textId="5000BC91" w:rsidR="007E1AEF" w:rsidRDefault="007E1AEF" w:rsidP="007E1AEF">
      <w:r>
        <w:t xml:space="preserve">3D Scatter Plot: Displays the </w:t>
      </w:r>
      <w:r w:rsidR="007C5B90">
        <w:t xml:space="preserve">PCA </w:t>
      </w:r>
      <w:r>
        <w:t xml:space="preserve">results. Users can interact with the plot, brush points, visualize gene expression, </w:t>
      </w:r>
      <w:r w:rsidR="001310B4">
        <w:t>rotate,</w:t>
      </w:r>
      <w:r>
        <w:t xml:space="preserve"> and zoom to explore data points.  Buttons for Analysis:</w:t>
      </w:r>
    </w:p>
    <w:p w14:paraId="41569B65" w14:textId="77470C71" w:rsidR="007E1AEF" w:rsidRDefault="007E1AEF" w:rsidP="007E1AEF">
      <w:r w:rsidRPr="00C844F9">
        <w:rPr>
          <w:b/>
          <w:bCs/>
        </w:rPr>
        <w:t>Cluster:</w:t>
      </w:r>
      <w:r>
        <w:t xml:space="preserve"> Performs K-means clustering on the </w:t>
      </w:r>
      <w:r w:rsidR="007C5B90">
        <w:t>PCA</w:t>
      </w:r>
      <w:r>
        <w:t xml:space="preserve"> results and visualizes clusters.</w:t>
      </w:r>
    </w:p>
    <w:p w14:paraId="329445E9" w14:textId="77777777" w:rsidR="007E1AEF" w:rsidRDefault="007E1AEF" w:rsidP="007E1AEF">
      <w:r w:rsidRPr="00C844F9">
        <w:rPr>
          <w:b/>
          <w:bCs/>
        </w:rPr>
        <w:t>Clear Clusters:</w:t>
      </w:r>
      <w:r>
        <w:t xml:space="preserve"> Removes clustering results from the visualization.</w:t>
      </w:r>
    </w:p>
    <w:p w14:paraId="7D4ADBC6" w14:textId="77777777" w:rsidR="007E1AEF" w:rsidRDefault="007E1AEF" w:rsidP="007E1AEF">
      <w:r w:rsidRPr="00C844F9">
        <w:rPr>
          <w:b/>
          <w:bCs/>
        </w:rPr>
        <w:t>Select Pathway(s):</w:t>
      </w:r>
      <w:r>
        <w:t xml:space="preserve"> Allows users to highlight specific genes or pathways by selecting files with gene lists.</w:t>
      </w:r>
    </w:p>
    <w:p w14:paraId="3BDE3CDB" w14:textId="77777777" w:rsidR="007E1AEF" w:rsidRDefault="007E1AEF" w:rsidP="007E1AEF">
      <w:r w:rsidRPr="00C844F9">
        <w:rPr>
          <w:b/>
          <w:bCs/>
        </w:rPr>
        <w:t>Clear Highlights</w:t>
      </w:r>
      <w:r>
        <w:t>: Removes any highlighted genes from the visualization.</w:t>
      </w:r>
    </w:p>
    <w:p w14:paraId="57D17633" w14:textId="77777777" w:rsidR="007E1AEF" w:rsidRDefault="007E1AEF" w:rsidP="007E1AEF">
      <w:r w:rsidRPr="00C844F9">
        <w:rPr>
          <w:b/>
          <w:bCs/>
        </w:rPr>
        <w:t>Visualize Gene:</w:t>
      </w:r>
      <w:r>
        <w:t xml:space="preserve"> Searches for and highlights a specific gene entered in the adjacent input field.</w:t>
      </w:r>
    </w:p>
    <w:p w14:paraId="19B057CC" w14:textId="77777777" w:rsidR="007E1AEF" w:rsidRDefault="007E1AEF" w:rsidP="007E1AEF">
      <w:r w:rsidRPr="00C844F9">
        <w:rPr>
          <w:b/>
          <w:bCs/>
        </w:rPr>
        <w:t>Find proximity genes</w:t>
      </w:r>
      <w:r>
        <w:t>: Highlights a gene and its nearest neighbors based on the number specified by the user.</w:t>
      </w:r>
    </w:p>
    <w:p w14:paraId="1D24FBB6" w14:textId="77777777" w:rsidR="007E1AEF" w:rsidRDefault="007E1AEF" w:rsidP="007E1AEF">
      <w:r w:rsidRPr="00C844F9">
        <w:rPr>
          <w:b/>
          <w:bCs/>
        </w:rPr>
        <w:t>Connect to STRING:</w:t>
      </w:r>
      <w:r>
        <w:t xml:space="preserve"> Opens a connection or visualizes the selected from the table gene in the STRING database for network analysis.</w:t>
      </w:r>
    </w:p>
    <w:p w14:paraId="2ED93D59" w14:textId="77777777" w:rsidR="007E1AEF" w:rsidRDefault="007E1AEF" w:rsidP="007E1AEF">
      <w:pPr>
        <w:pStyle w:val="Heading3"/>
      </w:pPr>
      <w:r>
        <w:t>4. Data Interaction and Exploration</w:t>
      </w:r>
    </w:p>
    <w:p w14:paraId="5F135D11" w14:textId="77777777" w:rsidR="007E1AEF" w:rsidRDefault="007E1AEF" w:rsidP="007E1AEF">
      <w:r>
        <w:t>Gene Selection: Users can select genes directly from the scatter plot or through the gene list to view specific information or highlight them.</w:t>
      </w:r>
    </w:p>
    <w:p w14:paraId="04E637EF" w14:textId="77777777" w:rsidR="007E1AEF" w:rsidRDefault="007E1AEF" w:rsidP="007E1AEF">
      <w:r>
        <w:t>Brushing and Linking: Allows users to brush (select) points on the scatter plot to see their gene names in a table, facilitating detailed analysis of selected genes.</w:t>
      </w:r>
    </w:p>
    <w:p w14:paraId="0EFC8EBD" w14:textId="77777777" w:rsidR="007E1AEF" w:rsidRPr="004F014B" w:rsidRDefault="007E1AEF" w:rsidP="007E1AEF">
      <w:pPr>
        <w:rPr>
          <w:b/>
          <w:bCs/>
        </w:rPr>
      </w:pPr>
      <w:r w:rsidRPr="004F014B">
        <w:rPr>
          <w:b/>
          <w:bCs/>
        </w:rPr>
        <w:t>Saving and Exporting Results:</w:t>
      </w:r>
    </w:p>
    <w:p w14:paraId="09FCA402" w14:textId="77777777" w:rsidR="007E1AEF" w:rsidRDefault="007E1AEF" w:rsidP="007E1AEF">
      <w:r>
        <w:t>The GUI offers functionality to save clustering results and highlighted genes for further analysis, either programmatically or through user interaction with the GUI.</w:t>
      </w:r>
    </w:p>
    <w:p w14:paraId="3C2C8ECF" w14:textId="77777777" w:rsidR="007E1AEF" w:rsidRDefault="007E1AEF" w:rsidP="007E1AEF">
      <w:pPr>
        <w:pStyle w:val="Heading3"/>
      </w:pPr>
      <w:r>
        <w:t xml:space="preserve">5.  Advanced </w:t>
      </w:r>
      <w:r w:rsidRPr="00C844F9">
        <w:t>Features</w:t>
      </w:r>
    </w:p>
    <w:p w14:paraId="146F69E0" w14:textId="77777777" w:rsidR="007E1AEF" w:rsidRDefault="007E1AEF" w:rsidP="007E1AEF">
      <w:r>
        <w:t xml:space="preserve"> Customization and Extensions: Users with programming knowledge can modify the GUI to add new features, integrate with other databases, or adapt the visualization to other types of data.</w:t>
      </w:r>
    </w:p>
    <w:p w14:paraId="6B7FD323" w14:textId="32340169" w:rsidR="00D219A2" w:rsidRDefault="00D219A2" w:rsidP="00B71F8C">
      <w:r w:rsidRPr="007E1AEF">
        <w:rPr>
          <w:b/>
          <w:bCs/>
        </w:rPr>
        <w:t>Additional o</w:t>
      </w:r>
      <w:r w:rsidRPr="007E1AEF">
        <w:rPr>
          <w:b/>
          <w:bCs/>
        </w:rPr>
        <w:t>utputs</w:t>
      </w:r>
      <w:r w:rsidRPr="007E1AEF">
        <w:rPr>
          <w:b/>
          <w:bCs/>
        </w:rPr>
        <w:t>:</w:t>
      </w:r>
      <w:r>
        <w:t xml:space="preserve"> </w:t>
      </w:r>
      <w:r>
        <w:t xml:space="preserve">KL Divergence: View the </w:t>
      </w:r>
      <w:proofErr w:type="spellStart"/>
      <w:r>
        <w:t>Kullback-Leibler</w:t>
      </w:r>
      <w:proofErr w:type="spellEnd"/>
      <w:r>
        <w:t xml:space="preserve"> divergence value, indicating the difference between the original data distribution and the PCA-transformed version.</w:t>
      </w:r>
    </w:p>
    <w:sectPr w:rsidR="00D219A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5FDAC" w14:textId="77777777" w:rsidR="007572A5" w:rsidRDefault="007572A5" w:rsidP="00992169">
      <w:pPr>
        <w:spacing w:after="0" w:line="240" w:lineRule="auto"/>
      </w:pPr>
      <w:r>
        <w:separator/>
      </w:r>
    </w:p>
  </w:endnote>
  <w:endnote w:type="continuationSeparator" w:id="0">
    <w:p w14:paraId="7F2379F2" w14:textId="77777777" w:rsidR="007572A5" w:rsidRDefault="007572A5" w:rsidP="00992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FB75" w14:textId="77777777" w:rsidR="00992169" w:rsidRDefault="009921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BDA27" w14:textId="77777777" w:rsidR="00992169" w:rsidRDefault="009921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53102" w14:textId="77777777" w:rsidR="00992169" w:rsidRDefault="00992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C19BD" w14:textId="77777777" w:rsidR="007572A5" w:rsidRDefault="007572A5" w:rsidP="00992169">
      <w:pPr>
        <w:spacing w:after="0" w:line="240" w:lineRule="auto"/>
      </w:pPr>
      <w:r>
        <w:separator/>
      </w:r>
    </w:p>
  </w:footnote>
  <w:footnote w:type="continuationSeparator" w:id="0">
    <w:p w14:paraId="6BFFD557" w14:textId="77777777" w:rsidR="007572A5" w:rsidRDefault="007572A5" w:rsidP="00992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44CAF" w14:textId="77777777" w:rsidR="00992169" w:rsidRDefault="009921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C27F9" w14:textId="5B0A16D8" w:rsidR="00992169" w:rsidRPr="00992169" w:rsidRDefault="003915FB">
    <w:pPr>
      <w:pStyle w:val="Header"/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17E414" wp14:editId="3F915546">
              <wp:simplePos x="0" y="0"/>
              <wp:positionH relativeFrom="margin">
                <wp:align>left</wp:align>
              </wp:positionH>
              <wp:positionV relativeFrom="paragraph">
                <wp:posOffset>196850</wp:posOffset>
              </wp:positionV>
              <wp:extent cx="5949950" cy="12700"/>
              <wp:effectExtent l="0" t="0" r="31750" b="25400"/>
              <wp:wrapNone/>
              <wp:docPr id="168970389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9950" cy="1270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8D1DB9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5pt" to="468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" strokecolor="#5b9bd5 [3204]" strokeweight="1.5pt">
              <v:stroke joinstyle="miter"/>
              <w10:wrap anchorx="margin"/>
            </v:line>
          </w:pict>
        </mc:Fallback>
      </mc:AlternateContent>
    </w:r>
    <w:r w:rsidR="00992169" w:rsidRPr="00992169">
      <w:rPr>
        <w:b/>
        <w:bCs/>
      </w:rPr>
      <w:t>IVCAA</w:t>
    </w:r>
    <w:r w:rsidR="00992169">
      <w:rPr>
        <w:b/>
        <w:bCs/>
      </w:rPr>
      <w:t>®</w:t>
    </w:r>
    <w:r w:rsidR="00992169" w:rsidRPr="00992169">
      <w:rPr>
        <w:b/>
        <w:bCs/>
      </w:rPr>
      <w:ptab w:relativeTo="margin" w:alignment="center" w:leader="none"/>
    </w:r>
    <w:r w:rsidR="00992169" w:rsidRPr="00992169">
      <w:rPr>
        <w:b/>
        <w:bCs/>
      </w:rPr>
      <w:t>Berezin Lab</w:t>
    </w:r>
    <w:r w:rsidR="00992169" w:rsidRPr="00992169">
      <w:rPr>
        <w:b/>
        <w:bCs/>
      </w:rPr>
      <w:ptab w:relativeTo="margin" w:alignment="right" w:leader="none"/>
    </w:r>
    <w:r>
      <w:rPr>
        <w:b/>
        <w:bCs/>
      </w:rPr>
      <w:t xml:space="preserve">Jan </w:t>
    </w:r>
    <w:r w:rsidR="00992169" w:rsidRPr="00992169">
      <w:rPr>
        <w:b/>
        <w:bCs/>
      </w:rPr>
      <w:t>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ED026" w14:textId="77777777" w:rsidR="00992169" w:rsidRDefault="009921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A1"/>
    <w:rsid w:val="001310B4"/>
    <w:rsid w:val="0019562D"/>
    <w:rsid w:val="003915FB"/>
    <w:rsid w:val="00455774"/>
    <w:rsid w:val="004F014B"/>
    <w:rsid w:val="007318D3"/>
    <w:rsid w:val="007572A5"/>
    <w:rsid w:val="007C5B90"/>
    <w:rsid w:val="007E1AEF"/>
    <w:rsid w:val="008A131C"/>
    <w:rsid w:val="009017E0"/>
    <w:rsid w:val="00992169"/>
    <w:rsid w:val="00AB2BE7"/>
    <w:rsid w:val="00B71F8C"/>
    <w:rsid w:val="00BB33A5"/>
    <w:rsid w:val="00BE1FA1"/>
    <w:rsid w:val="00C06099"/>
    <w:rsid w:val="00C844F9"/>
    <w:rsid w:val="00C857D1"/>
    <w:rsid w:val="00D219A2"/>
    <w:rsid w:val="00F1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26557"/>
  <w15:chartTrackingRefBased/>
  <w15:docId w15:val="{4768CDA2-256F-4EA6-9C3F-B04638C7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ain text"/>
    <w:qFormat/>
    <w:rsid w:val="004F014B"/>
    <w:pPr>
      <w:spacing w:after="12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FA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1FA1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1FA1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1FA1"/>
    <w:rPr>
      <w:rFonts w:ascii="Times New Roman" w:eastAsiaTheme="majorEastAsia" w:hAnsi="Times New Roman" w:cstheme="majorBidi"/>
      <w:b/>
      <w:color w:val="000000" w:themeColor="text1"/>
      <w:sz w:val="24"/>
      <w:szCs w:val="24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F014B"/>
    <w:pPr>
      <w:spacing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92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16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92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169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B33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4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 in St. Louis</Company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Berezin, Mikhail</dc:creator>
  <cp:keywords/>
  <dc:description/>
  <cp:lastModifiedBy>Berezin, Mikhail</cp:lastModifiedBy>
  <cp:revision>4</cp:revision>
  <dcterms:created xsi:type="dcterms:W3CDTF">2024-02-12T02:53:00Z</dcterms:created>
  <dcterms:modified xsi:type="dcterms:W3CDTF">2024-02-12T03:27:00Z</dcterms:modified>
</cp:coreProperties>
</file>