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40C3" w14:textId="182665AD" w:rsidR="00BC218C" w:rsidRDefault="00BB2611" w:rsidP="00080DDB">
      <w:pPr>
        <w:pStyle w:val="Heading1"/>
        <w:rPr>
          <w:rFonts w:eastAsia="DengXian"/>
        </w:rPr>
      </w:pPr>
      <w:r>
        <w:rPr>
          <w:rFonts w:eastAsia="DengXian" w:hint="eastAsia"/>
        </w:rPr>
        <w:t xml:space="preserve">The </w:t>
      </w:r>
      <w:r w:rsidR="000469E1">
        <w:rPr>
          <w:rFonts w:eastAsia="DengXian" w:hint="eastAsia"/>
        </w:rPr>
        <w:t>I</w:t>
      </w:r>
      <w:r>
        <w:rPr>
          <w:rFonts w:eastAsia="DengXian" w:hint="eastAsia"/>
        </w:rPr>
        <w:t xml:space="preserve">nfluence of </w:t>
      </w:r>
      <w:r w:rsidR="00194DE1">
        <w:rPr>
          <w:rFonts w:eastAsia="DengXian"/>
        </w:rPr>
        <w:t xml:space="preserve">Fed’s </w:t>
      </w:r>
      <w:r w:rsidR="000469E1">
        <w:rPr>
          <w:rFonts w:eastAsia="DengXian" w:hint="eastAsia"/>
        </w:rPr>
        <w:t>M</w:t>
      </w:r>
      <w:r w:rsidR="00194DE1">
        <w:rPr>
          <w:rFonts w:eastAsia="DengXian"/>
        </w:rPr>
        <w:t xml:space="preserve">onetary </w:t>
      </w:r>
      <w:r w:rsidR="000469E1">
        <w:rPr>
          <w:rFonts w:eastAsia="DengXian" w:hint="eastAsia"/>
        </w:rPr>
        <w:t>P</w:t>
      </w:r>
      <w:r w:rsidR="00194DE1">
        <w:rPr>
          <w:rFonts w:eastAsia="DengXian"/>
        </w:rPr>
        <w:t xml:space="preserve">olicy on </w:t>
      </w:r>
      <w:r w:rsidR="000469E1">
        <w:rPr>
          <w:rFonts w:eastAsia="DengXian" w:hint="eastAsia"/>
        </w:rPr>
        <w:t>C</w:t>
      </w:r>
      <w:r w:rsidR="00194DE1">
        <w:rPr>
          <w:rFonts w:eastAsia="DengXian"/>
        </w:rPr>
        <w:t xml:space="preserve">ommodity </w:t>
      </w:r>
      <w:r w:rsidR="000469E1">
        <w:rPr>
          <w:rFonts w:eastAsia="DengXian" w:hint="eastAsia"/>
        </w:rPr>
        <w:t>M</w:t>
      </w:r>
      <w:r w:rsidR="00194DE1">
        <w:rPr>
          <w:rFonts w:eastAsia="DengXian"/>
        </w:rPr>
        <w:t xml:space="preserve">arket </w:t>
      </w:r>
      <w:r w:rsidR="000469E1">
        <w:rPr>
          <w:rFonts w:eastAsia="DengXian" w:hint="eastAsia"/>
        </w:rPr>
        <w:t>D</w:t>
      </w:r>
      <w:r w:rsidR="00194DE1">
        <w:rPr>
          <w:rFonts w:eastAsia="DengXian"/>
        </w:rPr>
        <w:t>ynamics</w:t>
      </w:r>
    </w:p>
    <w:p w14:paraId="72E111E2" w14:textId="07A54102" w:rsidR="00BC218C" w:rsidRPr="00080DDB" w:rsidRDefault="00C12344" w:rsidP="00080DDB">
      <w:pPr>
        <w:spacing w:before="340" w:after="240"/>
        <w:jc w:val="center"/>
        <w:rPr>
          <w:rFonts w:eastAsia="DengXian"/>
          <w:b/>
          <w:bCs/>
          <w:sz w:val="24"/>
          <w:szCs w:val="24"/>
        </w:rPr>
      </w:pPr>
      <w:r w:rsidRPr="00080DDB">
        <w:rPr>
          <w:rFonts w:eastAsia="DengXian" w:hint="eastAsia"/>
          <w:b/>
          <w:bCs/>
          <w:sz w:val="24"/>
          <w:szCs w:val="24"/>
        </w:rPr>
        <w:t xml:space="preserve">Shiqi Geng, </w:t>
      </w:r>
      <w:proofErr w:type="spellStart"/>
      <w:r w:rsidR="00B06733" w:rsidRPr="00080DDB">
        <w:rPr>
          <w:rFonts w:eastAsia="DengXian" w:hint="eastAsia"/>
          <w:b/>
          <w:bCs/>
          <w:sz w:val="24"/>
          <w:szCs w:val="24"/>
        </w:rPr>
        <w:t>Sijie</w:t>
      </w:r>
      <w:proofErr w:type="spellEnd"/>
      <w:r w:rsidR="00B06733" w:rsidRPr="00080DDB">
        <w:rPr>
          <w:rFonts w:eastAsia="DengXian" w:hint="eastAsia"/>
          <w:b/>
          <w:bCs/>
          <w:sz w:val="24"/>
          <w:szCs w:val="24"/>
        </w:rPr>
        <w:t xml:space="preserve"> He, </w:t>
      </w:r>
      <w:proofErr w:type="spellStart"/>
      <w:r w:rsidR="00B06733" w:rsidRPr="00080DDB">
        <w:rPr>
          <w:rFonts w:eastAsia="DengXian" w:hint="eastAsia"/>
          <w:b/>
          <w:bCs/>
          <w:sz w:val="24"/>
          <w:szCs w:val="24"/>
        </w:rPr>
        <w:t>Zhouhan</w:t>
      </w:r>
      <w:proofErr w:type="spellEnd"/>
      <w:r w:rsidR="00B06733" w:rsidRPr="00080DDB">
        <w:rPr>
          <w:rFonts w:eastAsia="DengXian" w:hint="eastAsia"/>
          <w:b/>
          <w:bCs/>
          <w:sz w:val="24"/>
          <w:szCs w:val="24"/>
        </w:rPr>
        <w:t xml:space="preserve"> Jin, </w:t>
      </w:r>
      <w:proofErr w:type="spellStart"/>
      <w:r w:rsidRPr="00080DDB">
        <w:rPr>
          <w:rFonts w:eastAsia="DengXian" w:hint="eastAsia"/>
          <w:b/>
          <w:bCs/>
          <w:sz w:val="24"/>
          <w:szCs w:val="24"/>
        </w:rPr>
        <w:t>Xuexi</w:t>
      </w:r>
      <w:proofErr w:type="spellEnd"/>
      <w:r w:rsidRPr="00080DDB">
        <w:rPr>
          <w:rFonts w:eastAsia="DengXian" w:hint="eastAsia"/>
          <w:b/>
          <w:bCs/>
          <w:sz w:val="24"/>
          <w:szCs w:val="24"/>
        </w:rPr>
        <w:t xml:space="preserve"> Zheng</w:t>
      </w:r>
    </w:p>
    <w:p w14:paraId="693C4411" w14:textId="55A3CB16" w:rsidR="00C12344" w:rsidRDefault="00BC218C" w:rsidP="00080DDB">
      <w:pPr>
        <w:spacing w:before="340" w:after="240"/>
        <w:jc w:val="center"/>
        <w:rPr>
          <w:rFonts w:eastAsia="DengXian"/>
          <w:b/>
          <w:bCs/>
          <w:sz w:val="24"/>
          <w:szCs w:val="24"/>
        </w:rPr>
      </w:pPr>
      <w:r>
        <w:rPr>
          <w:rFonts w:eastAsia="DengXian" w:hint="eastAsia"/>
          <w:b/>
          <w:bCs/>
          <w:sz w:val="24"/>
          <w:szCs w:val="24"/>
        </w:rPr>
        <w:t>Abstract</w:t>
      </w:r>
    </w:p>
    <w:p w14:paraId="73D6CC05" w14:textId="29D8CFCE" w:rsidR="00D807E9" w:rsidRPr="004331FB" w:rsidRDefault="00D807E9" w:rsidP="004331FB">
      <w:pPr>
        <w:spacing w:after="240"/>
        <w:ind w:firstLine="420"/>
        <w:rPr>
          <w:rFonts w:eastAsia="DengXian"/>
          <w:sz w:val="24"/>
          <w:szCs w:val="24"/>
        </w:rPr>
      </w:pPr>
      <w:r w:rsidRPr="00D807E9">
        <w:rPr>
          <w:rFonts w:eastAsia="DengXian"/>
          <w:sz w:val="24"/>
          <w:szCs w:val="24"/>
        </w:rPr>
        <w:t xml:space="preserve">We explore how Federal Reserve policy influences commodity markets via price transmission. Using the MIU framework with instrumental variable estimation, we discover that </w:t>
      </w:r>
      <w:r w:rsidR="2BDC0C73" w:rsidRPr="2BDC0C73">
        <w:rPr>
          <w:rFonts w:eastAsia="DengXian"/>
          <w:sz w:val="24"/>
          <w:szCs w:val="24"/>
        </w:rPr>
        <w:t xml:space="preserve">monetary policy significantly influences on </w:t>
      </w:r>
      <w:r w:rsidR="2BDC0C73" w:rsidRPr="2BDC0C73">
        <w:rPr>
          <w:sz w:val="24"/>
          <w:szCs w:val="24"/>
        </w:rPr>
        <w:t>commodity prices, while quantity purchased of commodities response</w:t>
      </w:r>
      <w:r w:rsidRPr="2BDC0C73">
        <w:rPr>
          <w:rFonts w:eastAsia="DengXian"/>
          <w:sz w:val="24"/>
          <w:szCs w:val="24"/>
        </w:rPr>
        <w:t xml:space="preserve"> weakly to </w:t>
      </w:r>
      <w:r w:rsidR="2BDC0C73" w:rsidRPr="2BDC0C73">
        <w:rPr>
          <w:sz w:val="24"/>
          <w:szCs w:val="24"/>
        </w:rPr>
        <w:t>monetary policy.</w:t>
      </w:r>
      <w:r w:rsidRPr="2BDC0C73">
        <w:rPr>
          <w:rFonts w:eastAsia="DengXian"/>
          <w:sz w:val="24"/>
          <w:szCs w:val="24"/>
        </w:rPr>
        <w:t xml:space="preserve"> </w:t>
      </w:r>
      <w:r w:rsidRPr="00D807E9">
        <w:rPr>
          <w:rFonts w:eastAsia="DengXian"/>
          <w:sz w:val="24"/>
          <w:szCs w:val="24"/>
        </w:rPr>
        <w:t xml:space="preserve">This challenges conventional monetary transmission theories, indicating that structural market factors may overshadow policy impacts on commodity </w:t>
      </w:r>
      <w:r w:rsidR="2BDC0C73" w:rsidRPr="2BDC0C73">
        <w:rPr>
          <w:rFonts w:eastAsia="DengXian"/>
          <w:sz w:val="24"/>
          <w:szCs w:val="24"/>
        </w:rPr>
        <w:t>quantity.</w:t>
      </w:r>
      <w:r w:rsidRPr="00D807E9">
        <w:rPr>
          <w:rFonts w:eastAsia="DengXian"/>
          <w:sz w:val="24"/>
          <w:szCs w:val="24"/>
        </w:rPr>
        <w:t xml:space="preserve"> This research has implications for the design of market stabilization policy.</w:t>
      </w:r>
    </w:p>
    <w:p w14:paraId="7A1DE02D" w14:textId="7D59D7CF" w:rsidR="006F4C0E" w:rsidRPr="006F4C0E" w:rsidRDefault="004331FB" w:rsidP="006F4C0E">
      <w:pPr>
        <w:spacing w:before="240" w:after="240"/>
        <w:rPr>
          <w:rFonts w:eastAsia="DengXian"/>
          <w:sz w:val="24"/>
          <w:szCs w:val="24"/>
        </w:rPr>
      </w:pPr>
      <w:r w:rsidRPr="004331FB">
        <w:rPr>
          <w:rFonts w:eastAsia="DengXian"/>
          <w:b/>
          <w:bCs/>
          <w:sz w:val="24"/>
          <w:szCs w:val="24"/>
        </w:rPr>
        <w:t xml:space="preserve">Keywords: </w:t>
      </w:r>
      <w:r w:rsidRPr="004331FB">
        <w:rPr>
          <w:rFonts w:eastAsia="DengXian"/>
          <w:sz w:val="24"/>
          <w:szCs w:val="24"/>
        </w:rPr>
        <w:t>Monetary transmission, Commodity price dynamics, Policy elasticity</w:t>
      </w:r>
    </w:p>
    <w:p w14:paraId="29B13A6E" w14:textId="3842BFC9" w:rsidR="00625130" w:rsidRDefault="384AB482" w:rsidP="006F4C0E">
      <w:pPr>
        <w:pStyle w:val="Heading1"/>
        <w:snapToGrid w:val="0"/>
        <w:spacing w:before="240" w:after="0" w:line="360" w:lineRule="auto"/>
        <w:jc w:val="left"/>
        <w:rPr>
          <w:rFonts w:eastAsia="DengXian"/>
          <w:sz w:val="28"/>
          <w:szCs w:val="28"/>
        </w:rPr>
      </w:pPr>
      <w:r w:rsidRPr="384AB482">
        <w:rPr>
          <w:rFonts w:eastAsia="DengXian"/>
          <w:sz w:val="28"/>
          <w:szCs w:val="28"/>
        </w:rPr>
        <w:t>I. Introduction</w:t>
      </w:r>
    </w:p>
    <w:p w14:paraId="722B1142" w14:textId="77777777" w:rsidR="008306A1" w:rsidRPr="001978C8" w:rsidRDefault="008306A1" w:rsidP="00D92A30">
      <w:pPr>
        <w:spacing w:after="240"/>
        <w:ind w:firstLine="420"/>
        <w:rPr>
          <w:sz w:val="24"/>
          <w:szCs w:val="24"/>
        </w:rPr>
      </w:pPr>
      <w:r w:rsidRPr="001978C8">
        <w:rPr>
          <w:sz w:val="24"/>
          <w:szCs w:val="24"/>
        </w:rPr>
        <w:t>Monetary policy and commodity markets are an integral yet quite incomprehensible part of economic policy. This paper discusses how monetary policy set by the Federal Reserve influences commodity markets, mainly the mechanics of transmission, which allow changes in policy to affect commodity prices, the volume of transactions, and market behavior in general. Although there has been earlier research that identified general relations existing between monetary interventions and financial markets, there is a need to further demarcate the specific channels whereby this kind of policy affects commodity markets.</w:t>
      </w:r>
    </w:p>
    <w:p w14:paraId="1D397DF2" w14:textId="7238E091" w:rsidR="008306A1" w:rsidRPr="00D11A72" w:rsidRDefault="2BDC0C73" w:rsidP="00D92A30">
      <w:pPr>
        <w:spacing w:after="240"/>
        <w:ind w:firstLine="420"/>
        <w:rPr>
          <w:sz w:val="24"/>
          <w:szCs w:val="24"/>
        </w:rPr>
      </w:pPr>
      <w:r w:rsidRPr="2BDC0C73">
        <w:rPr>
          <w:sz w:val="24"/>
          <w:szCs w:val="24"/>
        </w:rPr>
        <w:t xml:space="preserve">Our paper is based on the Money-in-the-Utility framework and extends the theoretical underpinning introduced by </w:t>
      </w:r>
      <w:proofErr w:type="spellStart"/>
      <w:r w:rsidRPr="2BDC0C73">
        <w:rPr>
          <w:sz w:val="24"/>
          <w:szCs w:val="24"/>
        </w:rPr>
        <w:t>Sidrauski</w:t>
      </w:r>
      <w:proofErr w:type="spellEnd"/>
      <w:r w:rsidRPr="2BDC0C73">
        <w:rPr>
          <w:sz w:val="24"/>
          <w:szCs w:val="24"/>
        </w:rPr>
        <w:t xml:space="preserve"> in 1967 to study the short-term response of the markets due to monetary policy changes. We control for endogeneity via two-stage instrumental variables approach and report isolated causal effects of monetary policy variables on the commodity markets. </w:t>
      </w:r>
      <w:r w:rsidR="2E5104B8" w:rsidRPr="2E5104B8">
        <w:rPr>
          <w:sz w:val="24"/>
          <w:szCs w:val="24"/>
        </w:rPr>
        <w:t>Our findings indicate</w:t>
      </w:r>
      <w:r w:rsidR="6F76C421" w:rsidRPr="6F76C421">
        <w:rPr>
          <w:sz w:val="24"/>
          <w:szCs w:val="24"/>
        </w:rPr>
        <w:t xml:space="preserve"> that </w:t>
      </w:r>
      <w:r w:rsidR="6F76C421" w:rsidRPr="2E5104B8">
        <w:rPr>
          <w:rFonts w:eastAsia="DengXian"/>
          <w:sz w:val="24"/>
          <w:szCs w:val="24"/>
        </w:rPr>
        <w:t xml:space="preserve">monetary policy </w:t>
      </w:r>
      <w:r w:rsidR="2E5104B8" w:rsidRPr="2E5104B8">
        <w:rPr>
          <w:sz w:val="24"/>
          <w:szCs w:val="24"/>
        </w:rPr>
        <w:t>has a significant impact</w:t>
      </w:r>
      <w:r w:rsidR="6F76C421" w:rsidRPr="2E5104B8">
        <w:rPr>
          <w:rFonts w:eastAsia="DengXian"/>
          <w:sz w:val="24"/>
          <w:szCs w:val="24"/>
        </w:rPr>
        <w:t xml:space="preserve"> on </w:t>
      </w:r>
      <w:r w:rsidR="6F76C421" w:rsidRPr="6F76C421">
        <w:rPr>
          <w:sz w:val="24"/>
          <w:szCs w:val="24"/>
        </w:rPr>
        <w:t xml:space="preserve">commodity prices, </w:t>
      </w:r>
      <w:r w:rsidR="2E5104B8" w:rsidRPr="2E5104B8">
        <w:rPr>
          <w:sz w:val="24"/>
          <w:szCs w:val="24"/>
        </w:rPr>
        <w:t>whereas the</w:t>
      </w:r>
      <w:r w:rsidR="6F76C421" w:rsidRPr="6F76C421">
        <w:rPr>
          <w:sz w:val="24"/>
          <w:szCs w:val="24"/>
        </w:rPr>
        <w:t xml:space="preserve"> quantity of commodities </w:t>
      </w:r>
      <w:r w:rsidR="2E5104B8" w:rsidRPr="2E5104B8">
        <w:rPr>
          <w:sz w:val="24"/>
          <w:szCs w:val="24"/>
        </w:rPr>
        <w:t xml:space="preserve">purchased shows only a weak </w:t>
      </w:r>
      <w:r w:rsidR="6F76C421" w:rsidRPr="6F76C421">
        <w:rPr>
          <w:sz w:val="24"/>
          <w:szCs w:val="24"/>
        </w:rPr>
        <w:t>response</w:t>
      </w:r>
      <w:r w:rsidR="6F76C421" w:rsidRPr="2E5104B8">
        <w:rPr>
          <w:rFonts w:eastAsia="DengXian"/>
          <w:sz w:val="24"/>
          <w:szCs w:val="24"/>
        </w:rPr>
        <w:t xml:space="preserve"> to </w:t>
      </w:r>
      <w:r w:rsidR="2E5104B8" w:rsidRPr="2E5104B8">
        <w:rPr>
          <w:sz w:val="24"/>
          <w:szCs w:val="24"/>
        </w:rPr>
        <w:t xml:space="preserve">changes in </w:t>
      </w:r>
      <w:r w:rsidR="6F76C421" w:rsidRPr="6F76C421">
        <w:rPr>
          <w:sz w:val="24"/>
          <w:szCs w:val="24"/>
        </w:rPr>
        <w:t>monetary policy</w:t>
      </w:r>
      <w:r w:rsidR="1301A148" w:rsidRPr="1301A148">
        <w:rPr>
          <w:sz w:val="24"/>
          <w:szCs w:val="24"/>
        </w:rPr>
        <w:t xml:space="preserve">. </w:t>
      </w:r>
      <w:r w:rsidR="77848070" w:rsidRPr="77848070">
        <w:rPr>
          <w:sz w:val="24"/>
          <w:szCs w:val="24"/>
        </w:rPr>
        <w:t>This aligns</w:t>
      </w:r>
      <w:r w:rsidR="2E5104B8" w:rsidRPr="2E5104B8">
        <w:rPr>
          <w:sz w:val="24"/>
          <w:szCs w:val="24"/>
        </w:rPr>
        <w:t xml:space="preserve"> with </w:t>
      </w:r>
      <w:r w:rsidR="77848070" w:rsidRPr="77848070">
        <w:rPr>
          <w:sz w:val="24"/>
          <w:szCs w:val="24"/>
        </w:rPr>
        <w:t xml:space="preserve">the </w:t>
      </w:r>
      <w:r w:rsidR="2E5104B8" w:rsidRPr="2E5104B8">
        <w:rPr>
          <w:sz w:val="24"/>
          <w:szCs w:val="24"/>
        </w:rPr>
        <w:t xml:space="preserve">theory of supply and demand and </w:t>
      </w:r>
      <w:r w:rsidR="77848070" w:rsidRPr="77848070">
        <w:rPr>
          <w:sz w:val="24"/>
          <w:szCs w:val="24"/>
        </w:rPr>
        <w:t>reflects the characteristic</w:t>
      </w:r>
      <w:r w:rsidR="2E5104B8" w:rsidRPr="2E5104B8">
        <w:rPr>
          <w:sz w:val="24"/>
          <w:szCs w:val="24"/>
        </w:rPr>
        <w:t xml:space="preserve"> of </w:t>
      </w:r>
      <w:r w:rsidR="77848070" w:rsidRPr="77848070">
        <w:rPr>
          <w:sz w:val="24"/>
          <w:szCs w:val="24"/>
        </w:rPr>
        <w:t>inelastic</w:t>
      </w:r>
      <w:r w:rsidR="2E5104B8" w:rsidRPr="2E5104B8">
        <w:rPr>
          <w:sz w:val="24"/>
          <w:szCs w:val="24"/>
        </w:rPr>
        <w:t xml:space="preserve"> demand </w:t>
      </w:r>
      <w:r w:rsidR="77848070" w:rsidRPr="77848070">
        <w:rPr>
          <w:sz w:val="24"/>
          <w:szCs w:val="24"/>
        </w:rPr>
        <w:t>for commodities</w:t>
      </w:r>
      <w:r w:rsidR="2E5104B8" w:rsidRPr="2E5104B8">
        <w:rPr>
          <w:sz w:val="24"/>
          <w:szCs w:val="24"/>
        </w:rPr>
        <w:t>.</w:t>
      </w:r>
    </w:p>
    <w:p w14:paraId="03A09730" w14:textId="361F1362" w:rsidR="008306A1" w:rsidRPr="00D11A72" w:rsidRDefault="008306A1" w:rsidP="00D92A30">
      <w:pPr>
        <w:spacing w:after="240"/>
        <w:ind w:firstLine="420"/>
        <w:rPr>
          <w:sz w:val="24"/>
          <w:szCs w:val="24"/>
        </w:rPr>
      </w:pPr>
      <w:r w:rsidRPr="001978C8">
        <w:rPr>
          <w:sz w:val="24"/>
          <w:szCs w:val="24"/>
        </w:rPr>
        <w:t xml:space="preserve">We contribute to this literature by providing empirical evidence of the efficiency of monetary policy in shaping commodity market outcomes, drawing some valuable implications for the efforts of policymakers at dampening market volatility and relieving supply-demand imbalances. On the other hand, our findings run against </w:t>
      </w:r>
      <w:r w:rsidRPr="001978C8">
        <w:rPr>
          <w:sz w:val="24"/>
          <w:szCs w:val="24"/>
        </w:rPr>
        <w:lastRenderedPageBreak/>
        <w:t xml:space="preserve">conventional assumptions of monetary policy transmission to commodity markets and therefore hint at some </w:t>
      </w:r>
      <w:r w:rsidR="00D47442" w:rsidRPr="001978C8">
        <w:rPr>
          <w:sz w:val="24"/>
          <w:szCs w:val="24"/>
        </w:rPr>
        <w:t>significant</w:t>
      </w:r>
      <w:r w:rsidRPr="001978C8">
        <w:rPr>
          <w:sz w:val="24"/>
          <w:szCs w:val="24"/>
        </w:rPr>
        <w:t xml:space="preserve"> implications for policy design and implementation.</w:t>
      </w:r>
    </w:p>
    <w:p w14:paraId="0F1B6555" w14:textId="77777777" w:rsidR="00625130" w:rsidRDefault="785461BE" w:rsidP="000469E1">
      <w:pPr>
        <w:pStyle w:val="Heading1"/>
        <w:snapToGrid w:val="0"/>
        <w:spacing w:before="240" w:after="0" w:line="360" w:lineRule="auto"/>
        <w:jc w:val="left"/>
        <w:rPr>
          <w:rFonts w:eastAsia="DengXian"/>
          <w:sz w:val="28"/>
          <w:szCs w:val="28"/>
        </w:rPr>
      </w:pPr>
      <w:r w:rsidRPr="785461BE">
        <w:rPr>
          <w:rFonts w:eastAsia="DengXian"/>
          <w:sz w:val="28"/>
          <w:szCs w:val="28"/>
        </w:rPr>
        <w:t>II. Literature Review</w:t>
      </w:r>
    </w:p>
    <w:p w14:paraId="6911B8C7" w14:textId="77777777" w:rsidR="00B511DF" w:rsidRPr="00B511DF" w:rsidRDefault="785461BE" w:rsidP="00D92A30">
      <w:pPr>
        <w:spacing w:after="240"/>
        <w:ind w:firstLine="420"/>
        <w:rPr>
          <w:sz w:val="24"/>
          <w:szCs w:val="24"/>
        </w:rPr>
      </w:pPr>
      <w:r w:rsidRPr="785461BE">
        <w:rPr>
          <w:sz w:val="24"/>
          <w:szCs w:val="24"/>
        </w:rPr>
        <w:t xml:space="preserve">The relationship between commodity prices and transaction volumes is closely tied to monetary policy. This review explores the neutrality of monetary policy through the Money-in-the-Utility (MIU) model and its implications for commodity markets. </w:t>
      </w:r>
      <w:proofErr w:type="spellStart"/>
      <w:r w:rsidRPr="785461BE">
        <w:rPr>
          <w:sz w:val="24"/>
          <w:szCs w:val="24"/>
        </w:rPr>
        <w:t>Sidrauski</w:t>
      </w:r>
      <w:proofErr w:type="spellEnd"/>
      <w:r w:rsidRPr="785461BE">
        <w:rPr>
          <w:sz w:val="24"/>
          <w:szCs w:val="24"/>
        </w:rPr>
        <w:t xml:space="preserve"> (1967) introduced the MIU model, which incorporates money balances into utility functions to analyze the impact of monetary policy on consumption and savings. The model suggests that, in the long run, monetary policy does not affect real variables like output or consumption, a concept known as monetary super-neutrality. This idea has become a fundamental part of monetary theory.</w:t>
      </w:r>
    </w:p>
    <w:p w14:paraId="0F59F1A3" w14:textId="6F9959AA" w:rsidR="00C03F94" w:rsidRPr="00B511DF" w:rsidRDefault="785461BE" w:rsidP="00D92A30">
      <w:pPr>
        <w:spacing w:after="240"/>
        <w:ind w:firstLine="420"/>
        <w:rPr>
          <w:sz w:val="24"/>
          <w:szCs w:val="24"/>
        </w:rPr>
      </w:pPr>
      <w:r w:rsidRPr="785461BE">
        <w:rPr>
          <w:sz w:val="24"/>
          <w:szCs w:val="24"/>
        </w:rPr>
        <w:t xml:space="preserve">Feenstra (1986) extended the MIU model, showcasing money’s role in facilitating transactions and influencing consumption and trading behaviors. Similarly, Lucas and Stokey (1987) illustrated how monetary policy affects price levels, purchasing power, and trade volumes, shedding light on the broader effects of monetary changes. </w:t>
      </w:r>
      <w:proofErr w:type="spellStart"/>
      <w:r w:rsidRPr="785461BE">
        <w:rPr>
          <w:sz w:val="24"/>
          <w:szCs w:val="24"/>
        </w:rPr>
        <w:t>Mogliani</w:t>
      </w:r>
      <w:proofErr w:type="spellEnd"/>
      <w:r w:rsidRPr="785461BE">
        <w:rPr>
          <w:sz w:val="24"/>
          <w:szCs w:val="24"/>
        </w:rPr>
        <w:t xml:space="preserve"> and Urga (2018) examined the instability of money demand and its impact on trading volumes, highlighting the importance of liquidity changes in understanding market dynamics. Eggertsson and Woodford (2003) discussed the role of unconventional monetary policies, such as quantitative easing, in stabilizing markets during economic disruptions.</w:t>
      </w:r>
    </w:p>
    <w:p w14:paraId="136433DF" w14:textId="71083DA2" w:rsidR="00C03F94" w:rsidRPr="000469E1" w:rsidRDefault="785461BE" w:rsidP="00D92A30">
      <w:pPr>
        <w:spacing w:after="240"/>
        <w:ind w:firstLine="420"/>
        <w:rPr>
          <w:rFonts w:eastAsiaTheme="minorEastAsia"/>
          <w:sz w:val="24"/>
          <w:szCs w:val="24"/>
        </w:rPr>
      </w:pPr>
      <w:r w:rsidRPr="4B44B9F1">
        <w:rPr>
          <w:sz w:val="24"/>
          <w:szCs w:val="24"/>
        </w:rPr>
        <w:t xml:space="preserve">Taken </w:t>
      </w:r>
      <w:r w:rsidRPr="785461BE">
        <w:rPr>
          <w:sz w:val="24"/>
          <w:szCs w:val="24"/>
        </w:rPr>
        <w:t>together</w:t>
      </w:r>
      <w:r w:rsidRPr="4B44B9F1">
        <w:rPr>
          <w:sz w:val="24"/>
          <w:szCs w:val="24"/>
        </w:rPr>
        <w:t xml:space="preserve">, these studies provide a solid foundation for understanding how monetary policy shapes commodity </w:t>
      </w:r>
      <w:r w:rsidRPr="785461BE">
        <w:rPr>
          <w:sz w:val="24"/>
          <w:szCs w:val="24"/>
        </w:rPr>
        <w:t>markets</w:t>
      </w:r>
      <w:r w:rsidRPr="4B44B9F1">
        <w:rPr>
          <w:sz w:val="24"/>
          <w:szCs w:val="24"/>
        </w:rPr>
        <w:t xml:space="preserve"> and highlight the importance of both theoretical models and empirical research in </w:t>
      </w:r>
      <w:r w:rsidRPr="785461BE">
        <w:rPr>
          <w:sz w:val="24"/>
          <w:szCs w:val="24"/>
        </w:rPr>
        <w:t>addressing</w:t>
      </w:r>
      <w:r w:rsidRPr="4B44B9F1">
        <w:rPr>
          <w:sz w:val="24"/>
          <w:szCs w:val="24"/>
        </w:rPr>
        <w:t xml:space="preserve"> these complex interactions.</w:t>
      </w:r>
      <w:r w:rsidR="4B44B9F1" w:rsidRPr="4B44B9F1">
        <w:rPr>
          <w:sz w:val="22"/>
          <w:szCs w:val="22"/>
        </w:rPr>
        <w:t xml:space="preserve"> </w:t>
      </w:r>
    </w:p>
    <w:p w14:paraId="290B196A" w14:textId="77777777" w:rsidR="00625130" w:rsidRDefault="00BB2611" w:rsidP="000469E1">
      <w:pPr>
        <w:pStyle w:val="Heading1"/>
        <w:snapToGrid w:val="0"/>
        <w:spacing w:before="240" w:after="0" w:line="360" w:lineRule="auto"/>
        <w:jc w:val="left"/>
        <w:rPr>
          <w:rFonts w:eastAsia="DengXian"/>
          <w:sz w:val="28"/>
          <w:szCs w:val="28"/>
        </w:rPr>
      </w:pPr>
      <w:r>
        <w:rPr>
          <w:rFonts w:eastAsia="DengXian" w:hint="eastAsia"/>
          <w:sz w:val="28"/>
          <w:szCs w:val="28"/>
        </w:rPr>
        <w:t>III. Theory</w:t>
      </w:r>
    </w:p>
    <w:p w14:paraId="57467B83" w14:textId="1DF652E3" w:rsidR="0049200F" w:rsidRPr="00B2032B" w:rsidRDefault="003A283B" w:rsidP="004306B2">
      <w:pPr>
        <w:ind w:firstLine="420"/>
        <w:rPr>
          <w:rFonts w:eastAsia="DengXian"/>
          <w:sz w:val="24"/>
          <w:szCs w:val="24"/>
        </w:rPr>
      </w:pPr>
      <w:r w:rsidRPr="00B2032B">
        <w:rPr>
          <w:rFonts w:eastAsia="DengXian"/>
          <w:sz w:val="24"/>
          <w:szCs w:val="24"/>
        </w:rPr>
        <w:t xml:space="preserve">The theoretical foundation of this study is based on the money-in-utility (MIU) model, which integrates real money balances into the utility function to analyze the effects of monetary policy on economic decisions. This model, initially formalized by </w:t>
      </w:r>
      <w:proofErr w:type="spellStart"/>
      <w:r w:rsidRPr="00B2032B">
        <w:rPr>
          <w:rFonts w:eastAsia="DengXian"/>
          <w:sz w:val="24"/>
          <w:szCs w:val="24"/>
        </w:rPr>
        <w:t>Sidrauski</w:t>
      </w:r>
      <w:proofErr w:type="spellEnd"/>
      <w:r w:rsidRPr="00B2032B">
        <w:rPr>
          <w:rFonts w:eastAsia="DengXian"/>
          <w:sz w:val="24"/>
          <w:szCs w:val="24"/>
        </w:rPr>
        <w:t xml:space="preserve"> (1967), provides a framework for understanding how monetary policy influences consumption and savings decisions through changes in price levels and real balances. Subsequent extensions, such as those by Feenstra (1986), have refined the model to incorporate the role of money in facilitating transactions, emphasizing its utility-enhancing properties.</w:t>
      </w:r>
    </w:p>
    <w:p w14:paraId="7AD919FC" w14:textId="305BE143" w:rsidR="003A283B" w:rsidRDefault="003A283B" w:rsidP="003A283B">
      <w:pPr>
        <w:pStyle w:val="Heading2"/>
      </w:pPr>
      <w:r w:rsidRPr="003A283B">
        <w:t>Derivation of the Consumption Function</w:t>
      </w:r>
    </w:p>
    <w:p w14:paraId="08B64857" w14:textId="46B5E1FF" w:rsidR="003A283B" w:rsidRPr="003A283B" w:rsidRDefault="003A283B" w:rsidP="004306B2">
      <w:pPr>
        <w:ind w:firstLine="420"/>
        <w:rPr>
          <w:rFonts w:eastAsia="DengXian"/>
          <w:sz w:val="24"/>
          <w:szCs w:val="24"/>
        </w:rPr>
      </w:pPr>
      <w:r w:rsidRPr="003A283B">
        <w:rPr>
          <w:rFonts w:eastAsia="DengXian"/>
          <w:sz w:val="24"/>
          <w:szCs w:val="24"/>
        </w:rPr>
        <w:t>In the MIU framework, an individual's utility is a function of consumption (</w:t>
      </w:r>
      <m:oMath>
        <m:r>
          <w:rPr>
            <w:rFonts w:ascii="Cambria Math" w:eastAsia="DengXian" w:hAnsi="Cambria Math"/>
            <w:sz w:val="24"/>
            <w:szCs w:val="24"/>
          </w:rPr>
          <m:t>C</m:t>
        </m:r>
      </m:oMath>
      <w:r w:rsidRPr="003A283B">
        <w:rPr>
          <w:rFonts w:eastAsia="DengXian"/>
          <w:sz w:val="24"/>
          <w:szCs w:val="24"/>
        </w:rPr>
        <w:t>) and real money balances (</w:t>
      </w:r>
      <m:oMath>
        <m:r>
          <w:rPr>
            <w:rFonts w:ascii="Cambria Math" w:eastAsia="DengXian" w:hAnsi="Cambria Math"/>
            <w:sz w:val="24"/>
            <w:szCs w:val="24"/>
          </w:rPr>
          <m:t>M</m:t>
        </m:r>
        <m:r>
          <m:rPr>
            <m:sty m:val="p"/>
          </m:rPr>
          <w:rPr>
            <w:rFonts w:ascii="Cambria Math" w:eastAsia="DengXian" w:hAnsi="Cambria Math"/>
            <w:sz w:val="24"/>
            <w:szCs w:val="24"/>
          </w:rPr>
          <m:t>/</m:t>
        </m:r>
        <m:r>
          <w:rPr>
            <w:rFonts w:ascii="Cambria Math" w:eastAsia="DengXian" w:hAnsi="Cambria Math"/>
            <w:sz w:val="24"/>
            <w:szCs w:val="24"/>
          </w:rPr>
          <m:t>P</m:t>
        </m:r>
      </m:oMath>
      <w:r w:rsidRPr="003A283B">
        <w:rPr>
          <w:rFonts w:eastAsia="DengXian"/>
          <w:sz w:val="24"/>
          <w:szCs w:val="24"/>
        </w:rPr>
        <w:t>). The Cobb-Douglas specification commonly used in empirical applications assumes:</w:t>
      </w:r>
    </w:p>
    <w:p w14:paraId="263AE897" w14:textId="238942FE" w:rsidR="003A283B" w:rsidRPr="00B2032B" w:rsidRDefault="003A283B" w:rsidP="003A283B">
      <w:pPr>
        <w:rPr>
          <w:rFonts w:eastAsia="DengXian"/>
          <w:sz w:val="24"/>
          <w:szCs w:val="24"/>
        </w:rPr>
      </w:pPr>
      <m:oMathPara>
        <m:oMath>
          <m:r>
            <w:rPr>
              <w:rFonts w:ascii="Cambria Math" w:eastAsia="DengXian" w:hAnsi="Cambria Math"/>
              <w:sz w:val="24"/>
              <w:szCs w:val="24"/>
            </w:rPr>
            <m:t>U(C,</m:t>
          </m:r>
          <m:f>
            <m:fPr>
              <m:ctrlPr>
                <w:rPr>
                  <w:rFonts w:ascii="Cambria Math" w:eastAsia="DengXian" w:hAnsi="Cambria Math"/>
                  <w:sz w:val="24"/>
                  <w:szCs w:val="24"/>
                </w:rPr>
              </m:ctrlPr>
            </m:fPr>
            <m:num>
              <m:r>
                <w:rPr>
                  <w:rFonts w:ascii="Cambria Math" w:eastAsia="DengXian" w:hAnsi="Cambria Math"/>
                  <w:sz w:val="24"/>
                  <w:szCs w:val="24"/>
                </w:rPr>
                <m:t>M</m:t>
              </m:r>
            </m:num>
            <m:den>
              <m:r>
                <w:rPr>
                  <w:rFonts w:ascii="Cambria Math" w:eastAsia="DengXian" w:hAnsi="Cambria Math"/>
                  <w:sz w:val="24"/>
                  <w:szCs w:val="24"/>
                </w:rPr>
                <m:t>P</m:t>
              </m:r>
            </m:den>
          </m:f>
          <m:r>
            <w:rPr>
              <w:rFonts w:ascii="Cambria Math" w:eastAsia="DengXian" w:hAnsi="Cambria Math"/>
              <w:sz w:val="24"/>
              <w:szCs w:val="24"/>
            </w:rPr>
            <m:t>)=α</m:t>
          </m:r>
          <m:r>
            <m:rPr>
              <m:sty m:val="p"/>
            </m:rPr>
            <w:rPr>
              <w:rFonts w:ascii="Cambria Math" w:eastAsia="DengXian" w:hAnsi="Cambria Math"/>
              <w:sz w:val="24"/>
              <w:szCs w:val="24"/>
            </w:rPr>
            <m:t>ln</m:t>
          </m:r>
          <m:r>
            <w:rPr>
              <w:rFonts w:ascii="Cambria Math" w:eastAsia="DengXian" w:hAnsi="Cambria Math"/>
              <w:sz w:val="24"/>
              <w:szCs w:val="24"/>
            </w:rPr>
            <m:t>⁡(C)+(1-α)</m:t>
          </m:r>
          <m:r>
            <m:rPr>
              <m:sty m:val="p"/>
            </m:rPr>
            <w:rPr>
              <w:rFonts w:ascii="Cambria Math" w:eastAsia="DengXian" w:hAnsi="Cambria Math"/>
              <w:sz w:val="24"/>
              <w:szCs w:val="24"/>
            </w:rPr>
            <m:t>ln</m:t>
          </m:r>
          <m:r>
            <w:rPr>
              <w:rFonts w:ascii="Cambria Math" w:eastAsia="DengXian" w:hAnsi="Cambria Math"/>
              <w:sz w:val="24"/>
              <w:szCs w:val="24"/>
            </w:rPr>
            <m:t>⁡(</m:t>
          </m:r>
          <m:f>
            <m:fPr>
              <m:ctrlPr>
                <w:rPr>
                  <w:rFonts w:ascii="Cambria Math" w:eastAsia="DengXian" w:hAnsi="Cambria Math"/>
                  <w:sz w:val="24"/>
                  <w:szCs w:val="24"/>
                </w:rPr>
              </m:ctrlPr>
            </m:fPr>
            <m:num>
              <m:r>
                <w:rPr>
                  <w:rFonts w:ascii="Cambria Math" w:eastAsia="DengXian" w:hAnsi="Cambria Math"/>
                  <w:sz w:val="24"/>
                  <w:szCs w:val="24"/>
                </w:rPr>
                <m:t>M</m:t>
              </m:r>
            </m:num>
            <m:den>
              <m:r>
                <w:rPr>
                  <w:rFonts w:ascii="Cambria Math" w:eastAsia="DengXian" w:hAnsi="Cambria Math"/>
                  <w:sz w:val="24"/>
                  <w:szCs w:val="24"/>
                </w:rPr>
                <m:t>P</m:t>
              </m:r>
            </m:den>
          </m:f>
          <m:r>
            <w:rPr>
              <w:rFonts w:ascii="Cambria Math" w:eastAsia="DengXian" w:hAnsi="Cambria Math"/>
              <w:sz w:val="24"/>
              <w:szCs w:val="24"/>
            </w:rPr>
            <m:t>),</m:t>
          </m:r>
        </m:oMath>
      </m:oMathPara>
    </w:p>
    <w:p w14:paraId="3DB77DF9" w14:textId="7631B533" w:rsidR="003A283B" w:rsidRPr="003A283B" w:rsidRDefault="003A283B" w:rsidP="003A283B">
      <w:pPr>
        <w:rPr>
          <w:rFonts w:eastAsia="DengXian"/>
          <w:sz w:val="24"/>
          <w:szCs w:val="24"/>
        </w:rPr>
      </w:pPr>
      <w:r w:rsidRPr="003A283B">
        <w:rPr>
          <w:rFonts w:eastAsia="DengXian"/>
          <w:sz w:val="24"/>
          <w:szCs w:val="24"/>
        </w:rPr>
        <w:lastRenderedPageBreak/>
        <w:t xml:space="preserve">where </w:t>
      </w:r>
      <m:oMath>
        <m:r>
          <w:rPr>
            <w:rFonts w:ascii="Cambria Math" w:eastAsia="DengXian" w:hAnsi="Cambria Math"/>
            <w:sz w:val="24"/>
            <w:szCs w:val="24"/>
          </w:rPr>
          <m:t>0&lt;α&lt;1</m:t>
        </m:r>
      </m:oMath>
      <w:r w:rsidRPr="003A283B">
        <w:rPr>
          <w:rFonts w:eastAsia="DengXian"/>
          <w:sz w:val="24"/>
          <w:szCs w:val="24"/>
        </w:rPr>
        <w:t>represents the weight assigned to consumption in utility. This functional form captures the trade-off between consumption and holding money balances, aligning with theoretical insights on liquidity preferences (Lucas &amp; Stokey, 1987).</w:t>
      </w:r>
    </w:p>
    <w:p w14:paraId="4368A08F" w14:textId="77777777" w:rsidR="003A283B" w:rsidRPr="003A283B" w:rsidRDefault="003A283B" w:rsidP="004306B2">
      <w:pPr>
        <w:ind w:firstLine="420"/>
        <w:rPr>
          <w:rFonts w:eastAsia="DengXian"/>
          <w:sz w:val="24"/>
          <w:szCs w:val="24"/>
        </w:rPr>
      </w:pPr>
      <w:r w:rsidRPr="003A283B">
        <w:rPr>
          <w:rFonts w:eastAsia="DengXian"/>
          <w:sz w:val="24"/>
          <w:szCs w:val="24"/>
        </w:rPr>
        <w:t>The budget constraint is:</w:t>
      </w:r>
    </w:p>
    <w:p w14:paraId="7E77DAAE" w14:textId="77777777" w:rsidR="003A283B" w:rsidRPr="00B2032B" w:rsidRDefault="003A283B" w:rsidP="003A283B">
      <w:pPr>
        <w:rPr>
          <w:rFonts w:eastAsia="DengXian"/>
          <w:sz w:val="24"/>
          <w:szCs w:val="24"/>
        </w:rPr>
      </w:pPr>
      <m:oMathPara>
        <m:oMath>
          <m:r>
            <w:rPr>
              <w:rFonts w:ascii="Cambria Math" w:eastAsia="DengXian" w:hAnsi="Cambria Math"/>
              <w:sz w:val="24"/>
              <w:szCs w:val="24"/>
            </w:rPr>
            <m:t>PC+M=I,</m:t>
          </m:r>
        </m:oMath>
      </m:oMathPara>
    </w:p>
    <w:p w14:paraId="18128632" w14:textId="2B2708FB" w:rsidR="003A283B" w:rsidRPr="003A283B" w:rsidRDefault="003A283B" w:rsidP="003A283B">
      <w:pPr>
        <w:rPr>
          <w:rFonts w:eastAsia="DengXian"/>
          <w:sz w:val="24"/>
          <w:szCs w:val="24"/>
        </w:rPr>
      </w:pPr>
      <w:r w:rsidRPr="003A283B">
        <w:rPr>
          <w:rFonts w:eastAsia="DengXian"/>
          <w:sz w:val="24"/>
          <w:szCs w:val="24"/>
        </w:rPr>
        <w:t xml:space="preserve">where </w:t>
      </w:r>
      <m:oMath>
        <m:r>
          <w:rPr>
            <w:rFonts w:ascii="Cambria Math" w:eastAsia="DengXian" w:hAnsi="Cambria Math"/>
            <w:sz w:val="24"/>
            <w:szCs w:val="24"/>
          </w:rPr>
          <m:t>P</m:t>
        </m:r>
      </m:oMath>
      <w:r w:rsidRPr="003A283B">
        <w:rPr>
          <w:rFonts w:eastAsia="DengXian"/>
          <w:sz w:val="24"/>
          <w:szCs w:val="24"/>
        </w:rPr>
        <w:t xml:space="preserve"> is the price level, </w:t>
      </w:r>
      <m:oMath>
        <m:r>
          <w:rPr>
            <w:rFonts w:ascii="Cambria Math" w:eastAsia="DengXian" w:hAnsi="Cambria Math"/>
            <w:sz w:val="24"/>
            <w:szCs w:val="24"/>
          </w:rPr>
          <m:t>M</m:t>
        </m:r>
      </m:oMath>
      <w:r w:rsidRPr="003A283B">
        <w:rPr>
          <w:rFonts w:eastAsia="DengXian"/>
          <w:sz w:val="24"/>
          <w:szCs w:val="24"/>
        </w:rPr>
        <w:t xml:space="preserve"> is nominal money holdings, and </w:t>
      </w:r>
      <m:oMath>
        <m:r>
          <w:rPr>
            <w:rFonts w:ascii="Cambria Math" w:eastAsia="DengXian" w:hAnsi="Cambria Math"/>
            <w:sz w:val="24"/>
            <w:szCs w:val="24"/>
          </w:rPr>
          <m:t>I</m:t>
        </m:r>
      </m:oMath>
      <w:r w:rsidRPr="003A283B">
        <w:rPr>
          <w:rFonts w:eastAsia="DengXian"/>
          <w:sz w:val="24"/>
          <w:szCs w:val="24"/>
        </w:rPr>
        <w:t xml:space="preserve"> is nominal income. This constraint reflects the allocation of income between consumption and money holdings.</w:t>
      </w:r>
    </w:p>
    <w:p w14:paraId="19B2EFFA" w14:textId="77777777" w:rsidR="003A283B" w:rsidRPr="003A283B" w:rsidRDefault="003A283B" w:rsidP="004306B2">
      <w:pPr>
        <w:ind w:firstLine="420"/>
        <w:rPr>
          <w:rFonts w:eastAsia="DengXian"/>
          <w:sz w:val="24"/>
          <w:szCs w:val="24"/>
        </w:rPr>
      </w:pPr>
      <w:r w:rsidRPr="003A283B">
        <w:rPr>
          <w:rFonts w:eastAsia="DengXian"/>
          <w:sz w:val="24"/>
          <w:szCs w:val="24"/>
        </w:rPr>
        <w:t xml:space="preserve">To maximize utility, the </w:t>
      </w:r>
      <w:proofErr w:type="spellStart"/>
      <w:r w:rsidRPr="003A283B">
        <w:rPr>
          <w:rFonts w:eastAsia="DengXian"/>
          <w:sz w:val="24"/>
          <w:szCs w:val="24"/>
        </w:rPr>
        <w:t>Lagrangian</w:t>
      </w:r>
      <w:proofErr w:type="spellEnd"/>
      <w:r w:rsidRPr="003A283B">
        <w:rPr>
          <w:rFonts w:eastAsia="DengXian"/>
          <w:sz w:val="24"/>
          <w:szCs w:val="24"/>
        </w:rPr>
        <w:t xml:space="preserve"> function is formulated as:</w:t>
      </w:r>
    </w:p>
    <w:p w14:paraId="004A31E7" w14:textId="77777777" w:rsidR="003A283B" w:rsidRPr="00B2032B" w:rsidRDefault="003A283B" w:rsidP="003A283B">
      <w:pPr>
        <w:rPr>
          <w:rFonts w:eastAsia="DengXian"/>
          <w:sz w:val="24"/>
          <w:szCs w:val="24"/>
        </w:rPr>
      </w:pPr>
      <m:oMathPara>
        <m:oMath>
          <m:r>
            <m:rPr>
              <m:scr m:val="script"/>
            </m:rPr>
            <w:rPr>
              <w:rFonts w:ascii="Cambria Math" w:eastAsia="DengXian" w:hAnsi="Cambria Math"/>
              <w:sz w:val="24"/>
              <w:szCs w:val="24"/>
            </w:rPr>
            <m:t>L=</m:t>
          </m:r>
          <m:r>
            <w:rPr>
              <w:rFonts w:ascii="Cambria Math" w:eastAsia="DengXian" w:hAnsi="Cambria Math"/>
              <w:sz w:val="24"/>
              <w:szCs w:val="24"/>
            </w:rPr>
            <m:t>α</m:t>
          </m:r>
          <m:func>
            <m:funcPr>
              <m:ctrlPr>
                <w:rPr>
                  <w:rFonts w:ascii="Cambria Math" w:eastAsia="DengXian" w:hAnsi="Cambria Math"/>
                  <w:i/>
                  <w:sz w:val="24"/>
                  <w:szCs w:val="24"/>
                </w:rPr>
              </m:ctrlPr>
            </m:funcPr>
            <m:fName>
              <m:r>
                <m:rPr>
                  <m:sty m:val="p"/>
                </m:rPr>
                <w:rPr>
                  <w:rFonts w:ascii="Cambria Math" w:eastAsia="DengXian" w:hAnsi="Cambria Math"/>
                  <w:sz w:val="24"/>
                  <w:szCs w:val="24"/>
                </w:rPr>
                <m:t>ln</m:t>
              </m:r>
              <m:ctrlPr>
                <w:rPr>
                  <w:rFonts w:ascii="Cambria Math" w:eastAsia="DengXian" w:hAnsi="Cambria Math"/>
                  <w:sz w:val="24"/>
                  <w:szCs w:val="24"/>
                </w:rPr>
              </m:ctrlPr>
            </m:fName>
            <m:e>
              <m:d>
                <m:dPr>
                  <m:ctrlPr>
                    <w:rPr>
                      <w:rFonts w:ascii="Cambria Math" w:eastAsia="DengXian" w:hAnsi="Cambria Math"/>
                      <w:i/>
                      <w:sz w:val="24"/>
                      <w:szCs w:val="24"/>
                    </w:rPr>
                  </m:ctrlPr>
                </m:dPr>
                <m:e>
                  <m:r>
                    <w:rPr>
                      <w:rFonts w:ascii="Cambria Math" w:eastAsia="DengXian" w:hAnsi="Cambria Math"/>
                      <w:sz w:val="24"/>
                      <w:szCs w:val="24"/>
                    </w:rPr>
                    <m:t>C</m:t>
                  </m:r>
                </m:e>
              </m:d>
            </m:e>
          </m:func>
          <m:r>
            <w:rPr>
              <w:rFonts w:ascii="Cambria Math" w:eastAsia="DengXian" w:hAnsi="Cambria Math"/>
              <w:sz w:val="24"/>
              <w:szCs w:val="24"/>
            </w:rPr>
            <m:t>+</m:t>
          </m:r>
          <m:d>
            <m:dPr>
              <m:ctrlPr>
                <w:rPr>
                  <w:rFonts w:ascii="Cambria Math" w:eastAsia="DengXian" w:hAnsi="Cambria Math"/>
                  <w:i/>
                  <w:sz w:val="24"/>
                  <w:szCs w:val="24"/>
                </w:rPr>
              </m:ctrlPr>
            </m:dPr>
            <m:e>
              <m:r>
                <w:rPr>
                  <w:rFonts w:ascii="Cambria Math" w:eastAsia="DengXian" w:hAnsi="Cambria Math"/>
                  <w:sz w:val="24"/>
                  <w:szCs w:val="24"/>
                </w:rPr>
                <m:t>1-α</m:t>
              </m:r>
            </m:e>
          </m:d>
          <m:func>
            <m:funcPr>
              <m:ctrlPr>
                <w:rPr>
                  <w:rFonts w:ascii="Cambria Math" w:eastAsia="DengXian" w:hAnsi="Cambria Math"/>
                  <w:i/>
                  <w:sz w:val="24"/>
                  <w:szCs w:val="24"/>
                </w:rPr>
              </m:ctrlPr>
            </m:funcPr>
            <m:fName>
              <m:r>
                <m:rPr>
                  <m:sty m:val="p"/>
                </m:rPr>
                <w:rPr>
                  <w:rFonts w:ascii="Cambria Math" w:eastAsia="DengXian" w:hAnsi="Cambria Math"/>
                  <w:sz w:val="24"/>
                  <w:szCs w:val="24"/>
                </w:rPr>
                <m:t>ln</m:t>
              </m:r>
              <m:ctrlPr>
                <w:rPr>
                  <w:rFonts w:ascii="Cambria Math" w:eastAsia="DengXian" w:hAnsi="Cambria Math"/>
                  <w:sz w:val="24"/>
                  <w:szCs w:val="24"/>
                </w:rPr>
              </m:ctrlPr>
            </m:fName>
            <m:e>
              <m:d>
                <m:dPr>
                  <m:ctrlPr>
                    <w:rPr>
                      <w:rFonts w:ascii="Cambria Math" w:eastAsia="DengXian" w:hAnsi="Cambria Math"/>
                      <w:i/>
                      <w:sz w:val="24"/>
                      <w:szCs w:val="24"/>
                    </w:rPr>
                  </m:ctrlPr>
                </m:dPr>
                <m:e>
                  <m:f>
                    <m:fPr>
                      <m:ctrlPr>
                        <w:rPr>
                          <w:rFonts w:ascii="Cambria Math" w:eastAsia="DengXian" w:hAnsi="Cambria Math"/>
                          <w:sz w:val="24"/>
                          <w:szCs w:val="24"/>
                        </w:rPr>
                      </m:ctrlPr>
                    </m:fPr>
                    <m:num>
                      <m:r>
                        <w:rPr>
                          <w:rFonts w:ascii="Cambria Math" w:eastAsia="DengXian" w:hAnsi="Cambria Math"/>
                          <w:sz w:val="24"/>
                          <w:szCs w:val="24"/>
                        </w:rPr>
                        <m:t>M</m:t>
                      </m:r>
                    </m:num>
                    <m:den>
                      <m:r>
                        <w:rPr>
                          <w:rFonts w:ascii="Cambria Math" w:eastAsia="DengXian" w:hAnsi="Cambria Math"/>
                          <w:sz w:val="24"/>
                          <w:szCs w:val="24"/>
                        </w:rPr>
                        <m:t>P</m:t>
                      </m:r>
                    </m:den>
                  </m:f>
                </m:e>
              </m:d>
            </m:e>
          </m:func>
          <m:r>
            <w:rPr>
              <w:rFonts w:ascii="Cambria Math" w:eastAsia="DengXian" w:hAnsi="Cambria Math"/>
              <w:sz w:val="24"/>
              <w:szCs w:val="24"/>
            </w:rPr>
            <m:t>+λ</m:t>
          </m:r>
          <m:d>
            <m:dPr>
              <m:ctrlPr>
                <w:rPr>
                  <w:rFonts w:ascii="Cambria Math" w:eastAsia="DengXian" w:hAnsi="Cambria Math"/>
                  <w:i/>
                  <w:sz w:val="24"/>
                  <w:szCs w:val="24"/>
                </w:rPr>
              </m:ctrlPr>
            </m:dPr>
            <m:e>
              <m:r>
                <w:rPr>
                  <w:rFonts w:ascii="Cambria Math" w:eastAsia="DengXian" w:hAnsi="Cambria Math"/>
                  <w:sz w:val="24"/>
                  <w:szCs w:val="24"/>
                </w:rPr>
                <m:t>I-PC-M</m:t>
              </m:r>
            </m:e>
          </m:d>
          <m:r>
            <w:rPr>
              <w:rFonts w:ascii="Cambria Math" w:eastAsia="DengXian" w:hAnsi="Cambria Math"/>
              <w:sz w:val="24"/>
              <w:szCs w:val="24"/>
            </w:rPr>
            <m:t>,</m:t>
          </m:r>
        </m:oMath>
      </m:oMathPara>
    </w:p>
    <w:p w14:paraId="09B464CF" w14:textId="190BB4E3" w:rsidR="003A283B" w:rsidRPr="003A283B" w:rsidRDefault="003A283B" w:rsidP="003A283B">
      <w:pPr>
        <w:rPr>
          <w:rFonts w:eastAsia="DengXian"/>
          <w:sz w:val="24"/>
          <w:szCs w:val="24"/>
        </w:rPr>
      </w:pPr>
      <w:r w:rsidRPr="003A283B">
        <w:rPr>
          <w:rFonts w:eastAsia="DengXian"/>
          <w:sz w:val="24"/>
          <w:szCs w:val="24"/>
        </w:rPr>
        <w:t xml:space="preserve">where </w:t>
      </w:r>
      <m:oMath>
        <m:r>
          <w:rPr>
            <w:rFonts w:ascii="Cambria Math" w:eastAsia="DengXian" w:hAnsi="Cambria Math"/>
            <w:sz w:val="24"/>
            <w:szCs w:val="24"/>
          </w:rPr>
          <m:t>λ</m:t>
        </m:r>
        <m:r>
          <w:rPr>
            <w:rFonts w:ascii="Cambria Math" w:eastAsia="DengXian"/>
            <w:sz w:val="24"/>
            <w:szCs w:val="24"/>
          </w:rPr>
          <m:t xml:space="preserve"> </m:t>
        </m:r>
      </m:oMath>
      <w:r w:rsidRPr="003A283B">
        <w:rPr>
          <w:rFonts w:eastAsia="DengXian"/>
          <w:sz w:val="24"/>
          <w:szCs w:val="24"/>
        </w:rPr>
        <w:t>is the Lagrange multiplier representing the marginal utility of income.</w:t>
      </w:r>
    </w:p>
    <w:p w14:paraId="688C0601" w14:textId="77777777" w:rsidR="003A283B" w:rsidRPr="003A283B" w:rsidRDefault="003A283B" w:rsidP="003A283B">
      <w:pPr>
        <w:rPr>
          <w:rFonts w:eastAsia="DengXian"/>
          <w:sz w:val="24"/>
          <w:szCs w:val="24"/>
        </w:rPr>
      </w:pPr>
      <w:r w:rsidRPr="003A283B">
        <w:rPr>
          <w:rFonts w:eastAsia="DengXian"/>
          <w:sz w:val="24"/>
          <w:szCs w:val="24"/>
        </w:rPr>
        <w:t>The first-order conditions (FOCs) for optimization are:</w:t>
      </w:r>
    </w:p>
    <w:p w14:paraId="5ECF5188" w14:textId="2621C43F" w:rsidR="003A283B" w:rsidRPr="003A283B" w:rsidRDefault="003A283B" w:rsidP="003A283B">
      <w:pPr>
        <w:numPr>
          <w:ilvl w:val="0"/>
          <w:numId w:val="6"/>
        </w:numPr>
        <w:tabs>
          <w:tab w:val="clear" w:pos="360"/>
          <w:tab w:val="num" w:pos="720"/>
        </w:tabs>
        <w:rPr>
          <w:rFonts w:eastAsia="DengXian"/>
          <w:sz w:val="24"/>
          <w:szCs w:val="24"/>
        </w:rPr>
      </w:pPr>
      <w:r w:rsidRPr="003A283B">
        <w:rPr>
          <w:rFonts w:eastAsia="DengXian"/>
          <w:b/>
          <w:bCs/>
          <w:sz w:val="24"/>
          <w:szCs w:val="24"/>
        </w:rPr>
        <w:t>With respect to C:</w:t>
      </w:r>
    </w:p>
    <w:p w14:paraId="5277A59F" w14:textId="7D959B5D" w:rsidR="003A283B" w:rsidRPr="003A283B" w:rsidRDefault="00000000" w:rsidP="003A283B">
      <w:pPr>
        <w:rPr>
          <w:rFonts w:eastAsia="DengXian"/>
          <w:sz w:val="24"/>
          <w:szCs w:val="24"/>
        </w:rPr>
      </w:pPr>
      <m:oMathPara>
        <m:oMath>
          <m:f>
            <m:fPr>
              <m:ctrlPr>
                <w:rPr>
                  <w:rFonts w:ascii="Cambria Math" w:eastAsia="DengXian" w:hAnsi="Cambria Math"/>
                  <w:sz w:val="24"/>
                  <w:szCs w:val="24"/>
                </w:rPr>
              </m:ctrlPr>
            </m:fPr>
            <m:num>
              <m:r>
                <m:rPr>
                  <m:sty m:val="p"/>
                </m:rPr>
                <w:rPr>
                  <w:rFonts w:ascii="Cambria Math" w:eastAsia="DengXian" w:hAnsi="Cambria Math"/>
                  <w:sz w:val="24"/>
                  <w:szCs w:val="24"/>
                </w:rPr>
                <m:t>∂</m:t>
              </m:r>
              <m:r>
                <m:rPr>
                  <m:scr m:val="script"/>
                </m:rPr>
                <w:rPr>
                  <w:rFonts w:ascii="Cambria Math" w:eastAsia="DengXian" w:hAnsi="Cambria Math"/>
                  <w:sz w:val="24"/>
                  <w:szCs w:val="24"/>
                </w:rPr>
                <m:t>L</m:t>
              </m:r>
            </m:num>
            <m:den>
              <m:r>
                <m:rPr>
                  <m:sty m:val="p"/>
                </m:rPr>
                <w:rPr>
                  <w:rFonts w:ascii="Cambria Math" w:eastAsia="DengXian" w:hAnsi="Cambria Math"/>
                  <w:sz w:val="24"/>
                  <w:szCs w:val="24"/>
                </w:rPr>
                <m:t>∂</m:t>
              </m:r>
              <m:r>
                <w:rPr>
                  <w:rFonts w:ascii="Cambria Math" w:eastAsia="DengXian" w:hAnsi="Cambria Math"/>
                  <w:sz w:val="24"/>
                  <w:szCs w:val="24"/>
                </w:rPr>
                <m:t>C</m:t>
              </m:r>
            </m:den>
          </m:f>
          <m:r>
            <w:rPr>
              <w:rFonts w:ascii="Cambria Math" w:eastAsia="DengXian" w:hAnsi="Cambria Math"/>
              <w:sz w:val="24"/>
              <w:szCs w:val="24"/>
            </w:rPr>
            <m:t>=</m:t>
          </m:r>
          <m:f>
            <m:fPr>
              <m:ctrlPr>
                <w:rPr>
                  <w:rFonts w:ascii="Cambria Math" w:eastAsia="DengXian" w:hAnsi="Cambria Math"/>
                  <w:sz w:val="24"/>
                  <w:szCs w:val="24"/>
                </w:rPr>
              </m:ctrlPr>
            </m:fPr>
            <m:num>
              <m:r>
                <w:rPr>
                  <w:rFonts w:ascii="Cambria Math" w:eastAsia="DengXian" w:hAnsi="Cambria Math"/>
                  <w:sz w:val="24"/>
                  <w:szCs w:val="24"/>
                </w:rPr>
                <m:t>α</m:t>
              </m:r>
            </m:num>
            <m:den>
              <m:r>
                <w:rPr>
                  <w:rFonts w:ascii="Cambria Math" w:eastAsia="DengXian" w:hAnsi="Cambria Math"/>
                  <w:sz w:val="24"/>
                  <w:szCs w:val="24"/>
                </w:rPr>
                <m:t>C</m:t>
              </m:r>
            </m:den>
          </m:f>
          <m:r>
            <w:rPr>
              <w:rFonts w:ascii="Cambria Math" w:eastAsia="DengXian" w:hAnsi="Cambria Math"/>
              <w:sz w:val="24"/>
              <w:szCs w:val="24"/>
            </w:rPr>
            <m:t>-λP=0⇒λ=</m:t>
          </m:r>
          <m:f>
            <m:fPr>
              <m:ctrlPr>
                <w:rPr>
                  <w:rFonts w:ascii="Cambria Math" w:eastAsia="DengXian" w:hAnsi="Cambria Math"/>
                  <w:sz w:val="24"/>
                  <w:szCs w:val="24"/>
                </w:rPr>
              </m:ctrlPr>
            </m:fPr>
            <m:num>
              <m:r>
                <w:rPr>
                  <w:rFonts w:ascii="Cambria Math" w:eastAsia="DengXian" w:hAnsi="Cambria Math"/>
                  <w:sz w:val="24"/>
                  <w:szCs w:val="24"/>
                </w:rPr>
                <m:t>α</m:t>
              </m:r>
            </m:num>
            <m:den>
              <m:r>
                <w:rPr>
                  <w:rFonts w:ascii="Cambria Math" w:eastAsia="DengXian" w:hAnsi="Cambria Math"/>
                  <w:sz w:val="24"/>
                  <w:szCs w:val="24"/>
                </w:rPr>
                <m:t>PC</m:t>
              </m:r>
            </m:den>
          </m:f>
          <m:r>
            <m:rPr>
              <m:sty m:val="p"/>
            </m:rPr>
            <w:rPr>
              <w:rFonts w:ascii="Cambria Math" w:eastAsia="DengXian" w:hAnsi="Cambria Math"/>
              <w:sz w:val="24"/>
              <w:szCs w:val="24"/>
            </w:rPr>
            <m:t>.</m:t>
          </m:r>
        </m:oMath>
      </m:oMathPara>
    </w:p>
    <w:p w14:paraId="5319AF16" w14:textId="578C243F" w:rsidR="003A283B" w:rsidRPr="003A283B" w:rsidRDefault="003A283B" w:rsidP="003A283B">
      <w:pPr>
        <w:numPr>
          <w:ilvl w:val="0"/>
          <w:numId w:val="6"/>
        </w:numPr>
        <w:tabs>
          <w:tab w:val="clear" w:pos="360"/>
          <w:tab w:val="num" w:pos="720"/>
        </w:tabs>
        <w:rPr>
          <w:rFonts w:eastAsia="DengXian"/>
          <w:sz w:val="24"/>
          <w:szCs w:val="24"/>
        </w:rPr>
      </w:pPr>
      <w:r w:rsidRPr="003A283B">
        <w:rPr>
          <w:rFonts w:eastAsia="DengXian"/>
          <w:b/>
          <w:bCs/>
          <w:sz w:val="24"/>
          <w:szCs w:val="24"/>
        </w:rPr>
        <w:t>With respect to M:</w:t>
      </w:r>
    </w:p>
    <w:p w14:paraId="1B5EAF2B" w14:textId="49EEA91E" w:rsidR="003A283B" w:rsidRPr="003A283B" w:rsidRDefault="00000000" w:rsidP="003A283B">
      <w:pPr>
        <w:rPr>
          <w:rFonts w:eastAsia="DengXian"/>
          <w:sz w:val="24"/>
          <w:szCs w:val="24"/>
        </w:rPr>
      </w:pPr>
      <m:oMathPara>
        <m:oMath>
          <m:f>
            <m:fPr>
              <m:ctrlPr>
                <w:rPr>
                  <w:rFonts w:ascii="Cambria Math" w:eastAsia="DengXian" w:hAnsi="Cambria Math"/>
                  <w:sz w:val="24"/>
                  <w:szCs w:val="24"/>
                </w:rPr>
              </m:ctrlPr>
            </m:fPr>
            <m:num>
              <m:r>
                <m:rPr>
                  <m:sty m:val="p"/>
                </m:rPr>
                <w:rPr>
                  <w:rFonts w:ascii="Cambria Math" w:eastAsia="DengXian" w:hAnsi="Cambria Math"/>
                  <w:sz w:val="24"/>
                  <w:szCs w:val="24"/>
                </w:rPr>
                <m:t>∂</m:t>
              </m:r>
              <m:r>
                <m:rPr>
                  <m:scr m:val="script"/>
                </m:rPr>
                <w:rPr>
                  <w:rFonts w:ascii="Cambria Math" w:eastAsia="DengXian" w:hAnsi="Cambria Math"/>
                  <w:sz w:val="24"/>
                  <w:szCs w:val="24"/>
                </w:rPr>
                <m:t>L</m:t>
              </m:r>
            </m:num>
            <m:den>
              <m:r>
                <m:rPr>
                  <m:sty m:val="p"/>
                </m:rPr>
                <w:rPr>
                  <w:rFonts w:ascii="Cambria Math" w:eastAsia="DengXian" w:hAnsi="Cambria Math"/>
                  <w:sz w:val="24"/>
                  <w:szCs w:val="24"/>
                </w:rPr>
                <m:t>∂</m:t>
              </m:r>
              <m:r>
                <w:rPr>
                  <w:rFonts w:ascii="Cambria Math" w:eastAsia="DengXian" w:hAnsi="Cambria Math"/>
                  <w:sz w:val="24"/>
                  <w:szCs w:val="24"/>
                </w:rPr>
                <m:t>M</m:t>
              </m:r>
            </m:den>
          </m:f>
          <m:r>
            <w:rPr>
              <w:rFonts w:ascii="Cambria Math" w:eastAsia="DengXian" w:hAnsi="Cambria Math"/>
              <w:sz w:val="24"/>
              <w:szCs w:val="24"/>
            </w:rPr>
            <m:t>=</m:t>
          </m:r>
          <m:f>
            <m:fPr>
              <m:ctrlPr>
                <w:rPr>
                  <w:rFonts w:ascii="Cambria Math" w:eastAsia="DengXian" w:hAnsi="Cambria Math"/>
                  <w:sz w:val="24"/>
                  <w:szCs w:val="24"/>
                </w:rPr>
              </m:ctrlPr>
            </m:fPr>
            <m:num>
              <m:r>
                <w:rPr>
                  <w:rFonts w:ascii="Cambria Math" w:eastAsia="DengXian" w:hAnsi="Cambria Math"/>
                  <w:sz w:val="24"/>
                  <w:szCs w:val="24"/>
                </w:rPr>
                <m:t>1-α</m:t>
              </m:r>
            </m:num>
            <m:den>
              <m:r>
                <w:rPr>
                  <w:rFonts w:ascii="Cambria Math" w:eastAsia="DengXian" w:hAnsi="Cambria Math"/>
                  <w:sz w:val="24"/>
                  <w:szCs w:val="24"/>
                </w:rPr>
                <m:t>M</m:t>
              </m:r>
            </m:den>
          </m:f>
          <m:r>
            <w:rPr>
              <w:rFonts w:ascii="Cambria Math" w:eastAsia="DengXian" w:hAnsi="Cambria Math"/>
              <w:sz w:val="24"/>
              <w:szCs w:val="24"/>
            </w:rPr>
            <m:t>-λ=0⇒λ=</m:t>
          </m:r>
          <m:f>
            <m:fPr>
              <m:ctrlPr>
                <w:rPr>
                  <w:rFonts w:ascii="Cambria Math" w:eastAsia="DengXian" w:hAnsi="Cambria Math"/>
                  <w:sz w:val="24"/>
                  <w:szCs w:val="24"/>
                </w:rPr>
              </m:ctrlPr>
            </m:fPr>
            <m:num>
              <m:r>
                <w:rPr>
                  <w:rFonts w:ascii="Cambria Math" w:eastAsia="DengXian" w:hAnsi="Cambria Math"/>
                  <w:sz w:val="24"/>
                  <w:szCs w:val="24"/>
                </w:rPr>
                <m:t>1-α</m:t>
              </m:r>
            </m:num>
            <m:den>
              <m:r>
                <w:rPr>
                  <w:rFonts w:ascii="Cambria Math" w:eastAsia="DengXian" w:hAnsi="Cambria Math"/>
                  <w:sz w:val="24"/>
                  <w:szCs w:val="24"/>
                </w:rPr>
                <m:t>M</m:t>
              </m:r>
            </m:den>
          </m:f>
          <m:r>
            <m:rPr>
              <m:sty m:val="p"/>
            </m:rPr>
            <w:rPr>
              <w:rFonts w:ascii="Cambria Math" w:eastAsia="DengXian" w:hAnsi="Cambria Math"/>
              <w:sz w:val="24"/>
              <w:szCs w:val="24"/>
            </w:rPr>
            <m:t>.</m:t>
          </m:r>
        </m:oMath>
      </m:oMathPara>
    </w:p>
    <w:p w14:paraId="1A72C5BD" w14:textId="3B81A238" w:rsidR="003A283B" w:rsidRPr="003A283B" w:rsidRDefault="003A283B" w:rsidP="003A283B">
      <w:pPr>
        <w:numPr>
          <w:ilvl w:val="0"/>
          <w:numId w:val="6"/>
        </w:numPr>
        <w:tabs>
          <w:tab w:val="clear" w:pos="360"/>
          <w:tab w:val="num" w:pos="720"/>
        </w:tabs>
        <w:rPr>
          <w:rFonts w:eastAsia="DengXian"/>
          <w:sz w:val="24"/>
          <w:szCs w:val="24"/>
        </w:rPr>
      </w:pPr>
      <w:r w:rsidRPr="003A283B">
        <w:rPr>
          <w:rFonts w:eastAsia="DengXian"/>
          <w:b/>
          <w:bCs/>
          <w:sz w:val="24"/>
          <w:szCs w:val="24"/>
        </w:rPr>
        <w:t>With respect to λ:</w:t>
      </w:r>
    </w:p>
    <w:p w14:paraId="40A0F837" w14:textId="77777777" w:rsidR="003A283B" w:rsidRPr="00B2032B" w:rsidRDefault="00000000" w:rsidP="003A283B">
      <w:pPr>
        <w:rPr>
          <w:rFonts w:eastAsia="DengXian"/>
          <w:sz w:val="24"/>
          <w:szCs w:val="24"/>
        </w:rPr>
      </w:pPr>
      <m:oMathPara>
        <m:oMath>
          <m:f>
            <m:fPr>
              <m:ctrlPr>
                <w:rPr>
                  <w:rFonts w:ascii="Cambria Math" w:eastAsia="DengXian" w:hAnsi="Cambria Math"/>
                  <w:sz w:val="24"/>
                  <w:szCs w:val="24"/>
                </w:rPr>
              </m:ctrlPr>
            </m:fPr>
            <m:num>
              <m:r>
                <m:rPr>
                  <m:sty m:val="p"/>
                </m:rPr>
                <w:rPr>
                  <w:rFonts w:ascii="Cambria Math" w:eastAsia="DengXian" w:hAnsi="Cambria Math"/>
                  <w:sz w:val="24"/>
                  <w:szCs w:val="24"/>
                </w:rPr>
                <m:t>∂</m:t>
              </m:r>
              <m:r>
                <m:rPr>
                  <m:scr m:val="script"/>
                </m:rPr>
                <w:rPr>
                  <w:rFonts w:ascii="Cambria Math" w:eastAsia="DengXian" w:hAnsi="Cambria Math"/>
                  <w:sz w:val="24"/>
                  <w:szCs w:val="24"/>
                </w:rPr>
                <m:t>L</m:t>
              </m:r>
            </m:num>
            <m:den>
              <m:r>
                <m:rPr>
                  <m:sty m:val="p"/>
                </m:rPr>
                <w:rPr>
                  <w:rFonts w:ascii="Cambria Math" w:eastAsia="DengXian" w:hAnsi="Cambria Math"/>
                  <w:sz w:val="24"/>
                  <w:szCs w:val="24"/>
                </w:rPr>
                <m:t>∂</m:t>
              </m:r>
              <m:r>
                <w:rPr>
                  <w:rFonts w:ascii="Cambria Math" w:eastAsia="DengXian" w:hAnsi="Cambria Math"/>
                  <w:sz w:val="24"/>
                  <w:szCs w:val="24"/>
                </w:rPr>
                <m:t>λ</m:t>
              </m:r>
            </m:den>
          </m:f>
          <m:r>
            <w:rPr>
              <w:rFonts w:ascii="Cambria Math" w:eastAsia="DengXian" w:hAnsi="Cambria Math"/>
              <w:sz w:val="24"/>
              <w:szCs w:val="24"/>
            </w:rPr>
            <m:t>=I-PC-M=0⇒PC+M=I</m:t>
          </m:r>
          <m:r>
            <m:rPr>
              <m:sty m:val="p"/>
            </m:rPr>
            <w:rPr>
              <w:rFonts w:ascii="Cambria Math" w:eastAsia="DengXian" w:hAnsi="Cambria Math"/>
              <w:sz w:val="24"/>
              <w:szCs w:val="24"/>
            </w:rPr>
            <m:t>.</m:t>
          </m:r>
        </m:oMath>
      </m:oMathPara>
    </w:p>
    <w:p w14:paraId="0987D59B" w14:textId="14925D86" w:rsidR="003A283B" w:rsidRPr="003A283B" w:rsidRDefault="003A283B" w:rsidP="003A283B">
      <w:pPr>
        <w:rPr>
          <w:rFonts w:eastAsia="DengXian"/>
          <w:sz w:val="24"/>
          <w:szCs w:val="24"/>
        </w:rPr>
      </w:pPr>
      <w:r w:rsidRPr="003A283B">
        <w:rPr>
          <w:rFonts w:eastAsia="DengXian"/>
          <w:sz w:val="24"/>
          <w:szCs w:val="24"/>
        </w:rPr>
        <w:t xml:space="preserve">Equating the expressions for </w:t>
      </w:r>
      <m:oMath>
        <m:r>
          <w:rPr>
            <w:rFonts w:ascii="Cambria Math" w:eastAsia="DengXian" w:hAnsi="Cambria Math"/>
            <w:sz w:val="24"/>
            <w:szCs w:val="24"/>
          </w:rPr>
          <m:t>λ</m:t>
        </m:r>
        <m:r>
          <w:rPr>
            <w:rFonts w:ascii="Cambria Math" w:eastAsia="DengXian"/>
            <w:sz w:val="24"/>
            <w:szCs w:val="24"/>
          </w:rPr>
          <m:t xml:space="preserve"> </m:t>
        </m:r>
      </m:oMath>
      <w:r w:rsidRPr="003A283B">
        <w:rPr>
          <w:rFonts w:eastAsia="DengXian"/>
          <w:sz w:val="24"/>
          <w:szCs w:val="24"/>
        </w:rPr>
        <w:t xml:space="preserve">from the FOCs for </w:t>
      </w:r>
      <m:oMath>
        <m:r>
          <w:rPr>
            <w:rFonts w:ascii="Cambria Math" w:eastAsia="DengXian" w:hAnsi="Cambria Math"/>
            <w:sz w:val="24"/>
            <w:szCs w:val="24"/>
          </w:rPr>
          <m:t>C</m:t>
        </m:r>
      </m:oMath>
      <w:r w:rsidRPr="003A283B">
        <w:rPr>
          <w:rFonts w:eastAsia="DengXian"/>
          <w:sz w:val="24"/>
          <w:szCs w:val="24"/>
        </w:rPr>
        <w:t xml:space="preserve"> and </w:t>
      </w:r>
      <m:oMath>
        <m:r>
          <w:rPr>
            <w:rFonts w:ascii="Cambria Math" w:eastAsia="DengXian" w:hAnsi="Cambria Math"/>
            <w:sz w:val="24"/>
            <w:szCs w:val="24"/>
          </w:rPr>
          <m:t>M</m:t>
        </m:r>
      </m:oMath>
      <w:r w:rsidRPr="003A283B">
        <w:rPr>
          <w:rFonts w:eastAsia="DengXian"/>
          <w:sz w:val="24"/>
          <w:szCs w:val="24"/>
        </w:rPr>
        <w:t xml:space="preserve"> gives:</w:t>
      </w:r>
    </w:p>
    <w:p w14:paraId="45849750" w14:textId="77777777" w:rsidR="003A283B" w:rsidRPr="00B2032B" w:rsidRDefault="00000000" w:rsidP="003A283B">
      <w:pPr>
        <w:rPr>
          <w:rFonts w:eastAsia="DengXian"/>
          <w:sz w:val="24"/>
          <w:szCs w:val="24"/>
        </w:rPr>
      </w:pPr>
      <m:oMathPara>
        <m:oMath>
          <m:f>
            <m:fPr>
              <m:ctrlPr>
                <w:rPr>
                  <w:rFonts w:ascii="Cambria Math" w:eastAsia="DengXian" w:hAnsi="Cambria Math"/>
                  <w:sz w:val="24"/>
                  <w:szCs w:val="24"/>
                </w:rPr>
              </m:ctrlPr>
            </m:fPr>
            <m:num>
              <m:r>
                <w:rPr>
                  <w:rFonts w:ascii="Cambria Math" w:eastAsia="DengXian" w:hAnsi="Cambria Math"/>
                  <w:sz w:val="24"/>
                  <w:szCs w:val="24"/>
                </w:rPr>
                <m:t>α</m:t>
              </m:r>
            </m:num>
            <m:den>
              <m:r>
                <w:rPr>
                  <w:rFonts w:ascii="Cambria Math" w:eastAsia="DengXian" w:hAnsi="Cambria Math"/>
                  <w:sz w:val="24"/>
                  <w:szCs w:val="24"/>
                </w:rPr>
                <m:t>PC</m:t>
              </m:r>
            </m:den>
          </m:f>
          <m:r>
            <w:rPr>
              <w:rFonts w:ascii="Cambria Math" w:eastAsia="DengXian" w:hAnsi="Cambria Math"/>
              <w:sz w:val="24"/>
              <w:szCs w:val="24"/>
            </w:rPr>
            <m:t>=</m:t>
          </m:r>
          <m:f>
            <m:fPr>
              <m:ctrlPr>
                <w:rPr>
                  <w:rFonts w:ascii="Cambria Math" w:eastAsia="DengXian" w:hAnsi="Cambria Math"/>
                  <w:sz w:val="24"/>
                  <w:szCs w:val="24"/>
                </w:rPr>
              </m:ctrlPr>
            </m:fPr>
            <m:num>
              <m:r>
                <w:rPr>
                  <w:rFonts w:ascii="Cambria Math" w:eastAsia="DengXian" w:hAnsi="Cambria Math"/>
                  <w:sz w:val="24"/>
                  <w:szCs w:val="24"/>
                </w:rPr>
                <m:t>1-α</m:t>
              </m:r>
            </m:num>
            <m:den>
              <m:r>
                <w:rPr>
                  <w:rFonts w:ascii="Cambria Math" w:eastAsia="DengXian" w:hAnsi="Cambria Math"/>
                  <w:sz w:val="24"/>
                  <w:szCs w:val="24"/>
                </w:rPr>
                <m:t>M</m:t>
              </m:r>
            </m:den>
          </m:f>
          <m:r>
            <w:rPr>
              <w:rFonts w:ascii="Cambria Math" w:eastAsia="DengXian" w:hAnsi="Cambria Math"/>
              <w:sz w:val="24"/>
              <w:szCs w:val="24"/>
            </w:rPr>
            <m:t>⇒M=</m:t>
          </m:r>
          <m:f>
            <m:fPr>
              <m:ctrlPr>
                <w:rPr>
                  <w:rFonts w:ascii="Cambria Math" w:eastAsia="DengXian" w:hAnsi="Cambria Math"/>
                  <w:sz w:val="24"/>
                  <w:szCs w:val="24"/>
                </w:rPr>
              </m:ctrlPr>
            </m:fPr>
            <m:num>
              <m:d>
                <m:dPr>
                  <m:ctrlPr>
                    <w:rPr>
                      <w:rFonts w:ascii="Cambria Math" w:eastAsia="DengXian" w:hAnsi="Cambria Math"/>
                      <w:i/>
                      <w:sz w:val="24"/>
                      <w:szCs w:val="24"/>
                    </w:rPr>
                  </m:ctrlPr>
                </m:dPr>
                <m:e>
                  <m:r>
                    <w:rPr>
                      <w:rFonts w:ascii="Cambria Math" w:eastAsia="DengXian" w:hAnsi="Cambria Math"/>
                      <w:sz w:val="24"/>
                      <w:szCs w:val="24"/>
                    </w:rPr>
                    <m:t>1-α</m:t>
                  </m:r>
                </m:e>
              </m:d>
              <m:r>
                <w:rPr>
                  <w:rFonts w:ascii="Cambria Math" w:eastAsia="DengXian" w:hAnsi="Cambria Math"/>
                  <w:sz w:val="24"/>
                  <w:szCs w:val="24"/>
                </w:rPr>
                <m:t>PC</m:t>
              </m:r>
            </m:num>
            <m:den>
              <m:r>
                <w:rPr>
                  <w:rFonts w:ascii="Cambria Math" w:eastAsia="DengXian" w:hAnsi="Cambria Math"/>
                  <w:sz w:val="24"/>
                  <w:szCs w:val="24"/>
                </w:rPr>
                <m:t>α</m:t>
              </m:r>
            </m:den>
          </m:f>
          <m:r>
            <m:rPr>
              <m:sty m:val="p"/>
            </m:rPr>
            <w:rPr>
              <w:rFonts w:ascii="Cambria Math" w:eastAsia="DengXian" w:hAnsi="Cambria Math"/>
              <w:sz w:val="24"/>
              <w:szCs w:val="24"/>
            </w:rPr>
            <m:t>.</m:t>
          </m:r>
        </m:oMath>
      </m:oMathPara>
    </w:p>
    <w:p w14:paraId="7E07C743" w14:textId="1302E0B2" w:rsidR="003A283B" w:rsidRPr="003A283B" w:rsidRDefault="003A283B" w:rsidP="003A283B">
      <w:pPr>
        <w:rPr>
          <w:rFonts w:eastAsia="DengXian"/>
          <w:sz w:val="24"/>
          <w:szCs w:val="24"/>
        </w:rPr>
      </w:pPr>
      <w:r w:rsidRPr="003A283B">
        <w:rPr>
          <w:rFonts w:eastAsia="DengXian"/>
          <w:sz w:val="24"/>
          <w:szCs w:val="24"/>
        </w:rPr>
        <w:t xml:space="preserve">Substituting </w:t>
      </w:r>
      <m:oMath>
        <m:r>
          <w:rPr>
            <w:rFonts w:ascii="Cambria Math" w:eastAsia="DengXian" w:hAnsi="Cambria Math"/>
            <w:sz w:val="24"/>
            <w:szCs w:val="24"/>
          </w:rPr>
          <m:t>M</m:t>
        </m:r>
      </m:oMath>
      <w:r w:rsidRPr="003A283B">
        <w:rPr>
          <w:rFonts w:eastAsia="DengXian"/>
          <w:sz w:val="24"/>
          <w:szCs w:val="24"/>
        </w:rPr>
        <w:t xml:space="preserve"> into the budget constraint yields:</w:t>
      </w:r>
    </w:p>
    <w:p w14:paraId="17F9EBDB" w14:textId="77777777" w:rsidR="003A283B" w:rsidRPr="00B2032B" w:rsidRDefault="003A283B" w:rsidP="003A283B">
      <w:pPr>
        <w:rPr>
          <w:rFonts w:eastAsia="DengXian"/>
          <w:sz w:val="24"/>
          <w:szCs w:val="24"/>
        </w:rPr>
      </w:pPr>
      <m:oMathPara>
        <m:oMath>
          <m:r>
            <w:rPr>
              <w:rFonts w:ascii="Cambria Math" w:eastAsia="DengXian" w:hAnsi="Cambria Math"/>
              <w:sz w:val="24"/>
              <w:szCs w:val="24"/>
            </w:rPr>
            <m:t>PC+</m:t>
          </m:r>
          <m:f>
            <m:fPr>
              <m:ctrlPr>
                <w:rPr>
                  <w:rFonts w:ascii="Cambria Math" w:eastAsia="DengXian" w:hAnsi="Cambria Math"/>
                  <w:sz w:val="24"/>
                  <w:szCs w:val="24"/>
                </w:rPr>
              </m:ctrlPr>
            </m:fPr>
            <m:num>
              <m:d>
                <m:dPr>
                  <m:ctrlPr>
                    <w:rPr>
                      <w:rFonts w:ascii="Cambria Math" w:eastAsia="DengXian" w:hAnsi="Cambria Math"/>
                      <w:i/>
                      <w:sz w:val="24"/>
                      <w:szCs w:val="24"/>
                    </w:rPr>
                  </m:ctrlPr>
                </m:dPr>
                <m:e>
                  <m:r>
                    <w:rPr>
                      <w:rFonts w:ascii="Cambria Math" w:eastAsia="DengXian" w:hAnsi="Cambria Math"/>
                      <w:sz w:val="24"/>
                      <w:szCs w:val="24"/>
                    </w:rPr>
                    <m:t>1-α</m:t>
                  </m:r>
                </m:e>
              </m:d>
              <m:r>
                <w:rPr>
                  <w:rFonts w:ascii="Cambria Math" w:eastAsia="DengXian" w:hAnsi="Cambria Math"/>
                  <w:sz w:val="24"/>
                  <w:szCs w:val="24"/>
                </w:rPr>
                <m:t>PC</m:t>
              </m:r>
            </m:num>
            <m:den>
              <m:r>
                <w:rPr>
                  <w:rFonts w:ascii="Cambria Math" w:eastAsia="DengXian" w:hAnsi="Cambria Math"/>
                  <w:sz w:val="24"/>
                  <w:szCs w:val="24"/>
                </w:rPr>
                <m:t>α</m:t>
              </m:r>
            </m:den>
          </m:f>
          <m:r>
            <w:rPr>
              <w:rFonts w:ascii="Cambria Math" w:eastAsia="DengXian" w:hAnsi="Cambria Math"/>
              <w:sz w:val="24"/>
              <w:szCs w:val="24"/>
            </w:rPr>
            <m:t>=I</m:t>
          </m:r>
          <m:r>
            <m:rPr>
              <m:sty m:val="p"/>
            </m:rPr>
            <w:rPr>
              <w:rFonts w:ascii="Cambria Math" w:eastAsia="DengXian" w:hAnsi="Cambria Math"/>
              <w:sz w:val="24"/>
              <w:szCs w:val="24"/>
            </w:rPr>
            <m:t>.</m:t>
          </m:r>
        </m:oMath>
      </m:oMathPara>
    </w:p>
    <w:p w14:paraId="0858EECD" w14:textId="19ACDF29" w:rsidR="003A283B" w:rsidRPr="003A283B" w:rsidRDefault="003A283B" w:rsidP="003A283B">
      <w:pPr>
        <w:rPr>
          <w:rFonts w:eastAsia="DengXian"/>
          <w:sz w:val="24"/>
          <w:szCs w:val="24"/>
        </w:rPr>
      </w:pPr>
      <w:r w:rsidRPr="003A283B">
        <w:rPr>
          <w:rFonts w:eastAsia="DengXian"/>
          <w:sz w:val="24"/>
          <w:szCs w:val="24"/>
        </w:rPr>
        <w:t>Simplifying:</w:t>
      </w:r>
    </w:p>
    <w:p w14:paraId="659754C0" w14:textId="77777777" w:rsidR="00B2032B" w:rsidRPr="00B2032B" w:rsidRDefault="00B2032B" w:rsidP="003A283B">
      <w:pPr>
        <w:rPr>
          <w:rFonts w:eastAsia="DengXian"/>
          <w:sz w:val="24"/>
          <w:szCs w:val="24"/>
        </w:rPr>
      </w:pPr>
      <m:oMathPara>
        <m:oMath>
          <m:r>
            <w:rPr>
              <w:rFonts w:ascii="Cambria Math" w:eastAsia="DengXian" w:hAnsi="Cambria Math"/>
              <w:sz w:val="24"/>
              <w:szCs w:val="24"/>
            </w:rPr>
            <m:t>PC</m:t>
          </m:r>
          <m:d>
            <m:dPr>
              <m:ctrlPr>
                <w:rPr>
                  <w:rFonts w:ascii="Cambria Math" w:eastAsia="DengXian" w:hAnsi="Cambria Math"/>
                  <w:i/>
                  <w:sz w:val="24"/>
                  <w:szCs w:val="24"/>
                </w:rPr>
              </m:ctrlPr>
            </m:dPr>
            <m:e>
              <m:f>
                <m:fPr>
                  <m:ctrlPr>
                    <w:rPr>
                      <w:rFonts w:ascii="Cambria Math" w:eastAsia="DengXian" w:hAnsi="Cambria Math"/>
                      <w:sz w:val="24"/>
                      <w:szCs w:val="24"/>
                    </w:rPr>
                  </m:ctrlPr>
                </m:fPr>
                <m:num>
                  <m:r>
                    <w:rPr>
                      <w:rFonts w:ascii="Cambria Math" w:eastAsia="DengXian" w:hAnsi="Cambria Math"/>
                      <w:sz w:val="24"/>
                      <w:szCs w:val="24"/>
                    </w:rPr>
                    <m:t>α+</m:t>
                  </m:r>
                  <m:d>
                    <m:dPr>
                      <m:ctrlPr>
                        <w:rPr>
                          <w:rFonts w:ascii="Cambria Math" w:eastAsia="DengXian" w:hAnsi="Cambria Math"/>
                          <w:i/>
                          <w:sz w:val="24"/>
                          <w:szCs w:val="24"/>
                        </w:rPr>
                      </m:ctrlPr>
                    </m:dPr>
                    <m:e>
                      <m:r>
                        <w:rPr>
                          <w:rFonts w:ascii="Cambria Math" w:eastAsia="DengXian" w:hAnsi="Cambria Math"/>
                          <w:sz w:val="24"/>
                          <w:szCs w:val="24"/>
                        </w:rPr>
                        <m:t>1-α</m:t>
                      </m:r>
                    </m:e>
                  </m:d>
                </m:num>
                <m:den>
                  <m:r>
                    <w:rPr>
                      <w:rFonts w:ascii="Cambria Math" w:eastAsia="DengXian" w:hAnsi="Cambria Math"/>
                      <w:sz w:val="24"/>
                      <w:szCs w:val="24"/>
                    </w:rPr>
                    <m:t>α</m:t>
                  </m:r>
                </m:den>
              </m:f>
            </m:e>
          </m:d>
          <m:r>
            <w:rPr>
              <w:rFonts w:ascii="Cambria Math" w:eastAsia="DengXian" w:hAnsi="Cambria Math"/>
              <w:sz w:val="24"/>
              <w:szCs w:val="24"/>
            </w:rPr>
            <m:t>=I⇒PC</m:t>
          </m:r>
          <m:f>
            <m:fPr>
              <m:ctrlPr>
                <w:rPr>
                  <w:rFonts w:ascii="Cambria Math" w:eastAsia="DengXian" w:hAnsi="Cambria Math"/>
                  <w:sz w:val="24"/>
                  <w:szCs w:val="24"/>
                </w:rPr>
              </m:ctrlPr>
            </m:fPr>
            <m:num>
              <m:r>
                <w:rPr>
                  <w:rFonts w:ascii="Cambria Math" w:eastAsia="DengXian" w:hAnsi="Cambria Math"/>
                  <w:sz w:val="24"/>
                  <w:szCs w:val="24"/>
                </w:rPr>
                <m:t>1</m:t>
              </m:r>
            </m:num>
            <m:den>
              <m:r>
                <w:rPr>
                  <w:rFonts w:ascii="Cambria Math" w:eastAsia="DengXian" w:hAnsi="Cambria Math"/>
                  <w:sz w:val="24"/>
                  <w:szCs w:val="24"/>
                </w:rPr>
                <m:t>α</m:t>
              </m:r>
            </m:den>
          </m:f>
          <m:r>
            <w:rPr>
              <w:rFonts w:ascii="Cambria Math" w:eastAsia="DengXian" w:hAnsi="Cambria Math"/>
              <w:sz w:val="24"/>
              <w:szCs w:val="24"/>
            </w:rPr>
            <m:t>=I</m:t>
          </m:r>
          <m:r>
            <m:rPr>
              <m:sty m:val="p"/>
            </m:rPr>
            <w:rPr>
              <w:rFonts w:ascii="Cambria Math" w:eastAsia="DengXian" w:hAnsi="Cambria Math"/>
              <w:sz w:val="24"/>
              <w:szCs w:val="24"/>
            </w:rPr>
            <m:t>.</m:t>
          </m:r>
        </m:oMath>
      </m:oMathPara>
    </w:p>
    <w:p w14:paraId="3542035A" w14:textId="6E73A53F" w:rsidR="003A283B" w:rsidRPr="003A283B" w:rsidRDefault="003A283B" w:rsidP="003A283B">
      <w:pPr>
        <w:rPr>
          <w:rFonts w:eastAsia="DengXian"/>
          <w:sz w:val="24"/>
          <w:szCs w:val="24"/>
        </w:rPr>
      </w:pPr>
      <w:r w:rsidRPr="50978F4D">
        <w:rPr>
          <w:rFonts w:eastAsia="DengXian"/>
          <w:sz w:val="24"/>
          <w:szCs w:val="24"/>
        </w:rPr>
        <w:t>Thus, the consumption function is:</w:t>
      </w:r>
    </w:p>
    <w:p w14:paraId="31DF39FE" w14:textId="77777777" w:rsidR="00B2032B" w:rsidRPr="00B2032B" w:rsidRDefault="00B2032B" w:rsidP="6AB4B86E">
      <w:pPr>
        <w:jc w:val="center"/>
        <w:rPr>
          <w:rFonts w:eastAsia="DengXian"/>
        </w:rPr>
      </w:pPr>
      <m:oMathPara>
        <m:oMath>
          <m:r>
            <w:rPr>
              <w:rFonts w:ascii="Cambria Math" w:eastAsia="DengXian" w:hAnsi="Cambria Math"/>
              <w:sz w:val="24"/>
              <w:szCs w:val="24"/>
            </w:rPr>
            <m:t>C=</m:t>
          </m:r>
          <m:f>
            <m:fPr>
              <m:ctrlPr>
                <w:rPr>
                  <w:rFonts w:ascii="Cambria Math" w:eastAsia="DengXian" w:hAnsi="Cambria Math"/>
                  <w:sz w:val="24"/>
                  <w:szCs w:val="24"/>
                </w:rPr>
              </m:ctrlPr>
            </m:fPr>
            <m:num>
              <m:r>
                <w:rPr>
                  <w:rFonts w:ascii="Cambria Math" w:eastAsia="DengXian" w:hAnsi="Cambria Math"/>
                  <w:sz w:val="24"/>
                  <w:szCs w:val="24"/>
                </w:rPr>
                <m:t>αI</m:t>
              </m:r>
            </m:num>
            <m:den>
              <m:r>
                <w:rPr>
                  <w:rFonts w:ascii="Cambria Math" w:eastAsia="DengXian" w:hAnsi="Cambria Math"/>
                  <w:sz w:val="24"/>
                  <w:szCs w:val="24"/>
                </w:rPr>
                <m:t>P</m:t>
              </m:r>
            </m:den>
          </m:f>
          <m:r>
            <m:rPr>
              <m:sty m:val="p"/>
            </m:rPr>
            <w:rPr>
              <w:rFonts w:ascii="Cambria Math" w:eastAsia="DengXian" w:hAnsi="Cambria Math"/>
              <w:sz w:val="24"/>
              <w:szCs w:val="24"/>
            </w:rPr>
            <m:t>.</m:t>
          </m:r>
        </m:oMath>
      </m:oMathPara>
    </w:p>
    <w:p w14:paraId="5EB14E76" w14:textId="0A846703" w:rsidR="28AEB322" w:rsidRDefault="62197ED7" w:rsidP="299202C3">
      <w:pPr>
        <w:jc w:val="left"/>
        <w:rPr>
          <w:sz w:val="24"/>
          <w:szCs w:val="24"/>
        </w:rPr>
      </w:pPr>
      <w:r w:rsidRPr="62197ED7">
        <w:rPr>
          <w:sz w:val="24"/>
          <w:szCs w:val="24"/>
        </w:rPr>
        <w:t xml:space="preserve">The </w:t>
      </w:r>
      <w:r w:rsidR="5B70337A" w:rsidRPr="5B70337A">
        <w:rPr>
          <w:sz w:val="24"/>
          <w:szCs w:val="24"/>
        </w:rPr>
        <w:t>first-</w:t>
      </w:r>
      <w:r w:rsidR="231873F6" w:rsidRPr="231873F6">
        <w:rPr>
          <w:sz w:val="24"/>
          <w:szCs w:val="24"/>
        </w:rPr>
        <w:t>order condition (</w:t>
      </w:r>
      <w:r w:rsidR="4E53A11B" w:rsidRPr="4E53A11B">
        <w:rPr>
          <w:sz w:val="24"/>
          <w:szCs w:val="24"/>
        </w:rPr>
        <w:t xml:space="preserve">FOC) </w:t>
      </w:r>
    </w:p>
    <w:p w14:paraId="26C9CF36" w14:textId="59D09489" w:rsidR="003A283B" w:rsidRPr="00544CCF" w:rsidRDefault="003A283B" w:rsidP="00544CCF">
      <w:pPr>
        <w:pStyle w:val="Heading2"/>
      </w:pPr>
      <w:r w:rsidRPr="00544CCF">
        <w:t>Implications for Commodity Markets</w:t>
      </w:r>
    </w:p>
    <w:p w14:paraId="71EC9773" w14:textId="0A96205C" w:rsidR="003A283B" w:rsidRPr="000469E1" w:rsidRDefault="003A283B" w:rsidP="000469E1">
      <w:pPr>
        <w:spacing w:before="240"/>
        <w:ind w:firstLine="420"/>
        <w:rPr>
          <w:rFonts w:eastAsia="DengXian"/>
          <w:sz w:val="24"/>
          <w:szCs w:val="24"/>
        </w:rPr>
      </w:pPr>
      <w:r w:rsidRPr="003A283B">
        <w:rPr>
          <w:rFonts w:eastAsia="DengXian"/>
          <w:sz w:val="24"/>
          <w:szCs w:val="24"/>
        </w:rPr>
        <w:t>The consumption function demonstrates an inverse relationship between consumption and the price level (</w:t>
      </w:r>
      <m:oMath>
        <m:r>
          <w:rPr>
            <w:rFonts w:ascii="Cambria Math" w:eastAsia="DengXian" w:hAnsi="Cambria Math"/>
            <w:sz w:val="24"/>
            <w:szCs w:val="24"/>
          </w:rPr>
          <m:t>P</m:t>
        </m:r>
      </m:oMath>
      <w:r w:rsidRPr="003A283B">
        <w:rPr>
          <w:rFonts w:eastAsia="DengXian"/>
          <w:sz w:val="24"/>
          <w:szCs w:val="24"/>
        </w:rPr>
        <w:t>). This aligns with theoretical predictions that higher price levels reduce real purchasing power, thereby lowering consumption. In the context of commodity markets, price levels (</w:t>
      </w:r>
      <m:oMath>
        <m:r>
          <w:rPr>
            <w:rFonts w:ascii="Cambria Math" w:eastAsia="DengXian" w:hAnsi="Cambria Math"/>
            <w:sz w:val="24"/>
            <w:szCs w:val="24"/>
          </w:rPr>
          <m:t>P</m:t>
        </m:r>
      </m:oMath>
      <w:r w:rsidRPr="003A283B">
        <w:rPr>
          <w:rFonts w:eastAsia="DengXian"/>
          <w:sz w:val="24"/>
          <w:szCs w:val="24"/>
        </w:rPr>
        <w:t>) influence commodity prices (</w:t>
      </w:r>
      <m:oMath>
        <m:sSub>
          <m:sSubPr>
            <m:ctrlPr>
              <w:rPr>
                <w:rFonts w:ascii="Cambria Math" w:eastAsia="DengXian" w:hAnsi="Cambria Math"/>
                <w:sz w:val="24"/>
                <w:szCs w:val="24"/>
              </w:rPr>
            </m:ctrlPr>
          </m:sSubPr>
          <m:e>
            <m:r>
              <w:rPr>
                <w:rFonts w:ascii="Cambria Math" w:eastAsia="DengXian" w:hAnsi="Cambria Math"/>
                <w:sz w:val="24"/>
                <w:szCs w:val="24"/>
              </w:rPr>
              <m:t>P</m:t>
            </m:r>
          </m:e>
          <m:sub>
            <m:r>
              <w:rPr>
                <w:rFonts w:ascii="Cambria Math" w:eastAsia="DengXian" w:hAnsi="Cambria Math"/>
                <w:sz w:val="24"/>
                <w:szCs w:val="24"/>
              </w:rPr>
              <m:t>c</m:t>
            </m:r>
          </m:sub>
        </m:sSub>
      </m:oMath>
      <w:r w:rsidRPr="003A283B">
        <w:rPr>
          <w:rFonts w:eastAsia="DengXian"/>
          <w:sz w:val="24"/>
          <w:szCs w:val="24"/>
        </w:rPr>
        <w:t xml:space="preserve">​) and, </w:t>
      </w:r>
      <w:r w:rsidRPr="003A283B">
        <w:rPr>
          <w:rFonts w:eastAsia="DengXian"/>
          <w:sz w:val="24"/>
          <w:szCs w:val="24"/>
        </w:rPr>
        <w:lastRenderedPageBreak/>
        <w:t>consequently, the quantity of commodities purchased (</w:t>
      </w:r>
      <m:oMath>
        <m:sSub>
          <m:sSubPr>
            <m:ctrlPr>
              <w:rPr>
                <w:rFonts w:ascii="Cambria Math" w:eastAsia="DengXian" w:hAnsi="Cambria Math"/>
                <w:sz w:val="24"/>
                <w:szCs w:val="24"/>
              </w:rPr>
            </m:ctrlPr>
          </m:sSubPr>
          <m:e>
            <m:r>
              <w:rPr>
                <w:rFonts w:ascii="Cambria Math" w:eastAsia="DengXian" w:hAnsi="Cambria Math"/>
                <w:sz w:val="24"/>
                <w:szCs w:val="24"/>
              </w:rPr>
              <m:t>Q</m:t>
            </m:r>
          </m:e>
          <m:sub>
            <m:r>
              <w:rPr>
                <w:rFonts w:ascii="Cambria Math" w:eastAsia="DengXian" w:hAnsi="Cambria Math"/>
                <w:sz w:val="24"/>
                <w:szCs w:val="24"/>
              </w:rPr>
              <m:t>c</m:t>
            </m:r>
          </m:sub>
        </m:sSub>
      </m:oMath>
      <w:r w:rsidRPr="003A283B">
        <w:rPr>
          <w:rFonts w:eastAsia="DengXian"/>
          <w:sz w:val="24"/>
          <w:szCs w:val="24"/>
        </w:rPr>
        <w:t xml:space="preserve">​). This establishes a theoretical link between monetary policy, which affects </w:t>
      </w:r>
      <m:oMath>
        <m:r>
          <w:rPr>
            <w:rFonts w:ascii="Cambria Math" w:eastAsia="DengXian" w:hAnsi="Cambria Math"/>
            <w:sz w:val="24"/>
            <w:szCs w:val="24"/>
          </w:rPr>
          <m:t>P</m:t>
        </m:r>
      </m:oMath>
      <w:r w:rsidRPr="003A283B">
        <w:rPr>
          <w:rFonts w:eastAsia="DengXian"/>
          <w:sz w:val="24"/>
          <w:szCs w:val="24"/>
        </w:rPr>
        <w:t>, and commodity market dynamics.</w:t>
      </w:r>
    </w:p>
    <w:p w14:paraId="0673A037" w14:textId="1DDBB4D8" w:rsidR="384AB482" w:rsidRDefault="3E68750D" w:rsidP="000469E1">
      <w:pPr>
        <w:pStyle w:val="Heading1"/>
        <w:spacing w:before="240" w:after="0" w:line="360" w:lineRule="auto"/>
        <w:jc w:val="left"/>
        <w:rPr>
          <w:rFonts w:eastAsia="DengXian"/>
          <w:sz w:val="28"/>
          <w:szCs w:val="28"/>
        </w:rPr>
      </w:pPr>
      <w:r w:rsidRPr="3E68750D">
        <w:rPr>
          <w:rFonts w:eastAsia="DengXian"/>
          <w:sz w:val="28"/>
          <w:szCs w:val="28"/>
        </w:rPr>
        <w:t>IV. Data</w:t>
      </w:r>
    </w:p>
    <w:p w14:paraId="1C43A1F5" w14:textId="423C3BBB" w:rsidR="384AB482" w:rsidRPr="004331FB" w:rsidRDefault="3E68750D" w:rsidP="000469E1">
      <w:pPr>
        <w:pStyle w:val="Heading2"/>
        <w:spacing w:before="0"/>
      </w:pPr>
      <w:r w:rsidRPr="004331FB">
        <w:t>Data and Variables</w:t>
      </w:r>
    </w:p>
    <w:p w14:paraId="2D237954" w14:textId="5E4C9D84" w:rsidR="384AB482" w:rsidRDefault="3E68750D" w:rsidP="00472214">
      <w:pPr>
        <w:spacing w:before="240" w:after="240"/>
        <w:ind w:firstLine="420"/>
        <w:rPr>
          <w:rFonts w:eastAsiaTheme="minorEastAsia"/>
          <w:color w:val="000000" w:themeColor="text1"/>
          <w:sz w:val="24"/>
          <w:szCs w:val="24"/>
        </w:rPr>
      </w:pPr>
      <w:r w:rsidRPr="3E68750D">
        <w:rPr>
          <w:color w:val="000000" w:themeColor="text1"/>
          <w:sz w:val="24"/>
          <w:szCs w:val="24"/>
        </w:rPr>
        <w:t>The analysis employs the following variables:</w:t>
      </w:r>
    </w:p>
    <w:tbl>
      <w:tblPr>
        <w:tblStyle w:val="TableGrid"/>
        <w:tblW w:w="8642" w:type="dxa"/>
        <w:tblLook w:val="04A0" w:firstRow="1" w:lastRow="0" w:firstColumn="1" w:lastColumn="0" w:noHBand="0" w:noVBand="1"/>
      </w:tblPr>
      <w:tblGrid>
        <w:gridCol w:w="2576"/>
        <w:gridCol w:w="6066"/>
      </w:tblGrid>
      <w:tr w:rsidR="006132DF" w14:paraId="156BB598" w14:textId="77777777" w:rsidTr="001561C7">
        <w:trPr>
          <w:trHeight w:val="567"/>
        </w:trPr>
        <w:tc>
          <w:tcPr>
            <w:tcW w:w="2576" w:type="dxa"/>
            <w:vAlign w:val="center"/>
          </w:tcPr>
          <w:p w14:paraId="5E8E9667" w14:textId="7C302461" w:rsidR="006132DF" w:rsidRDefault="006132DF" w:rsidP="001561C7">
            <w:pPr>
              <w:spacing w:before="240" w:after="240"/>
              <w:rPr>
                <w:rFonts w:eastAsiaTheme="minorEastAsia"/>
                <w:color w:val="000000" w:themeColor="text1"/>
                <w:sz w:val="24"/>
                <w:szCs w:val="24"/>
              </w:rPr>
            </w:pPr>
            <w:r w:rsidRPr="3E68750D">
              <w:rPr>
                <w:b/>
                <w:bCs/>
                <w:color w:val="000000" w:themeColor="text1"/>
                <w:sz w:val="24"/>
                <w:szCs w:val="24"/>
              </w:rPr>
              <w:t>Dependent Variable</w:t>
            </w:r>
          </w:p>
        </w:tc>
        <w:tc>
          <w:tcPr>
            <w:tcW w:w="6066" w:type="dxa"/>
            <w:vAlign w:val="center"/>
          </w:tcPr>
          <w:p w14:paraId="1F2CD172" w14:textId="70710D18" w:rsidR="006132DF" w:rsidRPr="006132DF" w:rsidRDefault="006132DF" w:rsidP="001561C7">
            <w:pPr>
              <w:shd w:val="clear" w:color="auto" w:fill="FFFFFF" w:themeFill="background1"/>
              <w:spacing w:before="240" w:after="240"/>
              <w:rPr>
                <w:color w:val="000000" w:themeColor="text1"/>
                <w:sz w:val="24"/>
                <w:szCs w:val="24"/>
              </w:rPr>
            </w:pPr>
            <w:r w:rsidRPr="006132DF">
              <w:rPr>
                <w:color w:val="000000" w:themeColor="text1"/>
                <w:sz w:val="24"/>
                <w:szCs w:val="24"/>
              </w:rPr>
              <w:t>Quantity purchased of key commodities (</w:t>
            </w:r>
            <w:r w:rsidRPr="3E68750D">
              <w:rPr>
                <w:rFonts w:ascii="MathJax_Math-italic" w:eastAsia="MathJax_Math-italic" w:hAnsi="MathJax_Math-italic" w:cs="MathJax_Math-italic"/>
                <w:color w:val="000000" w:themeColor="text1"/>
                <w:sz w:val="24"/>
                <w:szCs w:val="24"/>
              </w:rPr>
              <w:t>Q</w:t>
            </w:r>
            <w:r w:rsidRPr="3E68750D">
              <w:rPr>
                <w:rFonts w:ascii="MathJax_Math-italic" w:eastAsia="MathJax_Math-italic" w:hAnsi="MathJax_Math-italic" w:cs="MathJax_Math-italic"/>
                <w:color w:val="000000" w:themeColor="text1"/>
                <w:sz w:val="17"/>
                <w:szCs w:val="17"/>
              </w:rPr>
              <w:t>c</w:t>
            </w:r>
            <w:r w:rsidRPr="3E68750D">
              <w:rPr>
                <w:color w:val="000000" w:themeColor="text1"/>
                <w:sz w:val="24"/>
                <w:szCs w:val="24"/>
              </w:rPr>
              <w:t>), measured in physical units (e.g., barrels of oil, tons of grain).</w:t>
            </w:r>
          </w:p>
        </w:tc>
      </w:tr>
      <w:tr w:rsidR="006132DF" w14:paraId="751CA83D" w14:textId="77777777" w:rsidTr="001561C7">
        <w:trPr>
          <w:trHeight w:val="567"/>
        </w:trPr>
        <w:tc>
          <w:tcPr>
            <w:tcW w:w="2576" w:type="dxa"/>
            <w:vAlign w:val="center"/>
          </w:tcPr>
          <w:p w14:paraId="60223E04" w14:textId="6353BCCA" w:rsidR="006132DF" w:rsidRDefault="006132DF" w:rsidP="001561C7">
            <w:pPr>
              <w:spacing w:before="240" w:after="240"/>
              <w:rPr>
                <w:rFonts w:eastAsiaTheme="minorEastAsia"/>
                <w:color w:val="000000" w:themeColor="text1"/>
                <w:sz w:val="24"/>
                <w:szCs w:val="24"/>
              </w:rPr>
            </w:pPr>
            <w:r w:rsidRPr="3E68750D">
              <w:rPr>
                <w:b/>
                <w:bCs/>
                <w:color w:val="000000" w:themeColor="text1"/>
                <w:sz w:val="24"/>
                <w:szCs w:val="24"/>
              </w:rPr>
              <w:t>Independent Variable</w:t>
            </w:r>
          </w:p>
        </w:tc>
        <w:tc>
          <w:tcPr>
            <w:tcW w:w="6066" w:type="dxa"/>
            <w:vAlign w:val="center"/>
          </w:tcPr>
          <w:p w14:paraId="1CB20954" w14:textId="2C42A89D" w:rsidR="006132DF" w:rsidRPr="006132DF" w:rsidRDefault="006132DF" w:rsidP="001561C7">
            <w:pPr>
              <w:shd w:val="clear" w:color="auto" w:fill="FFFFFF" w:themeFill="background1"/>
              <w:spacing w:before="240" w:after="240"/>
              <w:rPr>
                <w:rFonts w:eastAsiaTheme="minorEastAsia"/>
                <w:color w:val="000000" w:themeColor="text1"/>
                <w:sz w:val="24"/>
                <w:szCs w:val="24"/>
              </w:rPr>
            </w:pPr>
            <w:r w:rsidRPr="006132DF">
              <w:rPr>
                <w:color w:val="000000" w:themeColor="text1"/>
                <w:sz w:val="24"/>
                <w:szCs w:val="24"/>
              </w:rPr>
              <w:t>Commodity prices (</w:t>
            </w:r>
            <w:r w:rsidRPr="3E68750D">
              <w:rPr>
                <w:rFonts w:ascii="MathJax_Math-italic" w:eastAsia="MathJax_Math-italic" w:hAnsi="MathJax_Math-italic" w:cs="MathJax_Math-italic"/>
                <w:color w:val="000000" w:themeColor="text1"/>
                <w:sz w:val="24"/>
                <w:szCs w:val="24"/>
              </w:rPr>
              <w:t>P</w:t>
            </w:r>
            <w:r w:rsidRPr="3E68750D">
              <w:rPr>
                <w:rFonts w:ascii="MathJax_Math-italic" w:eastAsia="MathJax_Math-italic" w:hAnsi="MathJax_Math-italic" w:cs="MathJax_Math-italic"/>
                <w:color w:val="000000" w:themeColor="text1"/>
                <w:sz w:val="17"/>
                <w:szCs w:val="17"/>
              </w:rPr>
              <w:t>c</w:t>
            </w:r>
            <w:r w:rsidRPr="3E68750D">
              <w:rPr>
                <w:color w:val="000000" w:themeColor="text1"/>
                <w:sz w:val="24"/>
                <w:szCs w:val="24"/>
              </w:rPr>
              <w:t>), measured in U.S. dollars per unit.</w:t>
            </w:r>
          </w:p>
        </w:tc>
      </w:tr>
      <w:tr w:rsidR="006132DF" w14:paraId="0A44EAC5" w14:textId="77777777" w:rsidTr="001561C7">
        <w:trPr>
          <w:trHeight w:val="567"/>
        </w:trPr>
        <w:tc>
          <w:tcPr>
            <w:tcW w:w="2576" w:type="dxa"/>
            <w:vAlign w:val="center"/>
          </w:tcPr>
          <w:p w14:paraId="676F2C5C" w14:textId="4BDFE31B" w:rsidR="006132DF" w:rsidRDefault="006132DF" w:rsidP="001561C7">
            <w:pPr>
              <w:spacing w:before="240" w:after="240"/>
              <w:rPr>
                <w:rFonts w:eastAsiaTheme="minorEastAsia"/>
                <w:color w:val="000000" w:themeColor="text1"/>
                <w:sz w:val="24"/>
                <w:szCs w:val="24"/>
              </w:rPr>
            </w:pPr>
            <w:r w:rsidRPr="3E68750D">
              <w:rPr>
                <w:b/>
                <w:bCs/>
                <w:color w:val="000000" w:themeColor="text1"/>
                <w:sz w:val="24"/>
                <w:szCs w:val="24"/>
              </w:rPr>
              <w:t>Instrumental Variable</w:t>
            </w:r>
          </w:p>
        </w:tc>
        <w:tc>
          <w:tcPr>
            <w:tcW w:w="6066" w:type="dxa"/>
            <w:vAlign w:val="center"/>
          </w:tcPr>
          <w:p w14:paraId="2F05BD89" w14:textId="570BC72E" w:rsidR="006132DF" w:rsidRPr="006132DF" w:rsidRDefault="006132DF" w:rsidP="001561C7">
            <w:pPr>
              <w:spacing w:before="240" w:after="240"/>
              <w:rPr>
                <w:rFonts w:eastAsiaTheme="minorEastAsia"/>
                <w:color w:val="000000" w:themeColor="text1"/>
                <w:sz w:val="24"/>
                <w:szCs w:val="24"/>
              </w:rPr>
            </w:pPr>
            <w:r w:rsidRPr="006132DF">
              <w:rPr>
                <w:color w:val="000000" w:themeColor="text1"/>
                <w:sz w:val="24"/>
                <w:szCs w:val="24"/>
              </w:rPr>
              <w:t>Federal Reserve monetary policy indicators, including changes in the federal funds rate and quantitative easing measures.</w:t>
            </w:r>
          </w:p>
        </w:tc>
      </w:tr>
      <w:tr w:rsidR="006132DF" w14:paraId="0EB32A7A" w14:textId="77777777" w:rsidTr="001561C7">
        <w:trPr>
          <w:trHeight w:val="567"/>
        </w:trPr>
        <w:tc>
          <w:tcPr>
            <w:tcW w:w="2576" w:type="dxa"/>
            <w:vAlign w:val="center"/>
          </w:tcPr>
          <w:p w14:paraId="10EF2B4F" w14:textId="607BD5CB" w:rsidR="006132DF" w:rsidRDefault="006132DF" w:rsidP="001561C7">
            <w:pPr>
              <w:spacing w:before="240" w:after="240"/>
              <w:rPr>
                <w:rFonts w:eastAsiaTheme="minorEastAsia"/>
                <w:color w:val="000000" w:themeColor="text1"/>
                <w:sz w:val="24"/>
                <w:szCs w:val="24"/>
              </w:rPr>
            </w:pPr>
            <w:r w:rsidRPr="3E68750D">
              <w:rPr>
                <w:b/>
                <w:bCs/>
                <w:color w:val="000000" w:themeColor="text1"/>
                <w:sz w:val="24"/>
                <w:szCs w:val="24"/>
              </w:rPr>
              <w:t>Control Variables</w:t>
            </w:r>
          </w:p>
        </w:tc>
        <w:tc>
          <w:tcPr>
            <w:tcW w:w="6066" w:type="dxa"/>
            <w:vAlign w:val="center"/>
          </w:tcPr>
          <w:p w14:paraId="425D41D4" w14:textId="020666AC" w:rsidR="006132DF" w:rsidRDefault="006132DF" w:rsidP="001561C7">
            <w:pPr>
              <w:spacing w:before="240" w:after="240"/>
              <w:rPr>
                <w:rFonts w:eastAsiaTheme="minorEastAsia"/>
                <w:color w:val="000000" w:themeColor="text1"/>
                <w:sz w:val="24"/>
                <w:szCs w:val="24"/>
              </w:rPr>
            </w:pPr>
            <w:r w:rsidRPr="3E68750D">
              <w:rPr>
                <w:color w:val="000000" w:themeColor="text1"/>
                <w:sz w:val="24"/>
                <w:szCs w:val="24"/>
              </w:rPr>
              <w:t>Global economic conditions (e.g., GDP growth rates, exchange rates), geopolitical factors, and supply-side shocks.</w:t>
            </w:r>
          </w:p>
        </w:tc>
      </w:tr>
    </w:tbl>
    <w:p w14:paraId="07D2785E" w14:textId="77777777" w:rsidR="00472214" w:rsidRDefault="00472214" w:rsidP="00472214">
      <w:pPr>
        <w:spacing w:before="240" w:after="240"/>
        <w:ind w:firstLine="420"/>
        <w:rPr>
          <w:color w:val="000000" w:themeColor="text1"/>
          <w:sz w:val="24"/>
          <w:szCs w:val="24"/>
        </w:rPr>
      </w:pPr>
      <w:r w:rsidRPr="3E68750D">
        <w:rPr>
          <w:color w:val="000000" w:themeColor="text1"/>
          <w:sz w:val="24"/>
          <w:szCs w:val="24"/>
        </w:rPr>
        <w:t>This fact can be supplemented by the evidence of the stationarity test results, where sales of commodities generally do not have a unit root, meaning they are potential candidates for stationary variables with a constant mean. Commodity prices, on the contrary, might have a unit root which prevents them from a constant mean.</w:t>
      </w:r>
    </w:p>
    <w:tbl>
      <w:tblPr>
        <w:tblW w:w="0" w:type="auto"/>
        <w:tblLayout w:type="fixed"/>
        <w:tblLook w:val="06A0" w:firstRow="1" w:lastRow="0" w:firstColumn="1" w:lastColumn="0" w:noHBand="1" w:noVBand="1"/>
      </w:tblPr>
      <w:tblGrid>
        <w:gridCol w:w="3420"/>
        <w:gridCol w:w="1432"/>
        <w:gridCol w:w="1432"/>
        <w:gridCol w:w="1560"/>
      </w:tblGrid>
      <w:tr w:rsidR="00A44F79" w:rsidRPr="00AC557E" w14:paraId="32F1257B" w14:textId="77777777" w:rsidTr="00511FAE">
        <w:trPr>
          <w:trHeight w:val="285"/>
        </w:trPr>
        <w:tc>
          <w:tcPr>
            <w:tcW w:w="3420" w:type="dxa"/>
            <w:tcBorders>
              <w:top w:val="single" w:sz="4" w:space="0" w:color="auto"/>
              <w:bottom w:val="single" w:sz="4" w:space="0" w:color="auto"/>
            </w:tcBorders>
            <w:tcMar>
              <w:left w:w="105" w:type="dxa"/>
              <w:right w:w="105" w:type="dxa"/>
            </w:tcMar>
          </w:tcPr>
          <w:p w14:paraId="7A6FECF3" w14:textId="77777777" w:rsidR="00A44F79" w:rsidRPr="00A44F79" w:rsidRDefault="00A44F79" w:rsidP="00511FAE">
            <w:pPr>
              <w:rPr>
                <w:rFonts w:eastAsia="Garamond"/>
                <w:sz w:val="20"/>
                <w:szCs w:val="20"/>
              </w:rPr>
            </w:pPr>
            <w:r w:rsidRPr="00A44F79">
              <w:rPr>
                <w:rFonts w:eastAsia="Garamond"/>
                <w:sz w:val="20"/>
                <w:szCs w:val="20"/>
              </w:rPr>
              <w:t>Variable</w:t>
            </w:r>
          </w:p>
        </w:tc>
        <w:tc>
          <w:tcPr>
            <w:tcW w:w="1432" w:type="dxa"/>
            <w:tcBorders>
              <w:top w:val="single" w:sz="4" w:space="0" w:color="auto"/>
              <w:bottom w:val="single" w:sz="4" w:space="0" w:color="auto"/>
            </w:tcBorders>
            <w:tcMar>
              <w:left w:w="105" w:type="dxa"/>
              <w:right w:w="105" w:type="dxa"/>
            </w:tcMar>
          </w:tcPr>
          <w:p w14:paraId="32E23205" w14:textId="77777777" w:rsidR="00A44F79" w:rsidRPr="00A44F79" w:rsidRDefault="00A44F79" w:rsidP="00511FAE">
            <w:pPr>
              <w:jc w:val="right"/>
              <w:rPr>
                <w:rFonts w:eastAsia="DengXian"/>
                <w:sz w:val="20"/>
                <w:szCs w:val="20"/>
              </w:rPr>
            </w:pPr>
            <w:r w:rsidRPr="00A44F79">
              <w:rPr>
                <w:rFonts w:eastAsia="Garamond"/>
                <w:sz w:val="20"/>
                <w:szCs w:val="20"/>
              </w:rPr>
              <w:t>Stationarity</w:t>
            </w:r>
          </w:p>
        </w:tc>
        <w:tc>
          <w:tcPr>
            <w:tcW w:w="2992" w:type="dxa"/>
            <w:gridSpan w:val="2"/>
            <w:tcBorders>
              <w:top w:val="single" w:sz="4" w:space="0" w:color="auto"/>
              <w:bottom w:val="single" w:sz="4" w:space="0" w:color="auto"/>
            </w:tcBorders>
            <w:tcMar>
              <w:left w:w="105" w:type="dxa"/>
              <w:right w:w="105" w:type="dxa"/>
            </w:tcMar>
          </w:tcPr>
          <w:p w14:paraId="2AA5BA84" w14:textId="77777777" w:rsidR="00A44F79" w:rsidRPr="00A44F79" w:rsidRDefault="00A44F79" w:rsidP="00511FAE">
            <w:pPr>
              <w:jc w:val="right"/>
              <w:rPr>
                <w:rFonts w:eastAsia="Garamond"/>
                <w:sz w:val="20"/>
                <w:szCs w:val="20"/>
              </w:rPr>
            </w:pPr>
            <w:r w:rsidRPr="00A44F79">
              <w:rPr>
                <w:rFonts w:eastAsia="Garamond"/>
                <w:sz w:val="20"/>
                <w:szCs w:val="20"/>
              </w:rPr>
              <w:t>Lags</w:t>
            </w:r>
          </w:p>
        </w:tc>
      </w:tr>
      <w:tr w:rsidR="00A44F79" w:rsidRPr="00AC557E" w14:paraId="37F594F3" w14:textId="77777777" w:rsidTr="00511FAE">
        <w:trPr>
          <w:trHeight w:val="285"/>
        </w:trPr>
        <w:tc>
          <w:tcPr>
            <w:tcW w:w="3420" w:type="dxa"/>
            <w:tcBorders>
              <w:top w:val="single" w:sz="4" w:space="0" w:color="auto"/>
            </w:tcBorders>
            <w:tcMar>
              <w:left w:w="105" w:type="dxa"/>
              <w:right w:w="105" w:type="dxa"/>
            </w:tcMar>
          </w:tcPr>
          <w:p w14:paraId="6837BD1E" w14:textId="77777777" w:rsidR="00A44F79" w:rsidRPr="00A44F79" w:rsidRDefault="00A44F79" w:rsidP="00511FAE">
            <w:pPr>
              <w:rPr>
                <w:rFonts w:eastAsia="Garamond"/>
                <w:sz w:val="20"/>
                <w:szCs w:val="20"/>
              </w:rPr>
            </w:pPr>
            <w:r w:rsidRPr="00A44F79">
              <w:rPr>
                <w:rFonts w:eastAsia="Garamond"/>
                <w:sz w:val="20"/>
                <w:szCs w:val="20"/>
              </w:rPr>
              <w:t>Treasury bond yield</w:t>
            </w:r>
          </w:p>
        </w:tc>
        <w:tc>
          <w:tcPr>
            <w:tcW w:w="1432" w:type="dxa"/>
            <w:tcBorders>
              <w:top w:val="single" w:sz="4" w:space="0" w:color="auto"/>
            </w:tcBorders>
            <w:tcMar>
              <w:left w:w="105" w:type="dxa"/>
              <w:right w:w="105" w:type="dxa"/>
            </w:tcMar>
          </w:tcPr>
          <w:p w14:paraId="3D5F1525"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Borders>
              <w:top w:val="single" w:sz="4" w:space="0" w:color="auto"/>
            </w:tcBorders>
            <w:tcMar>
              <w:left w:w="105" w:type="dxa"/>
              <w:right w:w="105" w:type="dxa"/>
            </w:tcMar>
          </w:tcPr>
          <w:p w14:paraId="03BAFFD7" w14:textId="77777777" w:rsidR="00A44F79" w:rsidRPr="00A44F79" w:rsidRDefault="00A44F79" w:rsidP="00511FAE">
            <w:pPr>
              <w:jc w:val="right"/>
              <w:rPr>
                <w:rFonts w:eastAsia="Garamond"/>
                <w:sz w:val="20"/>
                <w:szCs w:val="20"/>
              </w:rPr>
            </w:pPr>
            <w:proofErr w:type="gramStart"/>
            <w:r w:rsidRPr="00A44F79">
              <w:rPr>
                <w:rFonts w:eastAsia="Garamond"/>
                <w:sz w:val="20"/>
                <w:szCs w:val="20"/>
              </w:rPr>
              <w:t>AR(</w:t>
            </w:r>
            <w:proofErr w:type="gramEnd"/>
            <w:r w:rsidRPr="00A44F79">
              <w:rPr>
                <w:rFonts w:eastAsia="Garamond"/>
                <w:sz w:val="20"/>
                <w:szCs w:val="20"/>
              </w:rPr>
              <w:t>1)</w:t>
            </w:r>
          </w:p>
        </w:tc>
      </w:tr>
      <w:tr w:rsidR="00A44F79" w:rsidRPr="00AC557E" w14:paraId="64B32BC8" w14:textId="77777777" w:rsidTr="00511FAE">
        <w:trPr>
          <w:trHeight w:val="285"/>
        </w:trPr>
        <w:tc>
          <w:tcPr>
            <w:tcW w:w="3420" w:type="dxa"/>
            <w:tcMar>
              <w:left w:w="105" w:type="dxa"/>
              <w:right w:w="105" w:type="dxa"/>
            </w:tcMar>
          </w:tcPr>
          <w:p w14:paraId="636010CE" w14:textId="77777777" w:rsidR="00A44F79" w:rsidRPr="00A44F79" w:rsidRDefault="00A44F79" w:rsidP="00511FAE">
            <w:pPr>
              <w:rPr>
                <w:rFonts w:eastAsia="Garamond"/>
                <w:sz w:val="20"/>
                <w:szCs w:val="20"/>
              </w:rPr>
            </w:pPr>
            <w:r w:rsidRPr="00A44F79">
              <w:rPr>
                <w:rFonts w:eastAsia="Garamond"/>
                <w:sz w:val="20"/>
                <w:szCs w:val="20"/>
              </w:rPr>
              <w:t>Oil price</w:t>
            </w:r>
          </w:p>
        </w:tc>
        <w:tc>
          <w:tcPr>
            <w:tcW w:w="1432" w:type="dxa"/>
            <w:tcMar>
              <w:left w:w="105" w:type="dxa"/>
              <w:right w:w="105" w:type="dxa"/>
            </w:tcMar>
          </w:tcPr>
          <w:p w14:paraId="7771A991"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5E830DBE" w14:textId="77777777" w:rsidR="00A44F79" w:rsidRPr="00A44F79" w:rsidRDefault="00A44F79" w:rsidP="00511FAE">
            <w:pPr>
              <w:jc w:val="right"/>
              <w:rPr>
                <w:rFonts w:eastAsia="Garamond"/>
                <w:sz w:val="20"/>
                <w:szCs w:val="20"/>
              </w:rPr>
            </w:pPr>
            <w:r w:rsidRPr="00A44F79">
              <w:rPr>
                <w:rFonts w:eastAsia="Garamond"/>
                <w:sz w:val="20"/>
                <w:szCs w:val="20"/>
              </w:rPr>
              <w:t>-</w:t>
            </w:r>
          </w:p>
        </w:tc>
      </w:tr>
      <w:tr w:rsidR="00A44F79" w:rsidRPr="00AC557E" w14:paraId="0A0D4C52" w14:textId="77777777" w:rsidTr="00511FAE">
        <w:trPr>
          <w:trHeight w:val="285"/>
        </w:trPr>
        <w:tc>
          <w:tcPr>
            <w:tcW w:w="3420" w:type="dxa"/>
            <w:tcMar>
              <w:left w:w="105" w:type="dxa"/>
              <w:right w:w="105" w:type="dxa"/>
            </w:tcMar>
          </w:tcPr>
          <w:p w14:paraId="48A377DD" w14:textId="77777777" w:rsidR="00A44F79" w:rsidRPr="00A44F79" w:rsidRDefault="00A44F79" w:rsidP="00511FAE">
            <w:pPr>
              <w:rPr>
                <w:rFonts w:eastAsia="Garamond"/>
                <w:sz w:val="20"/>
                <w:szCs w:val="20"/>
              </w:rPr>
            </w:pPr>
            <w:r w:rsidRPr="00A44F79">
              <w:rPr>
                <w:rFonts w:eastAsia="Garamond"/>
                <w:sz w:val="20"/>
                <w:szCs w:val="20"/>
              </w:rPr>
              <w:t>Log oil price</w:t>
            </w:r>
          </w:p>
        </w:tc>
        <w:tc>
          <w:tcPr>
            <w:tcW w:w="1432" w:type="dxa"/>
            <w:tcMar>
              <w:left w:w="105" w:type="dxa"/>
              <w:right w:w="105" w:type="dxa"/>
            </w:tcMar>
          </w:tcPr>
          <w:p w14:paraId="423A3BD1"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4F15954B" w14:textId="77777777" w:rsidR="00A44F79" w:rsidRPr="00A44F79" w:rsidRDefault="00A44F79" w:rsidP="00511FAE">
            <w:pPr>
              <w:jc w:val="right"/>
              <w:rPr>
                <w:rFonts w:eastAsia="Garamond"/>
                <w:sz w:val="20"/>
                <w:szCs w:val="20"/>
              </w:rPr>
            </w:pPr>
            <w:r w:rsidRPr="00A44F79">
              <w:rPr>
                <w:rFonts w:eastAsia="Garamond"/>
                <w:sz w:val="20"/>
                <w:szCs w:val="20"/>
              </w:rPr>
              <w:t xml:space="preserve"> </w:t>
            </w:r>
          </w:p>
        </w:tc>
      </w:tr>
      <w:tr w:rsidR="00A44F79" w:rsidRPr="00AC557E" w14:paraId="4213184A" w14:textId="77777777" w:rsidTr="00511FAE">
        <w:trPr>
          <w:trHeight w:val="285"/>
        </w:trPr>
        <w:tc>
          <w:tcPr>
            <w:tcW w:w="3420" w:type="dxa"/>
            <w:tcMar>
              <w:left w:w="105" w:type="dxa"/>
              <w:right w:w="105" w:type="dxa"/>
            </w:tcMar>
          </w:tcPr>
          <w:p w14:paraId="3B3592BF" w14:textId="77777777" w:rsidR="00A44F79" w:rsidRPr="00A44F79" w:rsidRDefault="00A44F79" w:rsidP="00511FAE">
            <w:pPr>
              <w:rPr>
                <w:rFonts w:eastAsia="Garamond"/>
                <w:sz w:val="20"/>
                <w:szCs w:val="20"/>
              </w:rPr>
            </w:pPr>
            <w:r w:rsidRPr="00A44F79">
              <w:rPr>
                <w:rFonts w:eastAsia="Garamond"/>
                <w:sz w:val="20"/>
                <w:szCs w:val="20"/>
              </w:rPr>
              <w:t>S&amp;P index</w:t>
            </w:r>
          </w:p>
        </w:tc>
        <w:tc>
          <w:tcPr>
            <w:tcW w:w="1432" w:type="dxa"/>
            <w:tcMar>
              <w:left w:w="105" w:type="dxa"/>
              <w:right w:w="105" w:type="dxa"/>
            </w:tcMar>
          </w:tcPr>
          <w:p w14:paraId="114B82A1"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18DF1AC8" w14:textId="77777777" w:rsidR="00A44F79" w:rsidRPr="00A44F79" w:rsidRDefault="00A44F79" w:rsidP="00511FAE">
            <w:pPr>
              <w:jc w:val="right"/>
              <w:rPr>
                <w:rFonts w:eastAsia="Garamond"/>
                <w:sz w:val="20"/>
                <w:szCs w:val="20"/>
              </w:rPr>
            </w:pPr>
            <w:r w:rsidRPr="00A44F79">
              <w:rPr>
                <w:rFonts w:eastAsia="Garamond"/>
                <w:sz w:val="20"/>
                <w:szCs w:val="20"/>
              </w:rPr>
              <w:t>-</w:t>
            </w:r>
          </w:p>
        </w:tc>
      </w:tr>
      <w:tr w:rsidR="00A44F79" w:rsidRPr="00AC557E" w14:paraId="4350D78B" w14:textId="77777777" w:rsidTr="00511FAE">
        <w:trPr>
          <w:trHeight w:val="285"/>
        </w:trPr>
        <w:tc>
          <w:tcPr>
            <w:tcW w:w="3420" w:type="dxa"/>
            <w:tcMar>
              <w:left w:w="105" w:type="dxa"/>
              <w:right w:w="105" w:type="dxa"/>
            </w:tcMar>
          </w:tcPr>
          <w:p w14:paraId="71979A1C" w14:textId="77777777" w:rsidR="00A44F79" w:rsidRPr="00A44F79" w:rsidRDefault="00A44F79" w:rsidP="00511FAE">
            <w:pPr>
              <w:rPr>
                <w:rFonts w:eastAsia="Garamond"/>
                <w:sz w:val="20"/>
                <w:szCs w:val="20"/>
              </w:rPr>
            </w:pPr>
            <w:r w:rsidRPr="00A44F79">
              <w:rPr>
                <w:rFonts w:eastAsia="Garamond"/>
                <w:sz w:val="20"/>
                <w:szCs w:val="20"/>
              </w:rPr>
              <w:t>Oil sale</w:t>
            </w:r>
          </w:p>
        </w:tc>
        <w:tc>
          <w:tcPr>
            <w:tcW w:w="1432" w:type="dxa"/>
            <w:tcMar>
              <w:left w:w="105" w:type="dxa"/>
              <w:right w:w="105" w:type="dxa"/>
            </w:tcMar>
          </w:tcPr>
          <w:p w14:paraId="60000C19"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7CDCF285" w14:textId="77777777" w:rsidR="00A44F79" w:rsidRPr="00A44F79" w:rsidRDefault="00A44F79" w:rsidP="00511FAE">
            <w:pPr>
              <w:jc w:val="right"/>
              <w:rPr>
                <w:rFonts w:eastAsia="Garamond"/>
                <w:sz w:val="20"/>
                <w:szCs w:val="20"/>
              </w:rPr>
            </w:pPr>
            <w:r w:rsidRPr="00A44F79">
              <w:rPr>
                <w:rFonts w:eastAsia="Garamond"/>
                <w:sz w:val="20"/>
                <w:szCs w:val="20"/>
              </w:rPr>
              <w:t>-</w:t>
            </w:r>
          </w:p>
        </w:tc>
      </w:tr>
      <w:tr w:rsidR="00A44F79" w:rsidRPr="00AC557E" w14:paraId="180046F7" w14:textId="77777777" w:rsidTr="00511FAE">
        <w:trPr>
          <w:trHeight w:val="285"/>
        </w:trPr>
        <w:tc>
          <w:tcPr>
            <w:tcW w:w="3420" w:type="dxa"/>
            <w:tcMar>
              <w:left w:w="105" w:type="dxa"/>
              <w:right w:w="105" w:type="dxa"/>
            </w:tcMar>
          </w:tcPr>
          <w:p w14:paraId="0F69D9D3" w14:textId="77777777" w:rsidR="00A44F79" w:rsidRPr="00A44F79" w:rsidRDefault="00A44F79" w:rsidP="00511FAE">
            <w:pPr>
              <w:rPr>
                <w:rFonts w:eastAsia="Garamond"/>
                <w:sz w:val="20"/>
                <w:szCs w:val="20"/>
              </w:rPr>
            </w:pPr>
            <w:r w:rsidRPr="00A44F79">
              <w:rPr>
                <w:rFonts w:eastAsia="Garamond"/>
                <w:sz w:val="20"/>
                <w:szCs w:val="20"/>
              </w:rPr>
              <w:t>Log oil sale</w:t>
            </w:r>
          </w:p>
        </w:tc>
        <w:tc>
          <w:tcPr>
            <w:tcW w:w="1432" w:type="dxa"/>
            <w:tcMar>
              <w:left w:w="105" w:type="dxa"/>
              <w:right w:w="105" w:type="dxa"/>
            </w:tcMar>
          </w:tcPr>
          <w:p w14:paraId="6AD61D76"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33351F58" w14:textId="77777777" w:rsidR="00A44F79" w:rsidRPr="00A44F79" w:rsidRDefault="00A44F79" w:rsidP="00511FAE">
            <w:pPr>
              <w:jc w:val="right"/>
              <w:rPr>
                <w:rFonts w:eastAsia="Garamond"/>
                <w:sz w:val="20"/>
                <w:szCs w:val="20"/>
              </w:rPr>
            </w:pPr>
            <w:r w:rsidRPr="00A44F79">
              <w:rPr>
                <w:rFonts w:eastAsia="Garamond"/>
                <w:sz w:val="20"/>
                <w:szCs w:val="20"/>
              </w:rPr>
              <w:t xml:space="preserve"> </w:t>
            </w:r>
          </w:p>
        </w:tc>
      </w:tr>
      <w:tr w:rsidR="00A44F79" w:rsidRPr="00AC557E" w14:paraId="3BD8ADEA" w14:textId="77777777" w:rsidTr="00511FAE">
        <w:trPr>
          <w:trHeight w:val="285"/>
        </w:trPr>
        <w:tc>
          <w:tcPr>
            <w:tcW w:w="3420" w:type="dxa"/>
            <w:tcMar>
              <w:left w:w="105" w:type="dxa"/>
              <w:right w:w="105" w:type="dxa"/>
            </w:tcMar>
          </w:tcPr>
          <w:p w14:paraId="5DAF3CF5" w14:textId="77777777" w:rsidR="00A44F79" w:rsidRPr="00A44F79" w:rsidRDefault="00A44F79" w:rsidP="00511FAE">
            <w:pPr>
              <w:rPr>
                <w:rFonts w:eastAsia="Garamond"/>
                <w:sz w:val="20"/>
                <w:szCs w:val="20"/>
              </w:rPr>
            </w:pPr>
            <w:r w:rsidRPr="00A44F79">
              <w:rPr>
                <w:rFonts w:eastAsia="Garamond"/>
                <w:sz w:val="20"/>
                <w:szCs w:val="20"/>
              </w:rPr>
              <w:t>Western Texas oil sale</w:t>
            </w:r>
          </w:p>
        </w:tc>
        <w:tc>
          <w:tcPr>
            <w:tcW w:w="1432" w:type="dxa"/>
            <w:tcMar>
              <w:left w:w="105" w:type="dxa"/>
              <w:right w:w="105" w:type="dxa"/>
            </w:tcMar>
          </w:tcPr>
          <w:p w14:paraId="26C26AEE"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0B8D03D5" w14:textId="77777777" w:rsidR="00A44F79" w:rsidRPr="00A44F79" w:rsidRDefault="00A44F79" w:rsidP="00511FAE">
            <w:pPr>
              <w:jc w:val="right"/>
              <w:rPr>
                <w:rFonts w:eastAsia="Garamond"/>
                <w:sz w:val="20"/>
                <w:szCs w:val="20"/>
              </w:rPr>
            </w:pPr>
            <w:r w:rsidRPr="00A44F79">
              <w:rPr>
                <w:rFonts w:eastAsia="Garamond"/>
                <w:sz w:val="20"/>
                <w:szCs w:val="20"/>
              </w:rPr>
              <w:t>-</w:t>
            </w:r>
          </w:p>
        </w:tc>
      </w:tr>
      <w:tr w:rsidR="00A44F79" w:rsidRPr="00AC557E" w14:paraId="1FB2CD62" w14:textId="77777777" w:rsidTr="00511FAE">
        <w:trPr>
          <w:trHeight w:val="285"/>
        </w:trPr>
        <w:tc>
          <w:tcPr>
            <w:tcW w:w="3420" w:type="dxa"/>
            <w:tcMar>
              <w:left w:w="105" w:type="dxa"/>
              <w:right w:w="105" w:type="dxa"/>
            </w:tcMar>
          </w:tcPr>
          <w:p w14:paraId="0294B1F1" w14:textId="77777777" w:rsidR="00A44F79" w:rsidRPr="00A44F79" w:rsidRDefault="00A44F79" w:rsidP="00511FAE">
            <w:pPr>
              <w:rPr>
                <w:rFonts w:eastAsia="Garamond"/>
                <w:sz w:val="20"/>
                <w:szCs w:val="20"/>
              </w:rPr>
            </w:pPr>
            <w:r w:rsidRPr="00A44F79">
              <w:rPr>
                <w:rFonts w:eastAsia="Garamond"/>
                <w:sz w:val="20"/>
                <w:szCs w:val="20"/>
              </w:rPr>
              <w:t>Log WTOS</w:t>
            </w:r>
          </w:p>
        </w:tc>
        <w:tc>
          <w:tcPr>
            <w:tcW w:w="1432" w:type="dxa"/>
            <w:tcMar>
              <w:left w:w="105" w:type="dxa"/>
              <w:right w:w="105" w:type="dxa"/>
            </w:tcMar>
          </w:tcPr>
          <w:p w14:paraId="1D7B2C6A"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1963AB64" w14:textId="77777777" w:rsidR="00A44F79" w:rsidRPr="00A44F79" w:rsidRDefault="00A44F79" w:rsidP="00511FAE">
            <w:pPr>
              <w:jc w:val="right"/>
              <w:rPr>
                <w:rFonts w:eastAsia="Garamond"/>
                <w:sz w:val="20"/>
                <w:szCs w:val="20"/>
              </w:rPr>
            </w:pPr>
            <w:r w:rsidRPr="00A44F79">
              <w:rPr>
                <w:rFonts w:eastAsia="Garamond"/>
                <w:sz w:val="20"/>
                <w:szCs w:val="20"/>
              </w:rPr>
              <w:t xml:space="preserve"> </w:t>
            </w:r>
          </w:p>
        </w:tc>
      </w:tr>
      <w:tr w:rsidR="00A44F79" w:rsidRPr="00AC557E" w14:paraId="05540ADF" w14:textId="77777777" w:rsidTr="00511FAE">
        <w:trPr>
          <w:trHeight w:val="285"/>
        </w:trPr>
        <w:tc>
          <w:tcPr>
            <w:tcW w:w="3420" w:type="dxa"/>
            <w:tcMar>
              <w:left w:w="105" w:type="dxa"/>
              <w:right w:w="105" w:type="dxa"/>
            </w:tcMar>
          </w:tcPr>
          <w:p w14:paraId="297DE8F7" w14:textId="77777777" w:rsidR="00A44F79" w:rsidRPr="00A44F79" w:rsidRDefault="00A44F79" w:rsidP="00511FAE">
            <w:pPr>
              <w:rPr>
                <w:rFonts w:eastAsia="Garamond"/>
                <w:sz w:val="20"/>
                <w:szCs w:val="20"/>
              </w:rPr>
            </w:pPr>
            <w:r w:rsidRPr="00A44F79">
              <w:rPr>
                <w:rFonts w:eastAsia="Garamond"/>
                <w:sz w:val="20"/>
                <w:szCs w:val="20"/>
              </w:rPr>
              <w:t>Gold sale</w:t>
            </w:r>
          </w:p>
        </w:tc>
        <w:tc>
          <w:tcPr>
            <w:tcW w:w="1432" w:type="dxa"/>
            <w:tcMar>
              <w:left w:w="105" w:type="dxa"/>
              <w:right w:w="105" w:type="dxa"/>
            </w:tcMar>
          </w:tcPr>
          <w:p w14:paraId="5E5F26B1"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035C41C6" w14:textId="77777777" w:rsidR="00A44F79" w:rsidRPr="00A44F79" w:rsidRDefault="00A44F79" w:rsidP="00511FAE">
            <w:pPr>
              <w:jc w:val="right"/>
              <w:rPr>
                <w:rFonts w:eastAsia="Garamond"/>
                <w:sz w:val="20"/>
                <w:szCs w:val="20"/>
              </w:rPr>
            </w:pPr>
            <w:proofErr w:type="gramStart"/>
            <w:r w:rsidRPr="00A44F79">
              <w:rPr>
                <w:rFonts w:eastAsia="Garamond"/>
                <w:sz w:val="20"/>
                <w:szCs w:val="20"/>
              </w:rPr>
              <w:t>AR(</w:t>
            </w:r>
            <w:proofErr w:type="gramEnd"/>
            <w:r w:rsidRPr="00A44F79">
              <w:rPr>
                <w:rFonts w:eastAsia="Garamond"/>
                <w:sz w:val="20"/>
                <w:szCs w:val="20"/>
              </w:rPr>
              <w:t>3)*</w:t>
            </w:r>
          </w:p>
        </w:tc>
      </w:tr>
      <w:tr w:rsidR="00A44F79" w:rsidRPr="00AC557E" w14:paraId="44B595D3" w14:textId="77777777" w:rsidTr="00511FAE">
        <w:trPr>
          <w:trHeight w:val="285"/>
        </w:trPr>
        <w:tc>
          <w:tcPr>
            <w:tcW w:w="3420" w:type="dxa"/>
            <w:tcMar>
              <w:left w:w="105" w:type="dxa"/>
              <w:right w:w="105" w:type="dxa"/>
            </w:tcMar>
          </w:tcPr>
          <w:p w14:paraId="0431BA7F" w14:textId="77777777" w:rsidR="00A44F79" w:rsidRPr="00A44F79" w:rsidRDefault="00A44F79" w:rsidP="00511FAE">
            <w:pPr>
              <w:rPr>
                <w:rFonts w:eastAsia="Garamond"/>
                <w:sz w:val="20"/>
                <w:szCs w:val="20"/>
              </w:rPr>
            </w:pPr>
            <w:r w:rsidRPr="00A44F79">
              <w:rPr>
                <w:rFonts w:eastAsia="Garamond"/>
                <w:sz w:val="20"/>
                <w:szCs w:val="20"/>
              </w:rPr>
              <w:t>Log gold sale</w:t>
            </w:r>
          </w:p>
        </w:tc>
        <w:tc>
          <w:tcPr>
            <w:tcW w:w="1432" w:type="dxa"/>
            <w:tcMar>
              <w:left w:w="105" w:type="dxa"/>
              <w:right w:w="105" w:type="dxa"/>
            </w:tcMar>
          </w:tcPr>
          <w:p w14:paraId="02CC576F"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7442E0C3" w14:textId="77777777" w:rsidR="00A44F79" w:rsidRPr="00A44F79" w:rsidRDefault="00A44F79" w:rsidP="00511FAE">
            <w:pPr>
              <w:jc w:val="right"/>
              <w:rPr>
                <w:rFonts w:eastAsia="Garamond"/>
                <w:sz w:val="20"/>
                <w:szCs w:val="20"/>
              </w:rPr>
            </w:pPr>
            <w:proofErr w:type="gramStart"/>
            <w:r w:rsidRPr="00A44F79">
              <w:rPr>
                <w:rFonts w:eastAsia="Garamond"/>
                <w:sz w:val="20"/>
                <w:szCs w:val="20"/>
              </w:rPr>
              <w:t>AR(</w:t>
            </w:r>
            <w:proofErr w:type="gramEnd"/>
            <w:r w:rsidRPr="00A44F79">
              <w:rPr>
                <w:rFonts w:eastAsia="Garamond"/>
                <w:sz w:val="20"/>
                <w:szCs w:val="20"/>
              </w:rPr>
              <w:t>3)*</w:t>
            </w:r>
          </w:p>
        </w:tc>
      </w:tr>
      <w:tr w:rsidR="00A44F79" w:rsidRPr="00AC557E" w14:paraId="52D5FF43" w14:textId="77777777" w:rsidTr="00511FAE">
        <w:trPr>
          <w:trHeight w:val="285"/>
        </w:trPr>
        <w:tc>
          <w:tcPr>
            <w:tcW w:w="3420" w:type="dxa"/>
            <w:tcMar>
              <w:left w:w="105" w:type="dxa"/>
              <w:right w:w="105" w:type="dxa"/>
            </w:tcMar>
          </w:tcPr>
          <w:p w14:paraId="05418950" w14:textId="77777777" w:rsidR="00A44F79" w:rsidRPr="00A44F79" w:rsidRDefault="00A44F79" w:rsidP="00511FAE">
            <w:pPr>
              <w:rPr>
                <w:rFonts w:eastAsia="Garamond"/>
                <w:sz w:val="20"/>
                <w:szCs w:val="20"/>
              </w:rPr>
            </w:pPr>
            <w:r w:rsidRPr="00A44F79">
              <w:rPr>
                <w:rFonts w:eastAsia="Garamond"/>
                <w:sz w:val="20"/>
                <w:szCs w:val="20"/>
              </w:rPr>
              <w:t>Copper sale</w:t>
            </w:r>
          </w:p>
        </w:tc>
        <w:tc>
          <w:tcPr>
            <w:tcW w:w="1432" w:type="dxa"/>
            <w:tcMar>
              <w:left w:w="105" w:type="dxa"/>
              <w:right w:w="105" w:type="dxa"/>
            </w:tcMar>
          </w:tcPr>
          <w:p w14:paraId="3E3D6461"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Mar>
              <w:left w:w="105" w:type="dxa"/>
              <w:right w:w="105" w:type="dxa"/>
            </w:tcMar>
          </w:tcPr>
          <w:p w14:paraId="5440BE6B" w14:textId="77777777" w:rsidR="00A44F79" w:rsidRPr="00A44F79" w:rsidRDefault="00A44F79" w:rsidP="00511FAE">
            <w:pPr>
              <w:jc w:val="right"/>
              <w:rPr>
                <w:rFonts w:eastAsia="Garamond"/>
                <w:sz w:val="20"/>
                <w:szCs w:val="20"/>
              </w:rPr>
            </w:pPr>
            <w:proofErr w:type="gramStart"/>
            <w:r w:rsidRPr="00A44F79">
              <w:rPr>
                <w:rFonts w:eastAsia="Garamond"/>
                <w:sz w:val="20"/>
                <w:szCs w:val="20"/>
              </w:rPr>
              <w:t>AR(</w:t>
            </w:r>
            <w:proofErr w:type="gramEnd"/>
            <w:r w:rsidRPr="00A44F79">
              <w:rPr>
                <w:rFonts w:eastAsia="Garamond"/>
                <w:sz w:val="20"/>
                <w:szCs w:val="20"/>
              </w:rPr>
              <w:t>3)*</w:t>
            </w:r>
          </w:p>
        </w:tc>
      </w:tr>
      <w:tr w:rsidR="00A44F79" w:rsidRPr="00AC557E" w14:paraId="1E7B7F18" w14:textId="77777777" w:rsidTr="00511FAE">
        <w:trPr>
          <w:trHeight w:val="285"/>
        </w:trPr>
        <w:tc>
          <w:tcPr>
            <w:tcW w:w="3420" w:type="dxa"/>
            <w:tcBorders>
              <w:bottom w:val="single" w:sz="4" w:space="0" w:color="auto"/>
            </w:tcBorders>
            <w:tcMar>
              <w:left w:w="105" w:type="dxa"/>
              <w:right w:w="105" w:type="dxa"/>
            </w:tcMar>
          </w:tcPr>
          <w:p w14:paraId="76AE98DC" w14:textId="77777777" w:rsidR="00A44F79" w:rsidRPr="00A44F79" w:rsidRDefault="00A44F79" w:rsidP="00511FAE">
            <w:pPr>
              <w:rPr>
                <w:rFonts w:eastAsia="Garamond"/>
                <w:sz w:val="20"/>
                <w:szCs w:val="20"/>
              </w:rPr>
            </w:pPr>
            <w:r w:rsidRPr="00A44F79">
              <w:rPr>
                <w:rFonts w:eastAsia="Garamond"/>
                <w:sz w:val="20"/>
                <w:szCs w:val="20"/>
              </w:rPr>
              <w:t>Log copper sale</w:t>
            </w:r>
          </w:p>
        </w:tc>
        <w:tc>
          <w:tcPr>
            <w:tcW w:w="1432" w:type="dxa"/>
            <w:tcBorders>
              <w:bottom w:val="single" w:sz="4" w:space="0" w:color="auto"/>
            </w:tcBorders>
            <w:tcMar>
              <w:left w:w="105" w:type="dxa"/>
              <w:right w:w="105" w:type="dxa"/>
            </w:tcMar>
          </w:tcPr>
          <w:p w14:paraId="232B22DD" w14:textId="77777777" w:rsidR="00A44F79" w:rsidRPr="00A44F79" w:rsidRDefault="00A44F79" w:rsidP="00511FAE">
            <w:pPr>
              <w:jc w:val="right"/>
              <w:rPr>
                <w:rFonts w:eastAsia="DengXian"/>
                <w:sz w:val="20"/>
                <w:szCs w:val="20"/>
              </w:rPr>
            </w:pPr>
            <w:r w:rsidRPr="00A44F79">
              <w:rPr>
                <w:rFonts w:eastAsia="DengXian"/>
                <w:sz w:val="20"/>
                <w:szCs w:val="20"/>
              </w:rPr>
              <w:t>√</w:t>
            </w:r>
          </w:p>
        </w:tc>
        <w:tc>
          <w:tcPr>
            <w:tcW w:w="2992" w:type="dxa"/>
            <w:gridSpan w:val="2"/>
            <w:tcBorders>
              <w:bottom w:val="single" w:sz="4" w:space="0" w:color="auto"/>
            </w:tcBorders>
            <w:tcMar>
              <w:left w:w="105" w:type="dxa"/>
              <w:right w:w="105" w:type="dxa"/>
            </w:tcMar>
          </w:tcPr>
          <w:p w14:paraId="48E54456" w14:textId="77777777" w:rsidR="00A44F79" w:rsidRPr="00A44F79" w:rsidRDefault="00A44F79" w:rsidP="00511FAE">
            <w:pPr>
              <w:jc w:val="right"/>
              <w:rPr>
                <w:rFonts w:eastAsia="Garamond"/>
                <w:sz w:val="20"/>
                <w:szCs w:val="20"/>
              </w:rPr>
            </w:pPr>
            <w:proofErr w:type="gramStart"/>
            <w:r w:rsidRPr="00A44F79">
              <w:rPr>
                <w:rFonts w:eastAsia="Garamond"/>
                <w:sz w:val="20"/>
                <w:szCs w:val="20"/>
              </w:rPr>
              <w:t>AR(</w:t>
            </w:r>
            <w:proofErr w:type="gramEnd"/>
            <w:r w:rsidRPr="00A44F79">
              <w:rPr>
                <w:rFonts w:eastAsia="Garamond"/>
                <w:sz w:val="20"/>
                <w:szCs w:val="20"/>
              </w:rPr>
              <w:t>3)*</w:t>
            </w:r>
          </w:p>
        </w:tc>
      </w:tr>
      <w:tr w:rsidR="00A44F79" w:rsidRPr="00AC557E" w14:paraId="541A6952" w14:textId="77777777" w:rsidTr="00511FAE">
        <w:trPr>
          <w:trHeight w:val="285"/>
        </w:trPr>
        <w:tc>
          <w:tcPr>
            <w:tcW w:w="3420" w:type="dxa"/>
            <w:tcBorders>
              <w:top w:val="single" w:sz="4" w:space="0" w:color="auto"/>
            </w:tcBorders>
            <w:tcMar>
              <w:left w:w="105" w:type="dxa"/>
              <w:right w:w="105" w:type="dxa"/>
            </w:tcMar>
            <w:vAlign w:val="center"/>
          </w:tcPr>
          <w:p w14:paraId="02C78C1F" w14:textId="77777777" w:rsidR="00A44F79" w:rsidRPr="00A44F79" w:rsidRDefault="00A44F79" w:rsidP="00511FAE"/>
        </w:tc>
        <w:tc>
          <w:tcPr>
            <w:tcW w:w="1432" w:type="dxa"/>
            <w:tcBorders>
              <w:top w:val="single" w:sz="4" w:space="0" w:color="auto"/>
            </w:tcBorders>
            <w:tcMar>
              <w:left w:w="105" w:type="dxa"/>
              <w:right w:w="105" w:type="dxa"/>
            </w:tcMar>
            <w:vAlign w:val="center"/>
          </w:tcPr>
          <w:p w14:paraId="3C5730EB" w14:textId="77777777" w:rsidR="00A44F79" w:rsidRPr="00A44F79" w:rsidRDefault="00A44F79" w:rsidP="00511FAE"/>
        </w:tc>
        <w:tc>
          <w:tcPr>
            <w:tcW w:w="1432" w:type="dxa"/>
            <w:tcBorders>
              <w:top w:val="single" w:sz="4" w:space="0" w:color="auto"/>
            </w:tcBorders>
            <w:tcMar>
              <w:left w:w="105" w:type="dxa"/>
              <w:right w:w="105" w:type="dxa"/>
            </w:tcMar>
            <w:vAlign w:val="center"/>
          </w:tcPr>
          <w:p w14:paraId="77FC6EED" w14:textId="77777777" w:rsidR="00A44F79" w:rsidRPr="00A44F79" w:rsidRDefault="00A44F79" w:rsidP="00511FAE"/>
        </w:tc>
        <w:tc>
          <w:tcPr>
            <w:tcW w:w="1560" w:type="dxa"/>
            <w:tcBorders>
              <w:top w:val="single" w:sz="4" w:space="0" w:color="auto"/>
            </w:tcBorders>
            <w:tcMar>
              <w:left w:w="105" w:type="dxa"/>
              <w:right w:w="105" w:type="dxa"/>
            </w:tcMar>
            <w:vAlign w:val="center"/>
          </w:tcPr>
          <w:p w14:paraId="2A387CD9" w14:textId="77777777" w:rsidR="00A44F79" w:rsidRPr="00A44F79" w:rsidRDefault="00A44F79" w:rsidP="00511FAE"/>
        </w:tc>
      </w:tr>
      <w:tr w:rsidR="00A44F79" w:rsidRPr="001E172E" w14:paraId="35DE51ED" w14:textId="77777777" w:rsidTr="00511FAE">
        <w:trPr>
          <w:trHeight w:val="285"/>
        </w:trPr>
        <w:tc>
          <w:tcPr>
            <w:tcW w:w="3420" w:type="dxa"/>
            <w:tcBorders>
              <w:bottom w:val="single" w:sz="4" w:space="0" w:color="auto"/>
            </w:tcBorders>
            <w:tcMar>
              <w:left w:w="105" w:type="dxa"/>
              <w:right w:w="105" w:type="dxa"/>
            </w:tcMar>
            <w:vAlign w:val="center"/>
          </w:tcPr>
          <w:p w14:paraId="14475C7D" w14:textId="77777777" w:rsidR="00A44F79" w:rsidRPr="00A44F79" w:rsidRDefault="00A44F79" w:rsidP="00511FAE">
            <w:pPr>
              <w:spacing w:before="240" w:after="240"/>
              <w:rPr>
                <w:color w:val="000000" w:themeColor="text1"/>
                <w:lang w:val="en-GB"/>
              </w:rPr>
            </w:pPr>
            <w:r w:rsidRPr="00A44F79">
              <w:rPr>
                <w:color w:val="000000" w:themeColor="text1"/>
              </w:rPr>
              <w:lastRenderedPageBreak/>
              <w:t>*</w:t>
            </w:r>
            <w:proofErr w:type="gramStart"/>
            <w:r w:rsidRPr="00A44F79">
              <w:rPr>
                <w:color w:val="000000" w:themeColor="text1"/>
              </w:rPr>
              <w:t>controlled</w:t>
            </w:r>
            <w:proofErr w:type="gramEnd"/>
            <w:r w:rsidRPr="00A44F79">
              <w:rPr>
                <w:color w:val="000000" w:themeColor="text1"/>
              </w:rPr>
              <w:t xml:space="preserve"> for monthly seasonality</w:t>
            </w:r>
          </w:p>
        </w:tc>
        <w:tc>
          <w:tcPr>
            <w:tcW w:w="1432" w:type="dxa"/>
            <w:tcBorders>
              <w:bottom w:val="single" w:sz="4" w:space="0" w:color="auto"/>
            </w:tcBorders>
            <w:tcMar>
              <w:left w:w="105" w:type="dxa"/>
              <w:right w:w="105" w:type="dxa"/>
            </w:tcMar>
            <w:vAlign w:val="center"/>
          </w:tcPr>
          <w:p w14:paraId="10B3D7E4" w14:textId="77777777" w:rsidR="00A44F79" w:rsidRPr="00A44F79" w:rsidRDefault="00A44F79" w:rsidP="00511FAE">
            <w:pPr>
              <w:rPr>
                <w:lang w:val="en-GB"/>
              </w:rPr>
            </w:pPr>
          </w:p>
        </w:tc>
        <w:tc>
          <w:tcPr>
            <w:tcW w:w="1432" w:type="dxa"/>
            <w:tcBorders>
              <w:bottom w:val="single" w:sz="4" w:space="0" w:color="auto"/>
            </w:tcBorders>
            <w:tcMar>
              <w:left w:w="105" w:type="dxa"/>
              <w:right w:w="105" w:type="dxa"/>
            </w:tcMar>
            <w:vAlign w:val="center"/>
          </w:tcPr>
          <w:p w14:paraId="5E6E0D4F" w14:textId="77777777" w:rsidR="00A44F79" w:rsidRPr="00A44F79" w:rsidRDefault="00A44F79" w:rsidP="00511FAE">
            <w:pPr>
              <w:rPr>
                <w:lang w:val="en-GB"/>
              </w:rPr>
            </w:pPr>
          </w:p>
        </w:tc>
        <w:tc>
          <w:tcPr>
            <w:tcW w:w="1560" w:type="dxa"/>
            <w:tcBorders>
              <w:bottom w:val="single" w:sz="4" w:space="0" w:color="auto"/>
            </w:tcBorders>
            <w:tcMar>
              <w:left w:w="105" w:type="dxa"/>
              <w:right w:w="105" w:type="dxa"/>
            </w:tcMar>
            <w:vAlign w:val="center"/>
          </w:tcPr>
          <w:p w14:paraId="3F01747A" w14:textId="77777777" w:rsidR="00A44F79" w:rsidRPr="00A44F79" w:rsidRDefault="00A44F79" w:rsidP="00511FAE">
            <w:pPr>
              <w:rPr>
                <w:lang w:val="en-GB"/>
              </w:rPr>
            </w:pPr>
          </w:p>
        </w:tc>
      </w:tr>
    </w:tbl>
    <w:p w14:paraId="72220687" w14:textId="254B5D83" w:rsidR="00472214" w:rsidRPr="00574ECB" w:rsidRDefault="00472214" w:rsidP="00472214">
      <w:pPr>
        <w:pStyle w:val="Caption"/>
        <w:jc w:val="center"/>
        <w:rPr>
          <w:rFonts w:ascii="Times New Roman" w:hAnsi="Times New Roman" w:cs="Times New Roman"/>
          <w:b/>
          <w:bCs/>
        </w:rPr>
      </w:pPr>
      <w:r w:rsidRPr="00574ECB">
        <w:rPr>
          <w:rFonts w:ascii="Times New Roman" w:hAnsi="Times New Roman" w:cs="Times New Roman"/>
          <w:b/>
          <w:bCs/>
        </w:rPr>
        <w:t xml:space="preserve">Table </w:t>
      </w:r>
      <w:r w:rsidRPr="00574ECB">
        <w:rPr>
          <w:rFonts w:ascii="Times New Roman" w:hAnsi="Times New Roman" w:cs="Times New Roman"/>
          <w:b/>
          <w:bCs/>
        </w:rPr>
        <w:fldChar w:fldCharType="begin"/>
      </w:r>
      <w:r w:rsidRPr="00574ECB">
        <w:rPr>
          <w:rFonts w:ascii="Times New Roman" w:hAnsi="Times New Roman" w:cs="Times New Roman"/>
          <w:b/>
          <w:bCs/>
        </w:rPr>
        <w:instrText xml:space="preserve"> SEQ Table \* ARABIC </w:instrText>
      </w:r>
      <w:r w:rsidRPr="00574ECB">
        <w:rPr>
          <w:rFonts w:ascii="Times New Roman" w:hAnsi="Times New Roman" w:cs="Times New Roman"/>
          <w:b/>
          <w:bCs/>
        </w:rPr>
        <w:fldChar w:fldCharType="separate"/>
      </w:r>
      <w:r w:rsidR="00221690">
        <w:rPr>
          <w:rFonts w:ascii="Times New Roman" w:hAnsi="Times New Roman" w:cs="Times New Roman"/>
          <w:b/>
          <w:bCs/>
          <w:noProof/>
        </w:rPr>
        <w:t>1</w:t>
      </w:r>
      <w:r w:rsidRPr="00574ECB">
        <w:rPr>
          <w:rFonts w:ascii="Times New Roman" w:hAnsi="Times New Roman" w:cs="Times New Roman"/>
          <w:b/>
          <w:bCs/>
        </w:rPr>
        <w:fldChar w:fldCharType="end"/>
      </w:r>
      <w:r w:rsidRPr="00574ECB">
        <w:rPr>
          <w:rFonts w:ascii="Times New Roman" w:hAnsi="Times New Roman" w:cs="Times New Roman"/>
          <w:b/>
          <w:bCs/>
        </w:rPr>
        <w:t xml:space="preserve"> Augmented Dickey-Fuller (ADF) Test</w:t>
      </w:r>
    </w:p>
    <w:p w14:paraId="32B91C1D" w14:textId="0C9D8A79" w:rsidR="00472214" w:rsidRPr="00472214" w:rsidRDefault="00472214" w:rsidP="00DE19B8">
      <w:pPr>
        <w:spacing w:before="240" w:after="240"/>
        <w:ind w:firstLine="420"/>
        <w:rPr>
          <w:rFonts w:eastAsiaTheme="minorEastAsia"/>
          <w:color w:val="000000" w:themeColor="text1"/>
          <w:sz w:val="24"/>
          <w:szCs w:val="24"/>
        </w:rPr>
      </w:pPr>
      <w:r w:rsidRPr="3E68750D">
        <w:rPr>
          <w:color w:val="000000" w:themeColor="text1"/>
          <w:sz w:val="24"/>
          <w:szCs w:val="24"/>
        </w:rPr>
        <w:t>The test results also justify the choice of three lags in the estimation equation. (</w:t>
      </w:r>
      <w:proofErr w:type="gramStart"/>
      <w:r w:rsidRPr="3E68750D">
        <w:rPr>
          <w:color w:val="000000" w:themeColor="text1"/>
          <w:sz w:val="24"/>
          <w:szCs w:val="24"/>
        </w:rPr>
        <w:t>AR(</w:t>
      </w:r>
      <w:proofErr w:type="gramEnd"/>
      <w:r w:rsidRPr="3E68750D">
        <w:rPr>
          <w:color w:val="000000" w:themeColor="text1"/>
          <w:sz w:val="24"/>
          <w:szCs w:val="24"/>
        </w:rPr>
        <w:t>3))</w:t>
      </w:r>
    </w:p>
    <w:p w14:paraId="436F08B3" w14:textId="6C55CD7D" w:rsidR="00625130" w:rsidRDefault="00BB2611" w:rsidP="001546EF">
      <w:pPr>
        <w:pStyle w:val="Heading1"/>
        <w:snapToGrid w:val="0"/>
        <w:spacing w:line="360" w:lineRule="auto"/>
        <w:jc w:val="left"/>
        <w:rPr>
          <w:rFonts w:eastAsia="DengXian"/>
          <w:sz w:val="28"/>
          <w:szCs w:val="28"/>
        </w:rPr>
      </w:pPr>
      <w:r>
        <w:rPr>
          <w:rFonts w:eastAsia="DengXian" w:hint="eastAsia"/>
          <w:sz w:val="28"/>
          <w:szCs w:val="28"/>
        </w:rPr>
        <w:t>V. Methodology</w:t>
      </w:r>
    </w:p>
    <w:p w14:paraId="5E364BF1" w14:textId="64F13101" w:rsidR="00B2032B" w:rsidRPr="00B2032B" w:rsidRDefault="00B2032B" w:rsidP="00D92A30">
      <w:pPr>
        <w:spacing w:after="240"/>
        <w:ind w:firstLine="420"/>
        <w:rPr>
          <w:rFonts w:eastAsia="DengXian"/>
          <w:sz w:val="24"/>
          <w:szCs w:val="24"/>
        </w:rPr>
      </w:pPr>
      <w:r w:rsidRPr="00B2032B">
        <w:rPr>
          <w:rFonts w:eastAsia="DengXian"/>
          <w:sz w:val="24"/>
          <w:szCs w:val="24"/>
        </w:rPr>
        <w:t>This study employs a two-stage instrumental variable (IV) approach to investigate the causal relationship between commodity prices and the quantity purchased of commodities, using Federal Reserve monetary policy as the instrument. The rationale for this approach is that monetary policy affects price levels (</w:t>
      </w:r>
      <m:oMath>
        <m:r>
          <w:rPr>
            <w:rFonts w:ascii="Cambria Math" w:eastAsia="DengXian" w:hAnsi="Cambria Math"/>
            <w:sz w:val="24"/>
            <w:szCs w:val="24"/>
          </w:rPr>
          <m:t>P</m:t>
        </m:r>
      </m:oMath>
      <w:r w:rsidRPr="00B2032B">
        <w:rPr>
          <w:rFonts w:eastAsia="DengXian"/>
          <w:sz w:val="24"/>
          <w:szCs w:val="24"/>
        </w:rPr>
        <w:t>), which influence commodity prices and indirectly affect demand.</w:t>
      </w:r>
    </w:p>
    <w:p w14:paraId="640C4F1D" w14:textId="77777777" w:rsidR="00B2032B" w:rsidRPr="00B2032B" w:rsidRDefault="00B2032B" w:rsidP="00D92A30">
      <w:pPr>
        <w:spacing w:after="240"/>
        <w:ind w:firstLine="420"/>
        <w:rPr>
          <w:rFonts w:eastAsia="DengXian"/>
          <w:sz w:val="24"/>
          <w:szCs w:val="24"/>
        </w:rPr>
      </w:pPr>
      <w:r w:rsidRPr="00B2032B">
        <w:rPr>
          <w:rFonts w:eastAsia="DengXian"/>
          <w:sz w:val="24"/>
          <w:szCs w:val="24"/>
        </w:rPr>
        <w:t xml:space="preserve">In the </w:t>
      </w:r>
      <w:r w:rsidRPr="00B2032B">
        <w:rPr>
          <w:rFonts w:eastAsia="DengXian"/>
          <w:b/>
          <w:bCs/>
          <w:sz w:val="24"/>
          <w:szCs w:val="24"/>
        </w:rPr>
        <w:t>first stage</w:t>
      </w:r>
      <w:r w:rsidRPr="00B2032B">
        <w:rPr>
          <w:rFonts w:eastAsia="DengXian"/>
          <w:sz w:val="24"/>
          <w:szCs w:val="24"/>
        </w:rPr>
        <w:t>, the relationship between monetary policy and commodity prices is estimated. Monetary policy is proxied by changes in the federal funds rate and balance sheet expansions. The first-stage regression equation is:</w:t>
      </w:r>
    </w:p>
    <w:p w14:paraId="706E1FD9" w14:textId="77777777" w:rsidR="00140CB8" w:rsidRPr="00140CB8" w:rsidRDefault="00000000" w:rsidP="00D92A30">
      <w:pPr>
        <w:spacing w:after="240"/>
        <w:rPr>
          <w:rFonts w:eastAsia="DengXian"/>
          <w:sz w:val="24"/>
          <w:szCs w:val="24"/>
        </w:rPr>
      </w:pPr>
      <m:oMathPara>
        <m:oMath>
          <m:sSub>
            <m:sSubPr>
              <m:ctrlPr>
                <w:rPr>
                  <w:rFonts w:ascii="Cambria Math" w:eastAsia="DengXian" w:hAnsi="Cambria Math"/>
                  <w:sz w:val="24"/>
                  <w:szCs w:val="24"/>
                </w:rPr>
              </m:ctrlPr>
            </m:sSubPr>
            <m:e>
              <m:r>
                <w:rPr>
                  <w:rFonts w:ascii="Cambria Math" w:eastAsia="DengXian" w:hAnsi="Cambria Math"/>
                  <w:sz w:val="24"/>
                  <w:szCs w:val="24"/>
                </w:rPr>
                <m:t>P</m:t>
              </m:r>
            </m:e>
            <m:sub>
              <m:r>
                <w:rPr>
                  <w:rFonts w:ascii="Cambria Math" w:eastAsia="DengXian" w:hAnsi="Cambria Math"/>
                  <w:sz w:val="24"/>
                  <w:szCs w:val="24"/>
                </w:rPr>
                <m:t>c</m:t>
              </m:r>
            </m:sub>
          </m:sSub>
          <m:r>
            <w:rPr>
              <w:rFonts w:ascii="Cambria Math" w:eastAsia="DengXian" w:hAnsi="Cambria Math"/>
              <w:sz w:val="24"/>
              <w:szCs w:val="24"/>
            </w:rPr>
            <m:t>=</m:t>
          </m:r>
          <m:sSub>
            <m:sSubPr>
              <m:ctrlPr>
                <w:rPr>
                  <w:rFonts w:ascii="Cambria Math" w:eastAsia="DengXian" w:hAnsi="Cambria Math"/>
                  <w:sz w:val="24"/>
                  <w:szCs w:val="24"/>
                </w:rPr>
              </m:ctrlPr>
            </m:sSubPr>
            <m:e>
              <m:r>
                <w:rPr>
                  <w:rFonts w:ascii="Cambria Math" w:eastAsia="DengXian" w:hAnsi="Cambria Math"/>
                  <w:sz w:val="24"/>
                  <w:szCs w:val="24"/>
                </w:rPr>
                <m:t>γ</m:t>
              </m:r>
            </m:e>
            <m:sub>
              <m:r>
                <w:rPr>
                  <w:rFonts w:ascii="Cambria Math" w:eastAsia="DengXian" w:hAnsi="Cambria Math"/>
                  <w:sz w:val="24"/>
                  <w:szCs w:val="24"/>
                </w:rPr>
                <m:t>0</m:t>
              </m:r>
            </m:sub>
          </m:sSub>
          <m:r>
            <w:rPr>
              <w:rFonts w:ascii="Cambria Math" w:eastAsia="DengXian" w:hAnsi="Cambria Math"/>
              <w:sz w:val="24"/>
              <w:szCs w:val="24"/>
            </w:rPr>
            <m:t>+</m:t>
          </m:r>
          <m:sSub>
            <m:sSubPr>
              <m:ctrlPr>
                <w:rPr>
                  <w:rFonts w:ascii="Cambria Math" w:eastAsia="DengXian" w:hAnsi="Cambria Math"/>
                  <w:sz w:val="24"/>
                  <w:szCs w:val="24"/>
                </w:rPr>
              </m:ctrlPr>
            </m:sSubPr>
            <m:e>
              <m:r>
                <w:rPr>
                  <w:rFonts w:ascii="Cambria Math" w:eastAsia="DengXian" w:hAnsi="Cambria Math"/>
                  <w:sz w:val="24"/>
                  <w:szCs w:val="24"/>
                </w:rPr>
                <m:t>γ</m:t>
              </m:r>
            </m:e>
            <m:sub>
              <m:r>
                <w:rPr>
                  <w:rFonts w:ascii="Cambria Math" w:eastAsia="DengXian" w:hAnsi="Cambria Math"/>
                  <w:sz w:val="24"/>
                  <w:szCs w:val="24"/>
                </w:rPr>
                <m:t>1</m:t>
              </m:r>
            </m:sub>
          </m:sSub>
          <m:r>
            <m:rPr>
              <m:nor/>
            </m:rPr>
            <w:rPr>
              <w:rFonts w:eastAsia="DengXian"/>
              <w:sz w:val="24"/>
              <w:szCs w:val="24"/>
            </w:rPr>
            <m:t>Monetary Policy</m:t>
          </m:r>
          <m:r>
            <w:rPr>
              <w:rFonts w:ascii="Cambria Math" w:eastAsia="DengXian" w:hAnsi="Cambria Math"/>
              <w:sz w:val="24"/>
              <w:szCs w:val="24"/>
            </w:rPr>
            <m:t>+ε,</m:t>
          </m:r>
        </m:oMath>
      </m:oMathPara>
    </w:p>
    <w:p w14:paraId="16F39550" w14:textId="4F8C5F75" w:rsidR="00B2032B" w:rsidRPr="00B2032B" w:rsidRDefault="00140CB8" w:rsidP="00D92A30">
      <w:pPr>
        <w:spacing w:after="240"/>
        <w:rPr>
          <w:rFonts w:eastAsia="DengXian"/>
          <w:sz w:val="24"/>
          <w:szCs w:val="24"/>
        </w:rPr>
      </w:pPr>
      <w:r w:rsidRPr="00140CB8">
        <w:rPr>
          <w:rFonts w:eastAsia="DengXian"/>
          <w:sz w:val="24"/>
          <w:szCs w:val="24"/>
        </w:rPr>
        <w:t>W</w:t>
      </w:r>
      <w:r w:rsidR="00B2032B" w:rsidRPr="00B2032B">
        <w:rPr>
          <w:rFonts w:eastAsia="DengXian"/>
          <w:sz w:val="24"/>
          <w:szCs w:val="24"/>
        </w:rPr>
        <w:t>her</w:t>
      </w:r>
      <w:r w:rsidRPr="00140CB8">
        <w:rPr>
          <w:rFonts w:eastAsia="DengXian"/>
          <w:sz w:val="24"/>
          <w:szCs w:val="24"/>
        </w:rPr>
        <w:t xml:space="preserve">e </w:t>
      </w:r>
      <m:oMath>
        <m:sSub>
          <m:sSubPr>
            <m:ctrlPr>
              <w:rPr>
                <w:rFonts w:ascii="Cambria Math" w:eastAsia="DengXian" w:hAnsi="Cambria Math"/>
                <w:sz w:val="24"/>
                <w:szCs w:val="24"/>
              </w:rPr>
            </m:ctrlPr>
          </m:sSubPr>
          <m:e>
            <m:r>
              <w:rPr>
                <w:rFonts w:ascii="Cambria Math" w:eastAsia="DengXian" w:hAnsi="Cambria Math"/>
                <w:sz w:val="24"/>
                <w:szCs w:val="24"/>
              </w:rPr>
              <m:t>P</m:t>
            </m:r>
          </m:e>
          <m:sub>
            <m:r>
              <w:rPr>
                <w:rFonts w:ascii="Cambria Math" w:eastAsia="DengXian" w:hAnsi="Cambria Math"/>
                <w:sz w:val="24"/>
                <w:szCs w:val="24"/>
              </w:rPr>
              <m:t>c</m:t>
            </m:r>
          </m:sub>
        </m:sSub>
      </m:oMath>
      <w:r w:rsidR="00B2032B" w:rsidRPr="00B2032B">
        <w:rPr>
          <w:rFonts w:eastAsia="DengXian"/>
          <w:sz w:val="24"/>
          <w:szCs w:val="24"/>
        </w:rPr>
        <w:t xml:space="preserve">​ represents commodity prices, and </w:t>
      </w:r>
      <m:oMath>
        <m:r>
          <m:rPr>
            <m:nor/>
          </m:rPr>
          <w:rPr>
            <w:rFonts w:eastAsia="DengXian"/>
            <w:sz w:val="24"/>
            <w:szCs w:val="24"/>
          </w:rPr>
          <m:t>Monetary Policy</m:t>
        </m:r>
      </m:oMath>
      <w:r w:rsidR="00B2032B" w:rsidRPr="00B2032B">
        <w:rPr>
          <w:rFonts w:eastAsia="DengXian"/>
          <w:sz w:val="24"/>
          <w:szCs w:val="24"/>
        </w:rPr>
        <w:t xml:space="preserve"> captures the policy instruments.</w:t>
      </w:r>
    </w:p>
    <w:p w14:paraId="19B3CE78" w14:textId="6FBFDC77" w:rsidR="00B2032B" w:rsidRPr="00B2032B" w:rsidRDefault="00B2032B" w:rsidP="00D92A30">
      <w:pPr>
        <w:spacing w:after="240"/>
        <w:ind w:firstLine="420"/>
        <w:rPr>
          <w:rFonts w:eastAsia="DengXian"/>
          <w:sz w:val="24"/>
          <w:szCs w:val="24"/>
        </w:rPr>
      </w:pPr>
      <w:r w:rsidRPr="00B2032B">
        <w:rPr>
          <w:rFonts w:eastAsia="DengXian"/>
          <w:sz w:val="24"/>
          <w:szCs w:val="24"/>
        </w:rPr>
        <w:t xml:space="preserve">In the </w:t>
      </w:r>
      <w:r w:rsidRPr="00B2032B">
        <w:rPr>
          <w:rFonts w:eastAsia="DengXian"/>
          <w:b/>
          <w:bCs/>
          <w:sz w:val="24"/>
          <w:szCs w:val="24"/>
        </w:rPr>
        <w:t>second stage</w:t>
      </w:r>
      <w:r w:rsidRPr="00B2032B">
        <w:rPr>
          <w:rFonts w:eastAsia="DengXian"/>
          <w:sz w:val="24"/>
          <w:szCs w:val="24"/>
        </w:rPr>
        <w:t>, the predicted values of commodity prices (</w:t>
      </w:r>
      <m:oMath>
        <m:sSub>
          <m:sSubPr>
            <m:ctrlPr>
              <w:rPr>
                <w:rFonts w:ascii="Cambria Math" w:eastAsia="DengXian" w:hAnsi="Cambria Math"/>
                <w:sz w:val="24"/>
                <w:szCs w:val="24"/>
              </w:rPr>
            </m:ctrlPr>
          </m:sSubPr>
          <m:e>
            <m:acc>
              <m:accPr>
                <m:ctrlPr>
                  <w:rPr>
                    <w:rFonts w:ascii="Cambria Math" w:eastAsia="DengXian" w:hAnsi="Cambria Math"/>
                    <w:sz w:val="24"/>
                    <w:szCs w:val="24"/>
                  </w:rPr>
                </m:ctrlPr>
              </m:accPr>
              <m:e>
                <m:r>
                  <w:rPr>
                    <w:rFonts w:ascii="Cambria Math" w:eastAsia="DengXian" w:hAnsi="Cambria Math"/>
                    <w:sz w:val="24"/>
                    <w:szCs w:val="24"/>
                  </w:rPr>
                  <m:t>P</m:t>
                </m:r>
              </m:e>
            </m:acc>
          </m:e>
          <m:sub>
            <m:r>
              <w:rPr>
                <w:rFonts w:ascii="Cambria Math" w:eastAsia="DengXian" w:hAnsi="Cambria Math"/>
                <w:sz w:val="24"/>
                <w:szCs w:val="24"/>
              </w:rPr>
              <m:t>c</m:t>
            </m:r>
          </m:sub>
        </m:sSub>
      </m:oMath>
      <w:r w:rsidRPr="00B2032B">
        <w:rPr>
          <w:rFonts w:eastAsia="DengXian"/>
          <w:sz w:val="24"/>
          <w:szCs w:val="24"/>
        </w:rPr>
        <w:t>​) from the first stage are used to estimate their impact on the quantity purchased of commodities (</w:t>
      </w:r>
      <m:oMath>
        <m:sSub>
          <m:sSubPr>
            <m:ctrlPr>
              <w:rPr>
                <w:rFonts w:ascii="Cambria Math" w:eastAsia="DengXian" w:hAnsi="Cambria Math"/>
                <w:sz w:val="24"/>
                <w:szCs w:val="24"/>
              </w:rPr>
            </m:ctrlPr>
          </m:sSubPr>
          <m:e>
            <m:r>
              <w:rPr>
                <w:rFonts w:ascii="Cambria Math" w:eastAsia="DengXian" w:hAnsi="Cambria Math"/>
                <w:sz w:val="24"/>
                <w:szCs w:val="24"/>
              </w:rPr>
              <m:t>Q</m:t>
            </m:r>
          </m:e>
          <m:sub>
            <m:r>
              <w:rPr>
                <w:rFonts w:ascii="Cambria Math" w:eastAsia="DengXian" w:hAnsi="Cambria Math"/>
                <w:sz w:val="24"/>
                <w:szCs w:val="24"/>
              </w:rPr>
              <m:t>c</m:t>
            </m:r>
          </m:sub>
        </m:sSub>
      </m:oMath>
      <w:r w:rsidRPr="00B2032B">
        <w:rPr>
          <w:rFonts w:eastAsia="DengXian"/>
          <w:sz w:val="24"/>
          <w:szCs w:val="24"/>
        </w:rPr>
        <w:t>​). The second-stage regression equation is:</w:t>
      </w:r>
    </w:p>
    <w:p w14:paraId="08EB03A1" w14:textId="77777777" w:rsidR="00140CB8" w:rsidRPr="00140CB8" w:rsidRDefault="00000000" w:rsidP="00D92A30">
      <w:pPr>
        <w:spacing w:after="240"/>
        <w:rPr>
          <w:rFonts w:eastAsia="DengXian"/>
          <w:sz w:val="24"/>
          <w:szCs w:val="24"/>
        </w:rPr>
      </w:pPr>
      <m:oMathPara>
        <m:oMath>
          <m:sSub>
            <m:sSubPr>
              <m:ctrlPr>
                <w:rPr>
                  <w:rFonts w:ascii="Cambria Math" w:eastAsia="DengXian" w:hAnsi="Cambria Math"/>
                  <w:sz w:val="24"/>
                  <w:szCs w:val="24"/>
                </w:rPr>
              </m:ctrlPr>
            </m:sSubPr>
            <m:e>
              <m:r>
                <w:rPr>
                  <w:rFonts w:ascii="Cambria Math" w:eastAsia="DengXian" w:hAnsi="Cambria Math"/>
                  <w:sz w:val="24"/>
                  <w:szCs w:val="24"/>
                </w:rPr>
                <m:t>Q</m:t>
              </m:r>
            </m:e>
            <m:sub>
              <m:r>
                <w:rPr>
                  <w:rFonts w:ascii="Cambria Math" w:eastAsia="DengXian" w:hAnsi="Cambria Math"/>
                  <w:sz w:val="24"/>
                  <w:szCs w:val="24"/>
                </w:rPr>
                <m:t>c</m:t>
              </m:r>
            </m:sub>
          </m:sSub>
          <m:r>
            <w:rPr>
              <w:rFonts w:ascii="Cambria Math" w:eastAsia="DengXian" w:hAnsi="Cambria Math"/>
              <w:sz w:val="24"/>
              <w:szCs w:val="24"/>
            </w:rPr>
            <m:t>=</m:t>
          </m:r>
          <m:sSub>
            <m:sSubPr>
              <m:ctrlPr>
                <w:rPr>
                  <w:rFonts w:ascii="Cambria Math" w:eastAsia="DengXian" w:hAnsi="Cambria Math"/>
                  <w:sz w:val="24"/>
                  <w:szCs w:val="24"/>
                </w:rPr>
              </m:ctrlPr>
            </m:sSubPr>
            <m:e>
              <m:r>
                <w:rPr>
                  <w:rFonts w:ascii="Cambria Math" w:eastAsia="DengXian" w:hAnsi="Cambria Math"/>
                  <w:sz w:val="24"/>
                  <w:szCs w:val="24"/>
                </w:rPr>
                <m:t>β</m:t>
              </m:r>
            </m:e>
            <m:sub>
              <m:r>
                <w:rPr>
                  <w:rFonts w:ascii="Cambria Math" w:eastAsia="DengXian" w:hAnsi="Cambria Math"/>
                  <w:sz w:val="24"/>
                  <w:szCs w:val="24"/>
                </w:rPr>
                <m:t>0</m:t>
              </m:r>
            </m:sub>
          </m:sSub>
          <m:r>
            <w:rPr>
              <w:rFonts w:ascii="Cambria Math" w:eastAsia="DengXian" w:hAnsi="Cambria Math"/>
              <w:sz w:val="24"/>
              <w:szCs w:val="24"/>
            </w:rPr>
            <m:t>+</m:t>
          </m:r>
          <m:sSub>
            <m:sSubPr>
              <m:ctrlPr>
                <w:rPr>
                  <w:rFonts w:ascii="Cambria Math" w:eastAsia="DengXian" w:hAnsi="Cambria Math"/>
                  <w:sz w:val="24"/>
                  <w:szCs w:val="24"/>
                </w:rPr>
              </m:ctrlPr>
            </m:sSubPr>
            <m:e>
              <m:r>
                <w:rPr>
                  <w:rFonts w:ascii="Cambria Math" w:eastAsia="DengXian" w:hAnsi="Cambria Math"/>
                  <w:sz w:val="24"/>
                  <w:szCs w:val="24"/>
                </w:rPr>
                <m:t>β</m:t>
              </m:r>
            </m:e>
            <m:sub>
              <m:r>
                <w:rPr>
                  <w:rFonts w:ascii="Cambria Math" w:eastAsia="DengXian" w:hAnsi="Cambria Math"/>
                  <w:sz w:val="24"/>
                  <w:szCs w:val="24"/>
                </w:rPr>
                <m:t>1</m:t>
              </m:r>
            </m:sub>
          </m:sSub>
          <m:sSub>
            <m:sSubPr>
              <m:ctrlPr>
                <w:rPr>
                  <w:rFonts w:ascii="Cambria Math" w:eastAsia="DengXian" w:hAnsi="Cambria Math"/>
                  <w:sz w:val="24"/>
                  <w:szCs w:val="24"/>
                </w:rPr>
              </m:ctrlPr>
            </m:sSubPr>
            <m:e>
              <m:acc>
                <m:accPr>
                  <m:ctrlPr>
                    <w:rPr>
                      <w:rFonts w:ascii="Cambria Math" w:eastAsia="DengXian" w:hAnsi="Cambria Math"/>
                      <w:sz w:val="24"/>
                      <w:szCs w:val="24"/>
                    </w:rPr>
                  </m:ctrlPr>
                </m:accPr>
                <m:e>
                  <m:r>
                    <w:rPr>
                      <w:rFonts w:ascii="Cambria Math" w:eastAsia="DengXian" w:hAnsi="Cambria Math"/>
                      <w:sz w:val="24"/>
                      <w:szCs w:val="24"/>
                    </w:rPr>
                    <m:t>P</m:t>
                  </m:r>
                </m:e>
              </m:acc>
            </m:e>
            <m:sub>
              <m:r>
                <w:rPr>
                  <w:rFonts w:ascii="Cambria Math" w:eastAsia="DengXian" w:hAnsi="Cambria Math"/>
                  <w:sz w:val="24"/>
                  <w:szCs w:val="24"/>
                </w:rPr>
                <m:t>c</m:t>
              </m:r>
            </m:sub>
          </m:sSub>
          <m:r>
            <w:rPr>
              <w:rFonts w:ascii="Cambria Math" w:eastAsia="DengXian" w:hAnsi="Cambria Math"/>
              <w:sz w:val="24"/>
              <w:szCs w:val="24"/>
            </w:rPr>
            <m:t>+η,</m:t>
          </m:r>
        </m:oMath>
      </m:oMathPara>
    </w:p>
    <w:p w14:paraId="2465FEB6" w14:textId="79BD2362" w:rsidR="00B2032B" w:rsidRPr="00B2032B" w:rsidRDefault="00B2032B" w:rsidP="00D92A30">
      <w:pPr>
        <w:spacing w:after="240"/>
        <w:rPr>
          <w:rFonts w:eastAsia="DengXian"/>
          <w:sz w:val="24"/>
          <w:szCs w:val="24"/>
        </w:rPr>
      </w:pPr>
      <w:r w:rsidRPr="00B2032B">
        <w:rPr>
          <w:rFonts w:eastAsia="DengXian"/>
          <w:sz w:val="24"/>
          <w:szCs w:val="24"/>
        </w:rPr>
        <w:t xml:space="preserve">where </w:t>
      </w:r>
      <m:oMath>
        <m:sSub>
          <m:sSubPr>
            <m:ctrlPr>
              <w:rPr>
                <w:rFonts w:ascii="Cambria Math" w:eastAsia="DengXian" w:hAnsi="Cambria Math"/>
                <w:sz w:val="24"/>
                <w:szCs w:val="24"/>
              </w:rPr>
            </m:ctrlPr>
          </m:sSubPr>
          <m:e>
            <m:r>
              <w:rPr>
                <w:rFonts w:ascii="Cambria Math" w:eastAsia="DengXian" w:hAnsi="Cambria Math"/>
                <w:sz w:val="24"/>
                <w:szCs w:val="24"/>
              </w:rPr>
              <m:t>β</m:t>
            </m:r>
          </m:e>
          <m:sub>
            <m:r>
              <w:rPr>
                <w:rFonts w:ascii="Cambria Math" w:eastAsia="DengXian" w:hAnsi="Cambria Math"/>
                <w:sz w:val="24"/>
                <w:szCs w:val="24"/>
              </w:rPr>
              <m:t>1</m:t>
            </m:r>
          </m:sub>
        </m:sSub>
      </m:oMath>
      <w:r w:rsidRPr="00B2032B">
        <w:rPr>
          <w:rFonts w:eastAsia="DengXian"/>
          <w:sz w:val="24"/>
          <w:szCs w:val="24"/>
        </w:rPr>
        <w:t>​ represents the causal effect of changes in commodity prices on the quantity purchased.</w:t>
      </w:r>
    </w:p>
    <w:p w14:paraId="04285ED0" w14:textId="5A1EDB2A" w:rsidR="00BD2CEB" w:rsidRPr="009C488A" w:rsidRDefault="00B2032B" w:rsidP="00D92A30">
      <w:pPr>
        <w:spacing w:after="240"/>
        <w:ind w:firstLine="420"/>
        <w:rPr>
          <w:rFonts w:eastAsia="DengXian"/>
          <w:sz w:val="24"/>
          <w:szCs w:val="24"/>
        </w:rPr>
      </w:pPr>
      <w:r w:rsidRPr="00B2032B">
        <w:rPr>
          <w:rFonts w:eastAsia="DengXian"/>
          <w:sz w:val="24"/>
          <w:szCs w:val="24"/>
        </w:rPr>
        <w:t>This IV approach addresses potential endogeneity arising from reverse causality or omitted variable bias. By isolating the variation in commodity prices attributable to monetary policy, the methodology ensures robust causal inference.</w:t>
      </w:r>
    </w:p>
    <w:p w14:paraId="70CD7F12" w14:textId="77777777" w:rsidR="00B2032B" w:rsidRPr="004331FB" w:rsidRDefault="00B2032B" w:rsidP="004331FB">
      <w:pPr>
        <w:pStyle w:val="Heading2"/>
      </w:pPr>
      <w:r w:rsidRPr="004331FB">
        <w:t>Estimation and Robustness</w:t>
      </w:r>
    </w:p>
    <w:p w14:paraId="1690D478" w14:textId="1E9ECDEF" w:rsidR="00B2032B" w:rsidRPr="00B2032B" w:rsidRDefault="00B2032B" w:rsidP="00D92A30">
      <w:pPr>
        <w:spacing w:after="240"/>
        <w:ind w:firstLine="420"/>
        <w:rPr>
          <w:rFonts w:eastAsia="DengXian"/>
          <w:sz w:val="24"/>
          <w:szCs w:val="24"/>
        </w:rPr>
      </w:pPr>
      <w:r w:rsidRPr="00B2032B">
        <w:rPr>
          <w:rFonts w:eastAsia="DengXian"/>
          <w:sz w:val="24"/>
          <w:szCs w:val="24"/>
        </w:rPr>
        <w:t xml:space="preserve">The estimation uses generalized method of moments (GMM) to account for heteroskedasticity and autocorrelation in the error terms. Robustness checks include alternative specifications of monetary policy </w:t>
      </w:r>
      <w:r w:rsidR="00140CB8">
        <w:rPr>
          <w:rFonts w:eastAsia="DengXian"/>
          <w:sz w:val="24"/>
          <w:szCs w:val="24"/>
        </w:rPr>
        <w:t>instruments</w:t>
      </w:r>
      <w:r w:rsidRPr="00B2032B">
        <w:rPr>
          <w:rFonts w:eastAsia="DengXian"/>
          <w:sz w:val="24"/>
          <w:szCs w:val="24"/>
        </w:rPr>
        <w:t>.</w:t>
      </w:r>
      <w:r w:rsidR="00140CB8">
        <w:rPr>
          <w:rFonts w:eastAsia="DengXian"/>
          <w:sz w:val="24"/>
          <w:szCs w:val="24"/>
        </w:rPr>
        <w:t xml:space="preserve"> For instance, Google search index of FOMC interest rate adjustment is used as the alternative instrument variable for robustness check.</w:t>
      </w:r>
    </w:p>
    <w:p w14:paraId="74802A65" w14:textId="33E4CFA6" w:rsidR="00B2032B" w:rsidRPr="00D92A30" w:rsidRDefault="00B2032B" w:rsidP="00D92A30">
      <w:pPr>
        <w:spacing w:after="240"/>
        <w:ind w:firstLine="420"/>
        <w:rPr>
          <w:rFonts w:eastAsia="DengXian"/>
          <w:sz w:val="24"/>
          <w:szCs w:val="24"/>
        </w:rPr>
      </w:pPr>
      <w:r w:rsidRPr="00B2032B">
        <w:rPr>
          <w:rFonts w:eastAsia="DengXian"/>
          <w:sz w:val="24"/>
          <w:szCs w:val="24"/>
        </w:rPr>
        <w:lastRenderedPageBreak/>
        <w:t>This methodology provides a robust framework to study the impact of monetary policy on international commodity markets, shedding light on the transmission mechanisms of policy interventions.</w:t>
      </w:r>
    </w:p>
    <w:p w14:paraId="15AD85A9" w14:textId="77777777" w:rsidR="00625130" w:rsidRDefault="384AB482">
      <w:pPr>
        <w:pStyle w:val="Heading1"/>
        <w:snapToGrid w:val="0"/>
        <w:spacing w:before="0" w:after="0" w:line="360" w:lineRule="auto"/>
        <w:jc w:val="left"/>
        <w:rPr>
          <w:rFonts w:eastAsia="PMingLiU"/>
          <w:sz w:val="28"/>
          <w:szCs w:val="28"/>
          <w:lang w:eastAsia="zh-TW"/>
        </w:rPr>
      </w:pPr>
      <w:r w:rsidRPr="384AB482">
        <w:rPr>
          <w:rFonts w:eastAsia="DengXian"/>
          <w:sz w:val="28"/>
          <w:szCs w:val="28"/>
        </w:rPr>
        <w:t>VI. Preliminary Results</w:t>
      </w:r>
    </w:p>
    <w:p w14:paraId="7B146D32" w14:textId="4B1CBC6F" w:rsidR="2BDC0C73" w:rsidRPr="00DE19B8" w:rsidRDefault="2BDC0C73" w:rsidP="00DE19B8">
      <w:pPr>
        <w:pStyle w:val="Heading2"/>
      </w:pPr>
      <w:r>
        <w:t xml:space="preserve">(1) </w:t>
      </w:r>
      <w:r w:rsidR="384AB482" w:rsidRPr="004331FB">
        <w:t>First Stage</w:t>
      </w:r>
      <w:r>
        <w:t xml:space="preserve"> Analysis</w:t>
      </w:r>
    </w:p>
    <w:p w14:paraId="5795DF51" w14:textId="5129B1FB" w:rsidR="44B1FB06" w:rsidRPr="003E32EC" w:rsidRDefault="786EDF93" w:rsidP="003E32EC">
      <w:pPr>
        <w:ind w:firstLine="420"/>
        <w:rPr>
          <w:rFonts w:eastAsiaTheme="minorEastAsia"/>
        </w:rPr>
      </w:pPr>
      <w:r w:rsidRPr="786EDF93">
        <w:rPr>
          <w:sz w:val="24"/>
          <w:szCs w:val="24"/>
        </w:rPr>
        <w:t xml:space="preserve">In order to empirically test the relevance condition and the exclusion restriction, Granger causality tests are conducted to test the causality between monetary policy variable (Treasury bond yield) and prices and quantity of oil. The estimation </w:t>
      </w:r>
      <w:r w:rsidR="4FA3E4E4" w:rsidRPr="4FA3E4E4">
        <w:rPr>
          <w:sz w:val="24"/>
          <w:szCs w:val="24"/>
        </w:rPr>
        <w:t>equations are</w:t>
      </w:r>
      <w:r w:rsidRPr="786EDF93">
        <w:rPr>
          <w:sz w:val="24"/>
          <w:szCs w:val="24"/>
        </w:rPr>
        <w:t xml:space="preserve"> as follows:</w:t>
      </w:r>
    </w:p>
    <w:p w14:paraId="10BEB947" w14:textId="1967C79B" w:rsidR="44B1FB06" w:rsidRDefault="44B1FB06" w:rsidP="44B1FB06">
      <w:pPr>
        <w:ind w:firstLine="420"/>
        <w:rPr>
          <w:sz w:val="24"/>
          <w:szCs w:val="24"/>
        </w:rPr>
      </w:pPr>
    </w:p>
    <w:p w14:paraId="5AB58A83" w14:textId="0594D1B4" w:rsidR="000301FD" w:rsidRPr="000301FD" w:rsidRDefault="0001567A" w:rsidP="14FC7F3A">
      <w:pPr>
        <w:jc w:val="center"/>
      </w:pPr>
      <m:oMathPara>
        <m:oMath>
          <m:r>
            <m:rPr>
              <m:sty m:val="p"/>
            </m:rPr>
            <w:rPr>
              <w:rFonts w:ascii="Cambria Math" w:hAnsi="Cambria Math"/>
            </w:rPr>
            <m:t>Δ</m:t>
          </m:r>
          <m:sSub>
            <m:sSubPr>
              <m:ctrlPr>
                <w:rPr>
                  <w:rFonts w:ascii="Cambria Math" w:hAnsi="Cambria Math"/>
                </w:rPr>
              </m:ctrlPr>
            </m:sSubPr>
            <m:e>
              <m:r>
                <m:rPr>
                  <m:nor/>
                </m:rPr>
                <m:t>price</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price</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price</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price</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eastAsiaTheme="minorEastAsia" w:hAnsi="Cambria Math"/>
                </w:rPr>
                <m:t>t</m:t>
              </m:r>
            </m:sub>
          </m:sSub>
          <m:r>
            <w:rPr>
              <w:rFonts w:ascii="Cambria Math" w:hAnsi="Cambria Math"/>
            </w:rPr>
            <m:t> </m:t>
          </m:r>
        </m:oMath>
      </m:oMathPara>
    </w:p>
    <w:p w14:paraId="104FF1D5" w14:textId="0E725191" w:rsidR="44B1FB06" w:rsidRPr="003E32EC" w:rsidRDefault="000301FD" w:rsidP="003E32EC">
      <w:pPr>
        <w:spacing w:after="240"/>
        <w:rPr>
          <w:rFonts w:eastAsiaTheme="minorEastAsia"/>
        </w:rPr>
      </w:pPr>
      <m:oMathPara>
        <m:oMath>
          <m:r>
            <m:rPr>
              <m:sty m:val="p"/>
            </m:rPr>
            <w:rPr>
              <w:rFonts w:ascii="Cambria Math" w:hAnsi="Cambria Math"/>
            </w:rPr>
            <m:t>Δ</m:t>
          </m:r>
          <m:sSub>
            <m:sSubPr>
              <m:ctrlPr>
                <w:rPr>
                  <w:rFonts w:ascii="Cambria Math" w:hAnsi="Cambria Math"/>
                </w:rPr>
              </m:ctrlPr>
            </m:sSubPr>
            <m:e>
              <m:r>
                <m:rPr>
                  <m:nor/>
                </m:rPr>
                <m:t>sale</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MonetaryPolicy</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sale</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sale</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sale</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m:rPr>
              <m:sty m:val="p"/>
            </m:rPr>
            <w:rPr>
              <w:rFonts w:ascii="Cambria Math" w:hAnsi="Cambria Math"/>
            </w:rPr>
            <m:t>Δ</m:t>
          </m:r>
          <m:sSub>
            <m:sSubPr>
              <m:ctrlPr>
                <w:rPr>
                  <w:rFonts w:ascii="Cambria Math" w:hAnsi="Cambria Math"/>
                </w:rPr>
              </m:ctrlPr>
            </m:sSubPr>
            <m:e>
              <m:r>
                <m:rPr>
                  <m:nor/>
                </m:rPr>
                <m:t>yield</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 </m:t>
          </m:r>
        </m:oMath>
      </m:oMathPara>
    </w:p>
    <w:p w14:paraId="63411112" w14:textId="510D2742" w:rsidR="003E32EC" w:rsidRPr="00472214" w:rsidRDefault="003E32EC" w:rsidP="003E32EC">
      <w:pPr>
        <w:ind w:firstLine="420"/>
        <w:rPr>
          <w:sz w:val="24"/>
          <w:szCs w:val="24"/>
        </w:rPr>
      </w:pPr>
      <w:bookmarkStart w:id="0" w:name="OLE_LINK6"/>
      <w:r w:rsidRPr="00472214">
        <w:rPr>
          <w:sz w:val="24"/>
          <w:szCs w:val="24"/>
        </w:rPr>
        <w:t>The result (shown in column (1) and (2) the data appendix) shows there is a significant first stage for the relevance condition and insignificant result for exclusion restriction.</w:t>
      </w:r>
      <w:r w:rsidRPr="00472214">
        <w:rPr>
          <w:rFonts w:hint="eastAsia"/>
          <w:sz w:val="24"/>
          <w:szCs w:val="24"/>
        </w:rPr>
        <w:t xml:space="preserve"> The result means the IV</w:t>
      </w:r>
      <w:r w:rsidR="005A0C70" w:rsidRPr="00472214">
        <w:rPr>
          <w:rFonts w:eastAsiaTheme="minorEastAsia" w:hint="eastAsia"/>
          <w:sz w:val="24"/>
          <w:szCs w:val="24"/>
        </w:rPr>
        <w:t xml:space="preserve"> </w:t>
      </w:r>
      <w:r w:rsidRPr="00472214">
        <w:rPr>
          <w:rFonts w:hint="eastAsia"/>
          <w:sz w:val="24"/>
          <w:szCs w:val="24"/>
        </w:rPr>
        <w:t xml:space="preserve">(Monetary Policy) is </w:t>
      </w:r>
      <w:r w:rsidRPr="00472214">
        <w:rPr>
          <w:sz w:val="24"/>
          <w:szCs w:val="24"/>
        </w:rPr>
        <w:t>strongly correlated with</w:t>
      </w:r>
      <w:r w:rsidRPr="00472214">
        <w:rPr>
          <w:rFonts w:hint="eastAsia"/>
          <w:sz w:val="24"/>
          <w:szCs w:val="24"/>
        </w:rPr>
        <w:t xml:space="preserve"> Independent Variable </w:t>
      </w:r>
      <w:r w:rsidRPr="00472214">
        <w:rPr>
          <w:sz w:val="24"/>
          <w:szCs w:val="24"/>
        </w:rPr>
        <w:t>commodity prices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w:rPr>
                <w:rFonts w:ascii="Cambria Math" w:hAnsi="Cambria Math"/>
                <w:sz w:val="24"/>
                <w:szCs w:val="24"/>
              </w:rPr>
              <m:t>c</m:t>
            </m:r>
          </m:sub>
        </m:sSub>
      </m:oMath>
      <w:r w:rsidRPr="00472214">
        <w:rPr>
          <w:sz w:val="24"/>
          <w:szCs w:val="24"/>
        </w:rPr>
        <w:t>​)</w:t>
      </w:r>
      <w:r w:rsidRPr="00472214">
        <w:rPr>
          <w:rFonts w:hint="eastAsia"/>
          <w:sz w:val="24"/>
          <w:szCs w:val="24"/>
        </w:rPr>
        <w:t>, and don</w:t>
      </w:r>
      <w:r w:rsidRPr="00472214">
        <w:rPr>
          <w:sz w:val="24"/>
          <w:szCs w:val="24"/>
        </w:rPr>
        <w:t>’</w:t>
      </w:r>
      <w:r w:rsidRPr="00472214">
        <w:rPr>
          <w:rFonts w:hint="eastAsia"/>
          <w:sz w:val="24"/>
          <w:szCs w:val="24"/>
        </w:rPr>
        <w:t xml:space="preserve">t </w:t>
      </w:r>
      <w:r w:rsidRPr="00472214">
        <w:rPr>
          <w:sz w:val="24"/>
          <w:szCs w:val="24"/>
        </w:rPr>
        <w:t>have a direct relationship with the dependent variable.</w:t>
      </w:r>
      <w:r w:rsidRPr="00472214">
        <w:rPr>
          <w:rFonts w:hint="eastAsia"/>
          <w:sz w:val="24"/>
          <w:szCs w:val="24"/>
        </w:rPr>
        <w:t xml:space="preserve"> Dependent Variable </w:t>
      </w:r>
      <w:r w:rsidRPr="00472214">
        <w:rPr>
          <w:sz w:val="24"/>
          <w:szCs w:val="24"/>
        </w:rPr>
        <w:t>quantity purchased of commodities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m:t>
            </m:r>
          </m:sub>
        </m:sSub>
      </m:oMath>
      <w:r w:rsidRPr="00472214">
        <w:rPr>
          <w:sz w:val="24"/>
          <w:szCs w:val="24"/>
        </w:rPr>
        <w:t>​)</w:t>
      </w:r>
      <w:r w:rsidRPr="00472214">
        <w:rPr>
          <w:rFonts w:hint="eastAsia"/>
          <w:sz w:val="24"/>
          <w:szCs w:val="24"/>
        </w:rPr>
        <w:t>.</w:t>
      </w:r>
    </w:p>
    <w:bookmarkEnd w:id="0"/>
    <w:p w14:paraId="1D98B144" w14:textId="45CCCFEB" w:rsidR="001546EF" w:rsidRDefault="2BDC0C73" w:rsidP="001546EF">
      <w:pPr>
        <w:spacing w:before="240" w:after="240"/>
        <w:ind w:firstLine="420"/>
        <w:rPr>
          <w:color w:val="000000" w:themeColor="text1"/>
          <w:sz w:val="24"/>
          <w:szCs w:val="24"/>
        </w:rPr>
      </w:pPr>
      <w:r w:rsidRPr="2BDC0C73">
        <w:rPr>
          <w:color w:val="000000" w:themeColor="text1"/>
          <w:sz w:val="24"/>
          <w:szCs w:val="24"/>
        </w:rPr>
        <w:t xml:space="preserve">We could use theory to analyze supply and demand of commodity market. </w:t>
      </w:r>
      <w:r w:rsidR="001546EF" w:rsidRPr="3E68750D">
        <w:rPr>
          <w:color w:val="000000" w:themeColor="text1"/>
          <w:sz w:val="24"/>
          <w:szCs w:val="24"/>
        </w:rPr>
        <w:t>Since there is a stable need for commodity like energy and metal elements, it is reasonable to assume there is a low demand elasticity of demand regarding monetary policy. Meanwhile, it is also reasonable to argue that in a monopsonic market structure like energy, suppliers can easily make strategic decision in their production plan, making them more responsive to changes in the price level. Thus, the relevance condition and the exclusion restriction theoretically hold true for monetary policy being the IV.</w:t>
      </w:r>
    </w:p>
    <w:p w14:paraId="05D53095" w14:textId="77777777" w:rsidR="001546EF" w:rsidRDefault="001546EF" w:rsidP="001546EF">
      <w:pPr>
        <w:keepNext/>
        <w:spacing w:before="240" w:after="240"/>
        <w:jc w:val="center"/>
      </w:pPr>
      <w:r>
        <w:rPr>
          <w:noProof/>
        </w:rPr>
        <w:lastRenderedPageBreak/>
        <w:drawing>
          <wp:inline distT="0" distB="0" distL="0" distR="0" wp14:anchorId="2872EA5C" wp14:editId="5B9586D7">
            <wp:extent cx="4117009" cy="2635481"/>
            <wp:effectExtent l="0" t="0" r="0" b="0"/>
            <wp:docPr id="129206470" name="Picture 12920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64" cy="2642494"/>
                    </a:xfrm>
                    <a:prstGeom prst="rect">
                      <a:avLst/>
                    </a:prstGeom>
                  </pic:spPr>
                </pic:pic>
              </a:graphicData>
            </a:graphic>
          </wp:inline>
        </w:drawing>
      </w:r>
    </w:p>
    <w:p w14:paraId="5EB5846A" w14:textId="795E7A5A" w:rsidR="001546EF" w:rsidRPr="00574ECB" w:rsidRDefault="001546EF" w:rsidP="001546EF">
      <w:pPr>
        <w:pStyle w:val="Caption"/>
        <w:jc w:val="center"/>
        <w:rPr>
          <w:rFonts w:ascii="Times New Roman" w:hAnsi="Times New Roman" w:cs="Times New Roman"/>
          <w:b/>
          <w:bCs/>
          <w:color w:val="000000" w:themeColor="text1"/>
        </w:rPr>
      </w:pPr>
      <w:r w:rsidRPr="00574ECB">
        <w:rPr>
          <w:rFonts w:ascii="Times New Roman" w:hAnsi="Times New Roman" w:cs="Times New Roman"/>
          <w:b/>
          <w:bCs/>
        </w:rPr>
        <w:t xml:space="preserve">Figure </w:t>
      </w:r>
      <w:r w:rsidRPr="00574ECB">
        <w:rPr>
          <w:rFonts w:ascii="Times New Roman" w:hAnsi="Times New Roman" w:cs="Times New Roman"/>
          <w:b/>
          <w:bCs/>
        </w:rPr>
        <w:fldChar w:fldCharType="begin"/>
      </w:r>
      <w:r w:rsidRPr="00574ECB">
        <w:rPr>
          <w:rFonts w:ascii="Times New Roman" w:hAnsi="Times New Roman" w:cs="Times New Roman"/>
          <w:b/>
          <w:bCs/>
        </w:rPr>
        <w:instrText xml:space="preserve"> SEQ Figure \* ARABIC </w:instrText>
      </w:r>
      <w:r w:rsidRPr="00574ECB">
        <w:rPr>
          <w:rFonts w:ascii="Times New Roman" w:hAnsi="Times New Roman" w:cs="Times New Roman"/>
          <w:b/>
          <w:bCs/>
        </w:rPr>
        <w:fldChar w:fldCharType="separate"/>
      </w:r>
      <w:r w:rsidR="00221690">
        <w:rPr>
          <w:rFonts w:ascii="Times New Roman" w:hAnsi="Times New Roman" w:cs="Times New Roman"/>
          <w:b/>
          <w:bCs/>
          <w:noProof/>
        </w:rPr>
        <w:t>1</w:t>
      </w:r>
      <w:r w:rsidRPr="00574ECB">
        <w:rPr>
          <w:rFonts w:ascii="Times New Roman" w:hAnsi="Times New Roman" w:cs="Times New Roman"/>
          <w:b/>
          <w:bCs/>
        </w:rPr>
        <w:fldChar w:fldCharType="end"/>
      </w:r>
      <w:r w:rsidRPr="00574ECB">
        <w:rPr>
          <w:rFonts w:ascii="Times New Roman" w:hAnsi="Times New Roman" w:cs="Times New Roman" w:hint="eastAsia"/>
          <w:b/>
          <w:bCs/>
        </w:rPr>
        <w:t xml:space="preserve"> Impact of Increasing Marginal Cost on Supply Curve</w:t>
      </w:r>
    </w:p>
    <w:p w14:paraId="35D8255F" w14:textId="2A9B807B" w:rsidR="2BDC0C73" w:rsidRDefault="2BDC0C73" w:rsidP="2BDC0C73">
      <w:pPr>
        <w:ind w:firstLine="420"/>
        <w:rPr>
          <w:sz w:val="24"/>
          <w:szCs w:val="24"/>
        </w:rPr>
      </w:pPr>
    </w:p>
    <w:p w14:paraId="0FCCEC5E" w14:textId="5BDEE411" w:rsidR="2BDC0C73" w:rsidRPr="00DE19B8" w:rsidRDefault="2BDC0C73" w:rsidP="00DE19B8">
      <w:pPr>
        <w:ind w:firstLine="420"/>
        <w:rPr>
          <w:rFonts w:eastAsiaTheme="minorEastAsia"/>
          <w:sz w:val="24"/>
          <w:szCs w:val="24"/>
        </w:rPr>
      </w:pPr>
      <w:r w:rsidRPr="2BDC0C73">
        <w:rPr>
          <w:sz w:val="24"/>
          <w:szCs w:val="24"/>
        </w:rPr>
        <w:t>The conclusions from the data analysis align with our theoretical analysis. According to the MIU theory, monetary policy impacts the supply and demand dynamics in the commodity market by altering the price level (P). Commodity demand is price inelastic, while supply is elastic. This implies that price changes have little effect on demand quantity, but prices respond strongly to demand fluctuations. At the same time, producers can quickly adjust supply to accommodate changes in demand, thereby mitigating large fluctuations in sales volume. Therefore, expansionary monetary policy significantly drives up prices with a slight increase in sales, while contractionary monetary policy significantly lowers prices with a slight decrease in sales.</w:t>
      </w:r>
    </w:p>
    <w:p w14:paraId="07B16D77" w14:textId="5EE0F9B9" w:rsidR="000301FD" w:rsidRPr="004331FB" w:rsidRDefault="2BDC0C73" w:rsidP="004331FB">
      <w:pPr>
        <w:pStyle w:val="Heading2"/>
        <w:rPr>
          <w:sz w:val="24"/>
          <w:szCs w:val="24"/>
        </w:rPr>
      </w:pPr>
      <w:r>
        <w:t>(2) Second Stage Analysis</w:t>
      </w:r>
    </w:p>
    <w:p w14:paraId="24C82832" w14:textId="2FF7AFC3" w:rsidR="000301FD" w:rsidRPr="00472214" w:rsidRDefault="786EDF93" w:rsidP="00D11A72">
      <w:pPr>
        <w:ind w:firstLine="420"/>
        <w:rPr>
          <w:rFonts w:eastAsiaTheme="minorEastAsia"/>
        </w:rPr>
      </w:pPr>
      <w:r w:rsidRPr="786EDF93">
        <w:rPr>
          <w:sz w:val="24"/>
          <w:szCs w:val="24"/>
        </w:rPr>
        <w:t>The IV estimation results (in column (3) as for 2SLS specification and column (4) for GMM specification) show an</w:t>
      </w:r>
      <w:r w:rsidRPr="00A92EF2">
        <w:rPr>
          <w:b/>
          <w:bCs/>
          <w:sz w:val="24"/>
          <w:szCs w:val="24"/>
        </w:rPr>
        <w:t xml:space="preserve"> insignificant</w:t>
      </w:r>
      <w:r w:rsidRPr="786EDF93">
        <w:rPr>
          <w:sz w:val="24"/>
          <w:szCs w:val="24"/>
        </w:rPr>
        <w:t xml:space="preserve"> slight negative response of oil sale (0.3%) for 1% of oil price increase.</w:t>
      </w:r>
    </w:p>
    <w:p w14:paraId="3CED6B94" w14:textId="77777777" w:rsidR="00625130" w:rsidRDefault="00BB2611" w:rsidP="00DE19B8">
      <w:pPr>
        <w:pStyle w:val="Heading1"/>
        <w:snapToGrid w:val="0"/>
        <w:spacing w:line="360" w:lineRule="auto"/>
        <w:jc w:val="left"/>
        <w:rPr>
          <w:rFonts w:eastAsia="DengXian"/>
          <w:sz w:val="28"/>
          <w:szCs w:val="28"/>
        </w:rPr>
      </w:pPr>
      <w:r>
        <w:rPr>
          <w:rFonts w:eastAsia="DengXian" w:hint="eastAsia"/>
          <w:sz w:val="28"/>
          <w:szCs w:val="28"/>
        </w:rPr>
        <w:t>VII. Falsification Tests</w:t>
      </w:r>
    </w:p>
    <w:p w14:paraId="0E5C413E" w14:textId="77777777" w:rsidR="003E32EC" w:rsidRPr="00DE19B8" w:rsidRDefault="082395ED" w:rsidP="00D92A30">
      <w:pPr>
        <w:spacing w:before="240"/>
        <w:ind w:firstLine="420"/>
        <w:rPr>
          <w:rFonts w:eastAsiaTheme="minorEastAsia"/>
          <w:sz w:val="24"/>
          <w:szCs w:val="24"/>
        </w:rPr>
      </w:pPr>
      <w:r w:rsidRPr="00DE19B8">
        <w:rPr>
          <w:sz w:val="24"/>
          <w:szCs w:val="24"/>
        </w:rPr>
        <w:t>The Granger causality test examines whether past values of one variable (e.g., Google search index) help predict the current values of another variable (e.g., sales changes), beyond the predictive power of the variable's own past values. In the context of the falsification test, the goal is to determine if the Google search index (used as an instrument for monetary policy changes) has any causal predictive power over sales changes.</w:t>
      </w:r>
    </w:p>
    <w:p w14:paraId="65236A54" w14:textId="5C9D01D5" w:rsidR="000469E1" w:rsidRPr="00DE19B8" w:rsidRDefault="082395ED" w:rsidP="00D92A30">
      <w:pPr>
        <w:spacing w:before="240"/>
        <w:ind w:firstLine="420"/>
        <w:rPr>
          <w:rFonts w:eastAsiaTheme="minorEastAsia"/>
          <w:sz w:val="24"/>
          <w:szCs w:val="24"/>
        </w:rPr>
      </w:pPr>
      <w:r w:rsidRPr="00DE19B8">
        <w:rPr>
          <w:sz w:val="24"/>
          <w:szCs w:val="24"/>
        </w:rPr>
        <w:lastRenderedPageBreak/>
        <w:t>Columns (5) and (6) in the data appendix present the results of this test, where lagged values of the Google search index are included as explanatory variables for sales changes. If the Google search index does not Granger-cause sales changes, it suggests that the instrument is unrelated to the dependent variable (sales changes), thereby validating its exogeneity.</w:t>
      </w:r>
    </w:p>
    <w:p w14:paraId="7CD92421" w14:textId="77777777" w:rsidR="000469E1" w:rsidRPr="00DE19B8" w:rsidRDefault="36FE2844" w:rsidP="00D92A30">
      <w:pPr>
        <w:spacing w:before="240"/>
        <w:ind w:firstLine="420"/>
        <w:rPr>
          <w:rFonts w:eastAsiaTheme="minorEastAsia"/>
          <w:sz w:val="24"/>
          <w:szCs w:val="24"/>
        </w:rPr>
      </w:pPr>
      <w:r w:rsidRPr="00DE19B8">
        <w:rPr>
          <w:sz w:val="24"/>
          <w:szCs w:val="24"/>
        </w:rPr>
        <w:t>The falsification test is motivated by the insignificant results in the instrumental variable (IV) regression using bond yield as the monetary policy variable. These insignificant results indicate a potential issue with the instrument's validity or its strength in capturing the variation in monetary policy that affects sales.</w:t>
      </w:r>
    </w:p>
    <w:p w14:paraId="7A1434CB" w14:textId="68C788A6" w:rsidR="00472214" w:rsidRPr="00DE19B8" w:rsidRDefault="010E8A0A" w:rsidP="00D92A30">
      <w:pPr>
        <w:spacing w:before="240" w:after="240"/>
        <w:ind w:firstLine="420"/>
        <w:rPr>
          <w:rFonts w:eastAsiaTheme="minorEastAsia"/>
          <w:sz w:val="24"/>
          <w:szCs w:val="24"/>
        </w:rPr>
      </w:pPr>
      <w:r w:rsidRPr="00DE19B8">
        <w:rPr>
          <w:sz w:val="24"/>
          <w:szCs w:val="24"/>
        </w:rPr>
        <w:t>The Granger causality test in the falsification test framework provides additional evidence about the validity of the Google search index as an instrument. The insignificant results in the IV regression suggest that the Google search index may not be a suitable instrument for capturing the causal effect of monetary policy on sales, either due to weak instrument issues or concerns about its exogeneity.</w:t>
      </w:r>
    </w:p>
    <w:p w14:paraId="7B44D5AB" w14:textId="77777777" w:rsidR="008A2D7F" w:rsidRPr="008A2D7F" w:rsidRDefault="00BB2611" w:rsidP="0097725E">
      <w:pPr>
        <w:pStyle w:val="Heading1"/>
        <w:snapToGrid w:val="0"/>
        <w:spacing w:before="0" w:after="0" w:line="360" w:lineRule="auto"/>
        <w:jc w:val="left"/>
        <w:rPr>
          <w:rFonts w:eastAsia="DengXian"/>
          <w:sz w:val="28"/>
          <w:szCs w:val="28"/>
        </w:rPr>
      </w:pPr>
      <w:r>
        <w:rPr>
          <w:rFonts w:eastAsia="DengXian" w:hint="eastAsia"/>
          <w:sz w:val="28"/>
          <w:szCs w:val="28"/>
        </w:rPr>
        <w:t>VIII. Discussion</w:t>
      </w:r>
    </w:p>
    <w:p w14:paraId="004AF136" w14:textId="1B4BC817" w:rsidR="002E72D7" w:rsidRPr="002E72D7" w:rsidRDefault="002E72D7" w:rsidP="00D92A30">
      <w:pPr>
        <w:spacing w:after="240"/>
        <w:ind w:firstLine="420"/>
        <w:rPr>
          <w:rFonts w:eastAsiaTheme="minorEastAsia"/>
          <w:sz w:val="24"/>
          <w:szCs w:val="24"/>
        </w:rPr>
      </w:pPr>
      <w:r w:rsidRPr="002E72D7">
        <w:rPr>
          <w:rFonts w:eastAsiaTheme="minorEastAsia"/>
          <w:sz w:val="24"/>
          <w:szCs w:val="24"/>
        </w:rPr>
        <w:t>Our findings carry some useful insights on the differential impacts of monetary policy on the commodity markets</w:t>
      </w:r>
      <w:r w:rsidR="008B657F">
        <w:rPr>
          <w:rFonts w:eastAsiaTheme="minorEastAsia" w:hint="eastAsia"/>
          <w:sz w:val="24"/>
          <w:szCs w:val="24"/>
        </w:rPr>
        <w:t xml:space="preserve"> - </w:t>
      </w:r>
      <w:r w:rsidR="008B657F" w:rsidRPr="004C6884">
        <w:rPr>
          <w:rFonts w:eastAsiaTheme="minorEastAsia" w:hint="eastAsia"/>
          <w:b/>
          <w:bCs/>
          <w:sz w:val="24"/>
          <w:szCs w:val="24"/>
        </w:rPr>
        <w:t>M</w:t>
      </w:r>
      <w:r w:rsidRPr="004C6884">
        <w:rPr>
          <w:rFonts w:eastAsiaTheme="minorEastAsia"/>
          <w:b/>
          <w:bCs/>
          <w:sz w:val="24"/>
          <w:szCs w:val="24"/>
        </w:rPr>
        <w:t>onetary policy strongly influences commodity prices while its influences on sales volume are weak.</w:t>
      </w:r>
      <w:r w:rsidRPr="002E72D7">
        <w:rPr>
          <w:rFonts w:eastAsiaTheme="minorEastAsia"/>
          <w:sz w:val="24"/>
          <w:szCs w:val="24"/>
        </w:rPr>
        <w:t xml:space="preserve"> This asymmetrical response pattern is in a confluence with both our theoretical framework and empirical results.</w:t>
      </w:r>
    </w:p>
    <w:p w14:paraId="67812B80" w14:textId="362BB6DB" w:rsidR="002E72D7" w:rsidRPr="002E72D7" w:rsidRDefault="002E72D7" w:rsidP="00D92A30">
      <w:pPr>
        <w:spacing w:after="240"/>
        <w:ind w:firstLine="420"/>
        <w:rPr>
          <w:rFonts w:eastAsiaTheme="minorEastAsia"/>
          <w:sz w:val="24"/>
          <w:szCs w:val="24"/>
        </w:rPr>
      </w:pPr>
      <w:r w:rsidRPr="002E72D7">
        <w:rPr>
          <w:rFonts w:eastAsiaTheme="minorEastAsia"/>
          <w:sz w:val="24"/>
          <w:szCs w:val="24"/>
        </w:rPr>
        <w:t>Two basic characteristics of commodity market structure are supported by our findings:</w:t>
      </w:r>
    </w:p>
    <w:p w14:paraId="6F190F20" w14:textId="1DD39BDC" w:rsidR="002E72D7" w:rsidRPr="002E72D7" w:rsidRDefault="002E72D7" w:rsidP="00D92A30">
      <w:pPr>
        <w:spacing w:after="240"/>
        <w:ind w:firstLine="420"/>
        <w:rPr>
          <w:rFonts w:eastAsiaTheme="minorEastAsia"/>
          <w:sz w:val="24"/>
          <w:szCs w:val="24"/>
        </w:rPr>
      </w:pPr>
      <w:r w:rsidRPr="004C6884">
        <w:rPr>
          <w:rFonts w:eastAsiaTheme="minorEastAsia"/>
          <w:b/>
          <w:bCs/>
          <w:sz w:val="24"/>
          <w:szCs w:val="24"/>
        </w:rPr>
        <w:t>1. Price Response:</w:t>
      </w:r>
      <w:r w:rsidRPr="002E72D7">
        <w:rPr>
          <w:rFonts w:eastAsiaTheme="minorEastAsia"/>
          <w:sz w:val="24"/>
          <w:szCs w:val="24"/>
        </w:rPr>
        <w:t xml:space="preserve"> The influence of monetary policy on commodity prices is substantial, as evidenced by our robust first-stage findings. This validates the efficacy of monetary transmission in impacting price levels within commodity markets.</w:t>
      </w:r>
    </w:p>
    <w:p w14:paraId="7F238C97" w14:textId="02B78A9F" w:rsidR="002E72D7" w:rsidRPr="002E72D7" w:rsidRDefault="002E72D7" w:rsidP="00D92A30">
      <w:pPr>
        <w:spacing w:after="240"/>
        <w:ind w:firstLine="420"/>
        <w:rPr>
          <w:rFonts w:eastAsiaTheme="minorEastAsia"/>
          <w:sz w:val="24"/>
          <w:szCs w:val="24"/>
        </w:rPr>
      </w:pPr>
      <w:r w:rsidRPr="004C6884">
        <w:rPr>
          <w:rFonts w:eastAsiaTheme="minorEastAsia"/>
          <w:b/>
          <w:bCs/>
          <w:sz w:val="24"/>
          <w:szCs w:val="24"/>
        </w:rPr>
        <w:t xml:space="preserve">2. Quantity Response: </w:t>
      </w:r>
      <w:r w:rsidRPr="002E72D7">
        <w:rPr>
          <w:rFonts w:eastAsiaTheme="minorEastAsia"/>
          <w:sz w:val="24"/>
          <w:szCs w:val="24"/>
        </w:rPr>
        <w:t>Sales volumes are extremely insensitive to changes in price, which in turn means that monetary policy has little impact on the real quantities transacted. Such insensitivity is indeed expected from commodity markets</w:t>
      </w:r>
      <w:r w:rsidR="001B6156">
        <w:rPr>
          <w:rFonts w:eastAsiaTheme="minorEastAsia" w:hint="eastAsia"/>
          <w:sz w:val="24"/>
          <w:szCs w:val="24"/>
        </w:rPr>
        <w:t xml:space="preserve"> - </w:t>
      </w:r>
      <w:r w:rsidRPr="002E72D7">
        <w:rPr>
          <w:rFonts w:eastAsiaTheme="minorEastAsia"/>
          <w:sz w:val="24"/>
          <w:szCs w:val="24"/>
        </w:rPr>
        <w:t>inelastic demand because commodities happen to be essential inputs, and elastic supply due to producers who can strategically alter their output.</w:t>
      </w:r>
    </w:p>
    <w:p w14:paraId="222A89C1" w14:textId="66542E8A" w:rsidR="002E72D7" w:rsidRDefault="002E72D7" w:rsidP="00D92A30">
      <w:pPr>
        <w:spacing w:after="240"/>
        <w:ind w:firstLine="420"/>
        <w:rPr>
          <w:rFonts w:eastAsiaTheme="minorEastAsia"/>
          <w:sz w:val="24"/>
          <w:szCs w:val="24"/>
        </w:rPr>
      </w:pPr>
      <w:r w:rsidRPr="002E72D7">
        <w:rPr>
          <w:rFonts w:eastAsiaTheme="minorEastAsia"/>
          <w:sz w:val="24"/>
          <w:szCs w:val="24"/>
        </w:rPr>
        <w:t xml:space="preserve">These findings have important policy implications: </w:t>
      </w:r>
    </w:p>
    <w:p w14:paraId="47538CF3" w14:textId="6DAA0697" w:rsidR="002E72D7" w:rsidRPr="002E72D7" w:rsidRDefault="002E72D7" w:rsidP="00D92A30">
      <w:pPr>
        <w:spacing w:after="240"/>
        <w:ind w:firstLine="420"/>
        <w:rPr>
          <w:rFonts w:eastAsiaTheme="minorEastAsia"/>
          <w:sz w:val="24"/>
          <w:szCs w:val="24"/>
        </w:rPr>
      </w:pPr>
      <w:r w:rsidRPr="004C6884">
        <w:rPr>
          <w:rFonts w:eastAsiaTheme="minorEastAsia"/>
          <w:b/>
          <w:bCs/>
          <w:sz w:val="24"/>
          <w:szCs w:val="24"/>
        </w:rPr>
        <w:t>1. Transmission of Monetary Policy:</w:t>
      </w:r>
      <w:r w:rsidRPr="002E72D7">
        <w:rPr>
          <w:rFonts w:eastAsiaTheme="minorEastAsia"/>
          <w:sz w:val="24"/>
          <w:szCs w:val="24"/>
        </w:rPr>
        <w:t xml:space="preserve"> Although monetary policy demonstrates efficacy in impacting commodity prices, its capacity to influence actual transaction volumes is constrained by inherent structural factors within the market.</w:t>
      </w:r>
    </w:p>
    <w:p w14:paraId="70AA7D8F" w14:textId="2F4D00A4" w:rsidR="002E72D7" w:rsidRPr="002E72D7" w:rsidRDefault="002E72D7" w:rsidP="00D92A30">
      <w:pPr>
        <w:spacing w:after="240"/>
        <w:ind w:firstLine="420"/>
        <w:rPr>
          <w:rFonts w:eastAsiaTheme="minorEastAsia"/>
          <w:sz w:val="24"/>
          <w:szCs w:val="24"/>
        </w:rPr>
      </w:pPr>
      <w:r w:rsidRPr="004C6884">
        <w:rPr>
          <w:rFonts w:eastAsiaTheme="minorEastAsia"/>
          <w:b/>
          <w:bCs/>
          <w:sz w:val="24"/>
          <w:szCs w:val="24"/>
        </w:rPr>
        <w:t xml:space="preserve">2. Policy Design: </w:t>
      </w:r>
      <w:r w:rsidRPr="002E72D7">
        <w:rPr>
          <w:rFonts w:eastAsiaTheme="minorEastAsia"/>
          <w:sz w:val="24"/>
          <w:szCs w:val="24"/>
        </w:rPr>
        <w:t>The government needs to acknowledge that monetary interference can be more efficient in stabilizing prices rather than in treating market disequilibrium.</w:t>
      </w:r>
    </w:p>
    <w:p w14:paraId="24EE5DB7" w14:textId="4386230F" w:rsidR="004D1F10" w:rsidRPr="00F940D1" w:rsidRDefault="00937089" w:rsidP="00D92A30">
      <w:pPr>
        <w:widowControl/>
        <w:spacing w:after="240"/>
        <w:ind w:firstLine="420"/>
        <w:jc w:val="left"/>
        <w:rPr>
          <w:rFonts w:eastAsiaTheme="minorEastAsia"/>
          <w:sz w:val="24"/>
          <w:szCs w:val="24"/>
        </w:rPr>
      </w:pPr>
      <w:r w:rsidRPr="00937089">
        <w:rPr>
          <w:rFonts w:eastAsiaTheme="minorEastAsia"/>
          <w:sz w:val="24"/>
          <w:szCs w:val="24"/>
        </w:rPr>
        <w:lastRenderedPageBreak/>
        <w:t>Future research should explore several promising directions. A deeper investigation of potential asymmetric responses to monetary tightening versus easing. Additionally, extending the analysis to a broader range of commodities would help test the generalizability of our findings</w:t>
      </w:r>
      <w:r w:rsidR="00DE19B8">
        <w:rPr>
          <w:rFonts w:eastAsiaTheme="minorEastAsia" w:hint="eastAsia"/>
          <w:sz w:val="24"/>
          <w:szCs w:val="24"/>
        </w:rPr>
        <w:t xml:space="preserve">. </w:t>
      </w:r>
      <w:r w:rsidR="00F45FF3">
        <w:rPr>
          <w:rFonts w:eastAsiaTheme="minorEastAsia" w:hint="eastAsia"/>
          <w:sz w:val="24"/>
          <w:szCs w:val="24"/>
        </w:rPr>
        <w:t>Finally, we</w:t>
      </w:r>
      <w:r w:rsidR="00F45FF3" w:rsidRPr="00F45FF3">
        <w:rPr>
          <w:rFonts w:eastAsiaTheme="minorEastAsia"/>
          <w:sz w:val="24"/>
          <w:szCs w:val="24"/>
        </w:rPr>
        <w:t xml:space="preserve"> could employ local projection methods combined with instrumental variables to better analyze the dynamic effects and address potential endogeneity concerns in the estimation of causal relationships. </w:t>
      </w:r>
      <w:r w:rsidR="00F940D1">
        <w:rPr>
          <w:sz w:val="24"/>
          <w:szCs w:val="24"/>
        </w:rPr>
        <w:br w:type="page"/>
      </w:r>
    </w:p>
    <w:p w14:paraId="77C7EE95" w14:textId="77777777" w:rsidR="004D1F10" w:rsidRPr="004D1F10" w:rsidRDefault="004D1F10" w:rsidP="003033B9">
      <w:pPr>
        <w:pStyle w:val="Heading1"/>
        <w:spacing w:before="0" w:after="0" w:line="360" w:lineRule="auto"/>
        <w:rPr>
          <w:rFonts w:eastAsia="DengXian"/>
          <w:sz w:val="28"/>
          <w:szCs w:val="28"/>
        </w:rPr>
      </w:pPr>
      <w:r w:rsidRPr="004D1F10">
        <w:rPr>
          <w:rFonts w:eastAsia="DengXian"/>
          <w:sz w:val="28"/>
          <w:szCs w:val="28"/>
        </w:rPr>
        <w:lastRenderedPageBreak/>
        <w:t>Reference</w:t>
      </w:r>
    </w:p>
    <w:p w14:paraId="4C18BB6C" w14:textId="77777777" w:rsidR="004D1F10" w:rsidRDefault="004D1F10" w:rsidP="004D1F10">
      <w:pPr>
        <w:rPr>
          <w:rFonts w:eastAsia="DengXian"/>
          <w:sz w:val="24"/>
          <w:szCs w:val="24"/>
        </w:rPr>
      </w:pPr>
    </w:p>
    <w:p w14:paraId="6BDAEA49" w14:textId="77777777" w:rsidR="004D1F10" w:rsidRDefault="004D1F10" w:rsidP="004D1F10">
      <w:r w:rsidRPr="4B44B9F1">
        <w:rPr>
          <w:sz w:val="24"/>
          <w:szCs w:val="24"/>
        </w:rPr>
        <w:t xml:space="preserve">Eggertsson, G. B., &amp; Woodford, M. (2003). The Zero Bound on Interest Rates and Optimal Monetary Policy. </w:t>
      </w:r>
      <w:r w:rsidRPr="4B44B9F1">
        <w:rPr>
          <w:i/>
          <w:iCs/>
          <w:sz w:val="24"/>
          <w:szCs w:val="24"/>
        </w:rPr>
        <w:t>Brookings Papers on Economic Activity</w:t>
      </w:r>
      <w:r w:rsidRPr="4B44B9F1">
        <w:rPr>
          <w:sz w:val="24"/>
          <w:szCs w:val="24"/>
        </w:rPr>
        <w:t xml:space="preserve">, </w:t>
      </w:r>
      <w:r w:rsidRPr="4B44B9F1">
        <w:rPr>
          <w:i/>
          <w:iCs/>
          <w:sz w:val="24"/>
          <w:szCs w:val="24"/>
        </w:rPr>
        <w:t>2003</w:t>
      </w:r>
      <w:r w:rsidRPr="4B44B9F1">
        <w:rPr>
          <w:sz w:val="24"/>
          <w:szCs w:val="24"/>
        </w:rPr>
        <w:t xml:space="preserve">(1), 139–211. </w:t>
      </w:r>
      <w:hyperlink r:id="rId9">
        <w:r w:rsidRPr="4B44B9F1">
          <w:rPr>
            <w:rStyle w:val="Hyperlink"/>
            <w:color w:val="0000FF"/>
            <w:sz w:val="24"/>
            <w:szCs w:val="24"/>
          </w:rPr>
          <w:t>https://doi.org/10.1353/eca.2003.0010</w:t>
        </w:r>
      </w:hyperlink>
    </w:p>
    <w:p w14:paraId="485ADA5F" w14:textId="77777777" w:rsidR="004D1F10" w:rsidRDefault="004D1F10" w:rsidP="004D1F10">
      <w:r w:rsidRPr="4B44B9F1">
        <w:rPr>
          <w:sz w:val="24"/>
          <w:szCs w:val="24"/>
        </w:rPr>
        <w:t xml:space="preserve"> </w:t>
      </w:r>
    </w:p>
    <w:p w14:paraId="60783F0F" w14:textId="77777777" w:rsidR="004D1F10" w:rsidRDefault="004D1F10" w:rsidP="004D1F10">
      <w:r w:rsidRPr="4B44B9F1">
        <w:rPr>
          <w:sz w:val="24"/>
          <w:szCs w:val="24"/>
        </w:rPr>
        <w:t xml:space="preserve">Feenstra, R. C. (1986). Functional equivalence between liquidity costs and the utility of money. Journal of Monetary Economics, 17(2), 271–291. </w:t>
      </w:r>
      <w:hyperlink r:id="rId10">
        <w:r w:rsidRPr="4B44B9F1">
          <w:rPr>
            <w:rStyle w:val="Hyperlink"/>
            <w:color w:val="0000FF"/>
            <w:sz w:val="24"/>
            <w:szCs w:val="24"/>
          </w:rPr>
          <w:t>https://doi.org/10.1016/0304-3932(86)90032-2</w:t>
        </w:r>
      </w:hyperlink>
    </w:p>
    <w:p w14:paraId="00180668" w14:textId="77777777" w:rsidR="004D1F10" w:rsidRDefault="004D1F10" w:rsidP="004D1F10">
      <w:r w:rsidRPr="4B44B9F1">
        <w:rPr>
          <w:sz w:val="24"/>
          <w:szCs w:val="24"/>
        </w:rPr>
        <w:t xml:space="preserve"> </w:t>
      </w:r>
    </w:p>
    <w:p w14:paraId="34BA8319" w14:textId="77777777" w:rsidR="004D1F10" w:rsidRDefault="004D1F10" w:rsidP="004D1F10">
      <w:r w:rsidRPr="4B44B9F1">
        <w:rPr>
          <w:sz w:val="24"/>
          <w:szCs w:val="24"/>
        </w:rPr>
        <w:t xml:space="preserve">Lucas, R. E., &amp; Stokey, N. L. (1987). Money and Interest in a Cash-in-Advance Economy. </w:t>
      </w:r>
      <w:proofErr w:type="spellStart"/>
      <w:r w:rsidRPr="4B44B9F1">
        <w:rPr>
          <w:i/>
          <w:iCs/>
          <w:sz w:val="24"/>
          <w:szCs w:val="24"/>
        </w:rPr>
        <w:t>Econometrica</w:t>
      </w:r>
      <w:proofErr w:type="spellEnd"/>
      <w:r w:rsidRPr="4B44B9F1">
        <w:rPr>
          <w:sz w:val="24"/>
          <w:szCs w:val="24"/>
        </w:rPr>
        <w:t xml:space="preserve">, </w:t>
      </w:r>
      <w:r w:rsidRPr="4B44B9F1">
        <w:rPr>
          <w:i/>
          <w:iCs/>
          <w:sz w:val="24"/>
          <w:szCs w:val="24"/>
        </w:rPr>
        <w:t>55</w:t>
      </w:r>
      <w:r w:rsidRPr="4B44B9F1">
        <w:rPr>
          <w:sz w:val="24"/>
          <w:szCs w:val="24"/>
        </w:rPr>
        <w:t xml:space="preserve">(3), 491–513. </w:t>
      </w:r>
      <w:hyperlink r:id="rId11">
        <w:r w:rsidRPr="4B44B9F1">
          <w:rPr>
            <w:rStyle w:val="Hyperlink"/>
            <w:color w:val="0000FF"/>
            <w:sz w:val="24"/>
            <w:szCs w:val="24"/>
          </w:rPr>
          <w:t>https://doi.org/10.2307/1913597</w:t>
        </w:r>
      </w:hyperlink>
    </w:p>
    <w:p w14:paraId="72441C37" w14:textId="77777777" w:rsidR="004D1F10" w:rsidRDefault="004D1F10" w:rsidP="004D1F10">
      <w:r w:rsidRPr="4B44B9F1">
        <w:rPr>
          <w:sz w:val="24"/>
          <w:szCs w:val="24"/>
        </w:rPr>
        <w:t xml:space="preserve"> </w:t>
      </w:r>
    </w:p>
    <w:p w14:paraId="39FB520E" w14:textId="77777777" w:rsidR="004D1F10" w:rsidRDefault="004D1F10" w:rsidP="004D1F10">
      <w:proofErr w:type="spellStart"/>
      <w:r w:rsidRPr="4B44B9F1">
        <w:rPr>
          <w:sz w:val="24"/>
          <w:szCs w:val="24"/>
        </w:rPr>
        <w:t>Mogliani</w:t>
      </w:r>
      <w:proofErr w:type="spellEnd"/>
      <w:r w:rsidRPr="4B44B9F1">
        <w:rPr>
          <w:sz w:val="24"/>
          <w:szCs w:val="24"/>
        </w:rPr>
        <w:t xml:space="preserve">, M., &amp; Urga, G. (2018). On the instability of long-run money demand and the welfare cost of inflation in the United States. Journal of Money, Credit and Banking, 50(7), 1645–1660. </w:t>
      </w:r>
      <w:hyperlink r:id="rId12">
        <w:r w:rsidRPr="4B44B9F1">
          <w:rPr>
            <w:rStyle w:val="Hyperlink"/>
            <w:color w:val="0000FF"/>
            <w:sz w:val="24"/>
            <w:szCs w:val="24"/>
          </w:rPr>
          <w:t>https://doi.org/10.1111/jmcb.12480</w:t>
        </w:r>
      </w:hyperlink>
    </w:p>
    <w:p w14:paraId="7987C876" w14:textId="77777777" w:rsidR="004D1F10" w:rsidRDefault="004D1F10" w:rsidP="004D1F10">
      <w:r w:rsidRPr="4B44B9F1">
        <w:rPr>
          <w:sz w:val="24"/>
          <w:szCs w:val="24"/>
        </w:rPr>
        <w:t xml:space="preserve"> </w:t>
      </w:r>
    </w:p>
    <w:p w14:paraId="69224DDA" w14:textId="77777777" w:rsidR="004D1F10" w:rsidRPr="004306B2" w:rsidRDefault="004D1F10" w:rsidP="004D1F10">
      <w:pPr>
        <w:spacing w:before="100" w:after="100"/>
        <w:rPr>
          <w:rFonts w:eastAsiaTheme="minorEastAsia"/>
        </w:rPr>
      </w:pPr>
      <w:proofErr w:type="spellStart"/>
      <w:r w:rsidRPr="4B44B9F1">
        <w:rPr>
          <w:sz w:val="24"/>
          <w:szCs w:val="24"/>
        </w:rPr>
        <w:t>Sidrauski</w:t>
      </w:r>
      <w:proofErr w:type="spellEnd"/>
      <w:r w:rsidRPr="4B44B9F1">
        <w:rPr>
          <w:sz w:val="24"/>
          <w:szCs w:val="24"/>
        </w:rPr>
        <w:t xml:space="preserve">, M. (1967). Rational Choice and Patterns of Growth in a Monetary Economy. The American Economic Review, 57(2), 534–544. </w:t>
      </w:r>
      <w:hyperlink r:id="rId13">
        <w:r w:rsidRPr="4B44B9F1">
          <w:rPr>
            <w:rStyle w:val="Hyperlink"/>
            <w:color w:val="0000FF"/>
            <w:sz w:val="24"/>
            <w:szCs w:val="24"/>
          </w:rPr>
          <w:t>http://www.jstor.org/stable/1821653</w:t>
        </w:r>
      </w:hyperlink>
    </w:p>
    <w:p w14:paraId="7115D087" w14:textId="393E457F" w:rsidR="008A2D7F" w:rsidRPr="004D1F10" w:rsidRDefault="003033B9" w:rsidP="004D1F10">
      <w:pPr>
        <w:widowControl/>
        <w:jc w:val="left"/>
        <w:rPr>
          <w:rFonts w:eastAsiaTheme="minorEastAsia"/>
          <w:sz w:val="24"/>
          <w:szCs w:val="24"/>
        </w:rPr>
      </w:pPr>
      <w:r>
        <w:rPr>
          <w:rFonts w:eastAsiaTheme="minorEastAsia"/>
          <w:sz w:val="24"/>
          <w:szCs w:val="24"/>
        </w:rPr>
        <w:br w:type="page"/>
      </w:r>
    </w:p>
    <w:p w14:paraId="2075651C" w14:textId="10813386" w:rsidR="68E212A9" w:rsidRDefault="4F83BE28" w:rsidP="528F6CE6">
      <w:pPr>
        <w:pStyle w:val="Heading1"/>
        <w:spacing w:before="0" w:after="0" w:line="360" w:lineRule="auto"/>
        <w:jc w:val="left"/>
        <w:rPr>
          <w:rFonts w:eastAsia="DengXian"/>
          <w:sz w:val="28"/>
          <w:szCs w:val="28"/>
        </w:rPr>
      </w:pPr>
      <w:r w:rsidRPr="528F6CE6">
        <w:rPr>
          <w:rFonts w:eastAsia="DengXian"/>
          <w:sz w:val="28"/>
          <w:szCs w:val="28"/>
        </w:rPr>
        <w:lastRenderedPageBreak/>
        <w:t>Appendix</w:t>
      </w:r>
    </w:p>
    <w:tbl>
      <w:tblPr>
        <w:tblW w:w="0" w:type="auto"/>
        <w:tblInd w:w="-142" w:type="dxa"/>
        <w:tblLayout w:type="fixed"/>
        <w:tblLook w:val="06A0" w:firstRow="1" w:lastRow="0" w:firstColumn="1" w:lastColumn="0" w:noHBand="1" w:noVBand="1"/>
      </w:tblPr>
      <w:tblGrid>
        <w:gridCol w:w="1608"/>
        <w:gridCol w:w="1173"/>
        <w:gridCol w:w="1121"/>
        <w:gridCol w:w="1173"/>
        <w:gridCol w:w="1120"/>
        <w:gridCol w:w="1120"/>
        <w:gridCol w:w="1121"/>
      </w:tblGrid>
      <w:tr w:rsidR="529CE946" w14:paraId="77C9393A" w14:textId="77777777" w:rsidTr="002F3948">
        <w:trPr>
          <w:trHeight w:val="300"/>
        </w:trPr>
        <w:tc>
          <w:tcPr>
            <w:tcW w:w="1608" w:type="dxa"/>
            <w:tcBorders>
              <w:top w:val="single" w:sz="8" w:space="0" w:color="auto"/>
              <w:left w:val="nil"/>
              <w:bottom w:val="nil"/>
              <w:right w:val="nil"/>
            </w:tcBorders>
            <w:tcMar>
              <w:left w:w="108" w:type="dxa"/>
              <w:right w:w="108" w:type="dxa"/>
            </w:tcMar>
          </w:tcPr>
          <w:p w14:paraId="13168AA1" w14:textId="41B8BC4B" w:rsidR="529CE946" w:rsidRDefault="529CE946" w:rsidP="529CE946">
            <w:pPr>
              <w:rPr>
                <w:sz w:val="22"/>
                <w:szCs w:val="22"/>
              </w:rPr>
            </w:pPr>
          </w:p>
        </w:tc>
        <w:tc>
          <w:tcPr>
            <w:tcW w:w="1173" w:type="dxa"/>
            <w:tcBorders>
              <w:top w:val="single" w:sz="8" w:space="0" w:color="auto"/>
              <w:left w:val="nil"/>
              <w:bottom w:val="nil"/>
              <w:right w:val="nil"/>
            </w:tcBorders>
            <w:tcMar>
              <w:left w:w="108" w:type="dxa"/>
              <w:right w:w="108" w:type="dxa"/>
            </w:tcMar>
          </w:tcPr>
          <w:p w14:paraId="7F1826F9" w14:textId="31CA28DF" w:rsidR="529CE946" w:rsidRDefault="529CE946" w:rsidP="529CE946">
            <w:pPr>
              <w:jc w:val="center"/>
              <w:rPr>
                <w:sz w:val="22"/>
                <w:szCs w:val="22"/>
              </w:rPr>
            </w:pPr>
            <w:r w:rsidRPr="529CE946">
              <w:rPr>
                <w:sz w:val="22"/>
                <w:szCs w:val="22"/>
              </w:rPr>
              <w:t>(</w:t>
            </w:r>
            <w:r w:rsidR="60204B25" w:rsidRPr="60204B25">
              <w:rPr>
                <w:sz w:val="22"/>
                <w:szCs w:val="22"/>
              </w:rPr>
              <w:t>1)</w:t>
            </w:r>
          </w:p>
        </w:tc>
        <w:tc>
          <w:tcPr>
            <w:tcW w:w="1121" w:type="dxa"/>
            <w:tcBorders>
              <w:top w:val="single" w:sz="8" w:space="0" w:color="auto"/>
              <w:left w:val="nil"/>
              <w:bottom w:val="nil"/>
              <w:right w:val="nil"/>
            </w:tcBorders>
            <w:tcMar>
              <w:left w:w="108" w:type="dxa"/>
              <w:right w:w="108" w:type="dxa"/>
            </w:tcMar>
          </w:tcPr>
          <w:p w14:paraId="2C707B81" w14:textId="12B4FF60" w:rsidR="529CE946" w:rsidRDefault="60204B25" w:rsidP="529CE946">
            <w:pPr>
              <w:jc w:val="center"/>
              <w:rPr>
                <w:sz w:val="22"/>
                <w:szCs w:val="22"/>
              </w:rPr>
            </w:pPr>
            <w:r w:rsidRPr="60204B25">
              <w:rPr>
                <w:sz w:val="22"/>
                <w:szCs w:val="22"/>
              </w:rPr>
              <w:t>(</w:t>
            </w:r>
            <w:r w:rsidR="5283FC71" w:rsidRPr="5283FC71">
              <w:rPr>
                <w:sz w:val="22"/>
                <w:szCs w:val="22"/>
              </w:rPr>
              <w:t>2)</w:t>
            </w:r>
          </w:p>
        </w:tc>
        <w:tc>
          <w:tcPr>
            <w:tcW w:w="1173" w:type="dxa"/>
            <w:tcBorders>
              <w:top w:val="single" w:sz="8" w:space="0" w:color="auto"/>
              <w:left w:val="nil"/>
              <w:bottom w:val="nil"/>
              <w:right w:val="nil"/>
            </w:tcBorders>
            <w:tcMar>
              <w:left w:w="108" w:type="dxa"/>
              <w:right w:w="108" w:type="dxa"/>
            </w:tcMar>
          </w:tcPr>
          <w:p w14:paraId="1BBD7367" w14:textId="5AC14E80" w:rsidR="529CE946" w:rsidRDefault="5283FC71" w:rsidP="529CE946">
            <w:pPr>
              <w:jc w:val="center"/>
              <w:rPr>
                <w:sz w:val="22"/>
                <w:szCs w:val="22"/>
              </w:rPr>
            </w:pPr>
            <w:r w:rsidRPr="5283FC71">
              <w:rPr>
                <w:sz w:val="22"/>
                <w:szCs w:val="22"/>
              </w:rPr>
              <w:t>(</w:t>
            </w:r>
            <w:r w:rsidR="41C673B1" w:rsidRPr="41C673B1">
              <w:rPr>
                <w:sz w:val="22"/>
                <w:szCs w:val="22"/>
              </w:rPr>
              <w:t>3)</w:t>
            </w:r>
          </w:p>
        </w:tc>
        <w:tc>
          <w:tcPr>
            <w:tcW w:w="1120" w:type="dxa"/>
            <w:tcBorders>
              <w:top w:val="single" w:sz="8" w:space="0" w:color="auto"/>
              <w:left w:val="nil"/>
              <w:bottom w:val="nil"/>
              <w:right w:val="nil"/>
            </w:tcBorders>
            <w:tcMar>
              <w:left w:w="108" w:type="dxa"/>
              <w:right w:w="108" w:type="dxa"/>
            </w:tcMar>
          </w:tcPr>
          <w:p w14:paraId="1B20EF17" w14:textId="31FC520B" w:rsidR="529CE946" w:rsidRDefault="41C673B1" w:rsidP="529CE946">
            <w:pPr>
              <w:jc w:val="center"/>
              <w:rPr>
                <w:sz w:val="22"/>
                <w:szCs w:val="22"/>
              </w:rPr>
            </w:pPr>
            <w:r w:rsidRPr="41C673B1">
              <w:rPr>
                <w:sz w:val="22"/>
                <w:szCs w:val="22"/>
              </w:rPr>
              <w:t>(4)</w:t>
            </w:r>
          </w:p>
        </w:tc>
        <w:tc>
          <w:tcPr>
            <w:tcW w:w="1120" w:type="dxa"/>
            <w:tcBorders>
              <w:top w:val="single" w:sz="8" w:space="0" w:color="auto"/>
              <w:left w:val="nil"/>
              <w:bottom w:val="nil"/>
              <w:right w:val="nil"/>
            </w:tcBorders>
            <w:tcMar>
              <w:left w:w="108" w:type="dxa"/>
              <w:right w:w="108" w:type="dxa"/>
            </w:tcMar>
          </w:tcPr>
          <w:p w14:paraId="1DF32861" w14:textId="4521E1CF" w:rsidR="529CE946" w:rsidRDefault="41C673B1" w:rsidP="529CE946">
            <w:pPr>
              <w:jc w:val="center"/>
              <w:rPr>
                <w:sz w:val="22"/>
                <w:szCs w:val="22"/>
              </w:rPr>
            </w:pPr>
            <w:r w:rsidRPr="41C673B1">
              <w:rPr>
                <w:sz w:val="22"/>
                <w:szCs w:val="22"/>
              </w:rPr>
              <w:t>(5)</w:t>
            </w:r>
          </w:p>
        </w:tc>
        <w:tc>
          <w:tcPr>
            <w:tcW w:w="1121" w:type="dxa"/>
            <w:tcBorders>
              <w:top w:val="single" w:sz="8" w:space="0" w:color="auto"/>
              <w:left w:val="nil"/>
              <w:bottom w:val="nil"/>
              <w:right w:val="nil"/>
            </w:tcBorders>
            <w:tcMar>
              <w:left w:w="108" w:type="dxa"/>
              <w:right w:w="108" w:type="dxa"/>
            </w:tcMar>
          </w:tcPr>
          <w:p w14:paraId="046B9C97" w14:textId="78CF6B26" w:rsidR="529CE946" w:rsidRDefault="41C673B1" w:rsidP="529CE946">
            <w:pPr>
              <w:jc w:val="center"/>
              <w:rPr>
                <w:sz w:val="22"/>
                <w:szCs w:val="22"/>
              </w:rPr>
            </w:pPr>
            <w:r w:rsidRPr="41C673B1">
              <w:rPr>
                <w:sz w:val="22"/>
                <w:szCs w:val="22"/>
              </w:rPr>
              <w:t>(</w:t>
            </w:r>
            <w:r w:rsidR="2A465E9B" w:rsidRPr="2A465E9B">
              <w:rPr>
                <w:sz w:val="22"/>
                <w:szCs w:val="22"/>
              </w:rPr>
              <w:t>6)</w:t>
            </w:r>
          </w:p>
        </w:tc>
      </w:tr>
      <w:tr w:rsidR="285882C8" w14:paraId="25642AC2" w14:textId="77777777" w:rsidTr="002F3948">
        <w:trPr>
          <w:trHeight w:val="300"/>
        </w:trPr>
        <w:tc>
          <w:tcPr>
            <w:tcW w:w="1608" w:type="dxa"/>
            <w:tcBorders>
              <w:top w:val="single" w:sz="8" w:space="0" w:color="auto"/>
              <w:left w:val="nil"/>
              <w:bottom w:val="nil"/>
              <w:right w:val="nil"/>
            </w:tcBorders>
            <w:tcMar>
              <w:left w:w="108" w:type="dxa"/>
              <w:right w:w="108" w:type="dxa"/>
            </w:tcMar>
          </w:tcPr>
          <w:p w14:paraId="49DB5F84" w14:textId="3E9052E4" w:rsidR="285882C8" w:rsidRDefault="285882C8" w:rsidP="285882C8">
            <w:pPr>
              <w:rPr>
                <w:sz w:val="22"/>
                <w:szCs w:val="22"/>
              </w:rPr>
            </w:pPr>
          </w:p>
        </w:tc>
        <w:tc>
          <w:tcPr>
            <w:tcW w:w="1173" w:type="dxa"/>
            <w:tcBorders>
              <w:top w:val="single" w:sz="8" w:space="0" w:color="auto"/>
              <w:left w:val="nil"/>
              <w:bottom w:val="nil"/>
              <w:right w:val="nil"/>
            </w:tcBorders>
            <w:tcMar>
              <w:left w:w="108" w:type="dxa"/>
              <w:right w:w="108" w:type="dxa"/>
            </w:tcMar>
          </w:tcPr>
          <w:p w14:paraId="3205178E" w14:textId="426FBE6F" w:rsidR="285882C8" w:rsidRDefault="285882C8" w:rsidP="285882C8">
            <w:pPr>
              <w:jc w:val="center"/>
            </w:pPr>
            <w:r w:rsidRPr="285882C8">
              <w:rPr>
                <w:sz w:val="22"/>
                <w:szCs w:val="22"/>
              </w:rPr>
              <w:t>First stage</w:t>
            </w:r>
          </w:p>
        </w:tc>
        <w:tc>
          <w:tcPr>
            <w:tcW w:w="1121" w:type="dxa"/>
            <w:tcBorders>
              <w:top w:val="single" w:sz="8" w:space="0" w:color="auto"/>
              <w:left w:val="nil"/>
              <w:bottom w:val="nil"/>
              <w:right w:val="nil"/>
            </w:tcBorders>
            <w:tcMar>
              <w:left w:w="108" w:type="dxa"/>
              <w:right w:w="108" w:type="dxa"/>
            </w:tcMar>
          </w:tcPr>
          <w:p w14:paraId="38508A1A" w14:textId="41B7405F" w:rsidR="285882C8" w:rsidRDefault="285882C8" w:rsidP="285882C8">
            <w:pPr>
              <w:jc w:val="center"/>
            </w:pPr>
            <w:r w:rsidRPr="285882C8">
              <w:rPr>
                <w:sz w:val="22"/>
                <w:szCs w:val="22"/>
              </w:rPr>
              <w:t>Exclusion</w:t>
            </w:r>
          </w:p>
        </w:tc>
        <w:tc>
          <w:tcPr>
            <w:tcW w:w="1173" w:type="dxa"/>
            <w:tcBorders>
              <w:top w:val="single" w:sz="8" w:space="0" w:color="auto"/>
              <w:left w:val="nil"/>
              <w:bottom w:val="nil"/>
              <w:right w:val="nil"/>
            </w:tcBorders>
            <w:tcMar>
              <w:left w:w="108" w:type="dxa"/>
              <w:right w:w="108" w:type="dxa"/>
            </w:tcMar>
          </w:tcPr>
          <w:p w14:paraId="6F9A54A4" w14:textId="14BAFF2A" w:rsidR="285882C8" w:rsidRDefault="285882C8" w:rsidP="285882C8">
            <w:pPr>
              <w:jc w:val="center"/>
            </w:pPr>
            <w:r w:rsidRPr="285882C8">
              <w:rPr>
                <w:sz w:val="22"/>
                <w:szCs w:val="22"/>
              </w:rPr>
              <w:t>First stage</w:t>
            </w:r>
          </w:p>
        </w:tc>
        <w:tc>
          <w:tcPr>
            <w:tcW w:w="1120" w:type="dxa"/>
            <w:tcBorders>
              <w:top w:val="single" w:sz="8" w:space="0" w:color="auto"/>
              <w:left w:val="nil"/>
              <w:bottom w:val="nil"/>
              <w:right w:val="nil"/>
            </w:tcBorders>
            <w:tcMar>
              <w:left w:w="108" w:type="dxa"/>
              <w:right w:w="108" w:type="dxa"/>
            </w:tcMar>
          </w:tcPr>
          <w:p w14:paraId="3897BB52" w14:textId="6D084EF7" w:rsidR="285882C8" w:rsidRDefault="285882C8" w:rsidP="285882C8">
            <w:pPr>
              <w:jc w:val="center"/>
            </w:pPr>
            <w:r w:rsidRPr="285882C8">
              <w:rPr>
                <w:sz w:val="22"/>
                <w:szCs w:val="22"/>
              </w:rPr>
              <w:t>Exclusion</w:t>
            </w:r>
          </w:p>
        </w:tc>
        <w:tc>
          <w:tcPr>
            <w:tcW w:w="1120" w:type="dxa"/>
            <w:tcBorders>
              <w:top w:val="single" w:sz="8" w:space="0" w:color="auto"/>
              <w:left w:val="nil"/>
              <w:bottom w:val="nil"/>
              <w:right w:val="nil"/>
            </w:tcBorders>
            <w:tcMar>
              <w:left w:w="108" w:type="dxa"/>
              <w:right w:w="108" w:type="dxa"/>
            </w:tcMar>
          </w:tcPr>
          <w:p w14:paraId="74B9047A" w14:textId="3FE801F9" w:rsidR="285882C8" w:rsidRDefault="285882C8" w:rsidP="285882C8">
            <w:pPr>
              <w:jc w:val="center"/>
            </w:pPr>
            <w:r w:rsidRPr="285882C8">
              <w:rPr>
                <w:sz w:val="22"/>
                <w:szCs w:val="22"/>
              </w:rPr>
              <w:t>2SLS</w:t>
            </w:r>
          </w:p>
        </w:tc>
        <w:tc>
          <w:tcPr>
            <w:tcW w:w="1121" w:type="dxa"/>
            <w:tcBorders>
              <w:top w:val="single" w:sz="8" w:space="0" w:color="auto"/>
              <w:left w:val="nil"/>
              <w:bottom w:val="nil"/>
              <w:right w:val="nil"/>
            </w:tcBorders>
            <w:tcMar>
              <w:left w:w="108" w:type="dxa"/>
              <w:right w:w="108" w:type="dxa"/>
            </w:tcMar>
          </w:tcPr>
          <w:p w14:paraId="1A66DAD7" w14:textId="4708F46F" w:rsidR="285882C8" w:rsidRDefault="285882C8" w:rsidP="285882C8">
            <w:pPr>
              <w:jc w:val="center"/>
            </w:pPr>
            <w:r w:rsidRPr="285882C8">
              <w:rPr>
                <w:sz w:val="22"/>
                <w:szCs w:val="22"/>
              </w:rPr>
              <w:t>GMM</w:t>
            </w:r>
          </w:p>
        </w:tc>
      </w:tr>
      <w:tr w:rsidR="285882C8" w14:paraId="2C2FA707" w14:textId="77777777" w:rsidTr="002F3948">
        <w:trPr>
          <w:trHeight w:val="300"/>
        </w:trPr>
        <w:tc>
          <w:tcPr>
            <w:tcW w:w="1608" w:type="dxa"/>
            <w:tcMar>
              <w:left w:w="108" w:type="dxa"/>
              <w:right w:w="108" w:type="dxa"/>
            </w:tcMar>
          </w:tcPr>
          <w:p w14:paraId="24965282" w14:textId="14DBD8ED" w:rsidR="285882C8" w:rsidRDefault="285882C8" w:rsidP="285882C8">
            <w:r w:rsidRPr="285882C8">
              <w:rPr>
                <w:sz w:val="22"/>
                <w:szCs w:val="22"/>
              </w:rPr>
              <w:t xml:space="preserve"> </w:t>
            </w:r>
          </w:p>
        </w:tc>
        <w:tc>
          <w:tcPr>
            <w:tcW w:w="1173" w:type="dxa"/>
            <w:tcMar>
              <w:left w:w="108" w:type="dxa"/>
              <w:right w:w="108" w:type="dxa"/>
            </w:tcMar>
          </w:tcPr>
          <w:p w14:paraId="34793319" w14:textId="55438714" w:rsidR="285882C8" w:rsidRDefault="285882C8" w:rsidP="285882C8">
            <w:pPr>
              <w:jc w:val="center"/>
            </w:pPr>
            <w:proofErr w:type="spellStart"/>
            <w:r w:rsidRPr="285882C8">
              <w:rPr>
                <w:sz w:val="22"/>
                <w:szCs w:val="22"/>
              </w:rPr>
              <w:t>D.logoilprice</w:t>
            </w:r>
            <w:proofErr w:type="spellEnd"/>
          </w:p>
        </w:tc>
        <w:tc>
          <w:tcPr>
            <w:tcW w:w="1121" w:type="dxa"/>
            <w:tcMar>
              <w:left w:w="108" w:type="dxa"/>
              <w:right w:w="108" w:type="dxa"/>
            </w:tcMar>
          </w:tcPr>
          <w:p w14:paraId="17946EB2" w14:textId="333C7AFC" w:rsidR="285882C8" w:rsidRDefault="285882C8" w:rsidP="285882C8">
            <w:pPr>
              <w:jc w:val="center"/>
            </w:pPr>
            <w:proofErr w:type="spellStart"/>
            <w:r w:rsidRPr="285882C8">
              <w:rPr>
                <w:sz w:val="22"/>
                <w:szCs w:val="22"/>
              </w:rPr>
              <w:t>D.logoilsale</w:t>
            </w:r>
            <w:proofErr w:type="spellEnd"/>
          </w:p>
        </w:tc>
        <w:tc>
          <w:tcPr>
            <w:tcW w:w="1173" w:type="dxa"/>
            <w:tcMar>
              <w:left w:w="108" w:type="dxa"/>
              <w:right w:w="108" w:type="dxa"/>
            </w:tcMar>
          </w:tcPr>
          <w:p w14:paraId="0C4E69FB" w14:textId="5B9DFF3F" w:rsidR="285882C8" w:rsidRDefault="285882C8" w:rsidP="285882C8">
            <w:pPr>
              <w:jc w:val="center"/>
            </w:pPr>
            <w:proofErr w:type="spellStart"/>
            <w:r w:rsidRPr="285882C8">
              <w:rPr>
                <w:sz w:val="22"/>
                <w:szCs w:val="22"/>
              </w:rPr>
              <w:t>D.logoilprice</w:t>
            </w:r>
            <w:proofErr w:type="spellEnd"/>
          </w:p>
        </w:tc>
        <w:tc>
          <w:tcPr>
            <w:tcW w:w="1120" w:type="dxa"/>
            <w:tcMar>
              <w:left w:w="108" w:type="dxa"/>
              <w:right w:w="108" w:type="dxa"/>
            </w:tcMar>
          </w:tcPr>
          <w:p w14:paraId="5E74B23F" w14:textId="662AF5BD" w:rsidR="285882C8" w:rsidRDefault="285882C8" w:rsidP="285882C8">
            <w:pPr>
              <w:jc w:val="center"/>
            </w:pPr>
            <w:proofErr w:type="spellStart"/>
            <w:r w:rsidRPr="285882C8">
              <w:rPr>
                <w:sz w:val="22"/>
                <w:szCs w:val="22"/>
              </w:rPr>
              <w:t>D.logoilsale</w:t>
            </w:r>
            <w:proofErr w:type="spellEnd"/>
          </w:p>
        </w:tc>
        <w:tc>
          <w:tcPr>
            <w:tcW w:w="1120" w:type="dxa"/>
            <w:tcMar>
              <w:left w:w="108" w:type="dxa"/>
              <w:right w:w="108" w:type="dxa"/>
            </w:tcMar>
          </w:tcPr>
          <w:p w14:paraId="2B42BF0C" w14:textId="556AF400" w:rsidR="285882C8" w:rsidRDefault="285882C8" w:rsidP="285882C8">
            <w:pPr>
              <w:jc w:val="center"/>
            </w:pPr>
            <w:proofErr w:type="spellStart"/>
            <w:r w:rsidRPr="285882C8">
              <w:rPr>
                <w:sz w:val="22"/>
                <w:szCs w:val="22"/>
              </w:rPr>
              <w:t>D.logoilsale</w:t>
            </w:r>
            <w:proofErr w:type="spellEnd"/>
          </w:p>
        </w:tc>
        <w:tc>
          <w:tcPr>
            <w:tcW w:w="1121" w:type="dxa"/>
            <w:tcMar>
              <w:left w:w="108" w:type="dxa"/>
              <w:right w:w="108" w:type="dxa"/>
            </w:tcMar>
          </w:tcPr>
          <w:p w14:paraId="1011C6DC" w14:textId="35A2F941" w:rsidR="285882C8" w:rsidRDefault="285882C8" w:rsidP="285882C8">
            <w:pPr>
              <w:jc w:val="center"/>
            </w:pPr>
            <w:proofErr w:type="spellStart"/>
            <w:r w:rsidRPr="285882C8">
              <w:rPr>
                <w:sz w:val="22"/>
                <w:szCs w:val="22"/>
              </w:rPr>
              <w:t>D.logoilsale</w:t>
            </w:r>
            <w:proofErr w:type="spellEnd"/>
          </w:p>
        </w:tc>
      </w:tr>
      <w:tr w:rsidR="285882C8" w14:paraId="52B030B8" w14:textId="77777777" w:rsidTr="002F3948">
        <w:trPr>
          <w:trHeight w:val="300"/>
        </w:trPr>
        <w:tc>
          <w:tcPr>
            <w:tcW w:w="1608" w:type="dxa"/>
            <w:tcBorders>
              <w:top w:val="single" w:sz="8" w:space="0" w:color="auto"/>
              <w:left w:val="nil"/>
              <w:bottom w:val="nil"/>
              <w:right w:val="nil"/>
            </w:tcBorders>
            <w:tcMar>
              <w:left w:w="108" w:type="dxa"/>
              <w:right w:w="108" w:type="dxa"/>
            </w:tcMar>
          </w:tcPr>
          <w:p w14:paraId="2AB0E7AB" w14:textId="7B5762E3" w:rsidR="285882C8" w:rsidRDefault="285882C8" w:rsidP="285882C8">
            <w:proofErr w:type="spellStart"/>
            <w:proofErr w:type="gramStart"/>
            <w:r w:rsidRPr="285882C8">
              <w:rPr>
                <w:sz w:val="22"/>
                <w:szCs w:val="22"/>
              </w:rPr>
              <w:t>LD.logoilprice</w:t>
            </w:r>
            <w:proofErr w:type="spellEnd"/>
            <w:proofErr w:type="gramEnd"/>
          </w:p>
        </w:tc>
        <w:tc>
          <w:tcPr>
            <w:tcW w:w="1173" w:type="dxa"/>
            <w:tcBorders>
              <w:top w:val="single" w:sz="8" w:space="0" w:color="auto"/>
              <w:left w:val="nil"/>
              <w:bottom w:val="nil"/>
              <w:right w:val="nil"/>
            </w:tcBorders>
            <w:tcMar>
              <w:left w:w="108" w:type="dxa"/>
              <w:right w:w="108" w:type="dxa"/>
            </w:tcMar>
          </w:tcPr>
          <w:p w14:paraId="6C72E07A" w14:textId="7FBCFF73" w:rsidR="285882C8" w:rsidRDefault="285882C8" w:rsidP="285882C8">
            <w:pPr>
              <w:jc w:val="center"/>
            </w:pPr>
            <w:r w:rsidRPr="285882C8">
              <w:rPr>
                <w:sz w:val="22"/>
                <w:szCs w:val="22"/>
              </w:rPr>
              <w:t>-0.535***</w:t>
            </w:r>
          </w:p>
        </w:tc>
        <w:tc>
          <w:tcPr>
            <w:tcW w:w="1121" w:type="dxa"/>
            <w:tcBorders>
              <w:top w:val="single" w:sz="8" w:space="0" w:color="auto"/>
              <w:left w:val="nil"/>
              <w:bottom w:val="nil"/>
              <w:right w:val="nil"/>
            </w:tcBorders>
            <w:tcMar>
              <w:left w:w="108" w:type="dxa"/>
              <w:right w:w="108" w:type="dxa"/>
            </w:tcMar>
          </w:tcPr>
          <w:p w14:paraId="1AC07382" w14:textId="24B7A0FD" w:rsidR="285882C8" w:rsidRDefault="285882C8" w:rsidP="285882C8">
            <w:pPr>
              <w:jc w:val="center"/>
            </w:pPr>
            <w:r w:rsidRPr="285882C8">
              <w:rPr>
                <w:sz w:val="22"/>
                <w:szCs w:val="22"/>
              </w:rPr>
              <w:t xml:space="preserve"> </w:t>
            </w:r>
          </w:p>
        </w:tc>
        <w:tc>
          <w:tcPr>
            <w:tcW w:w="1173" w:type="dxa"/>
            <w:tcBorders>
              <w:top w:val="single" w:sz="8" w:space="0" w:color="auto"/>
              <w:left w:val="nil"/>
              <w:bottom w:val="nil"/>
              <w:right w:val="nil"/>
            </w:tcBorders>
            <w:tcMar>
              <w:left w:w="108" w:type="dxa"/>
              <w:right w:w="108" w:type="dxa"/>
            </w:tcMar>
          </w:tcPr>
          <w:p w14:paraId="7E19160A" w14:textId="6B0E24F9" w:rsidR="285882C8" w:rsidRDefault="285882C8" w:rsidP="285882C8">
            <w:pPr>
              <w:jc w:val="center"/>
            </w:pPr>
            <w:r w:rsidRPr="285882C8">
              <w:rPr>
                <w:sz w:val="22"/>
                <w:szCs w:val="22"/>
              </w:rPr>
              <w:t>-0.519</w:t>
            </w:r>
            <w:r w:rsidRPr="285882C8">
              <w:rPr>
                <w:sz w:val="22"/>
                <w:szCs w:val="22"/>
                <w:vertAlign w:val="superscript"/>
              </w:rPr>
              <w:t>***</w:t>
            </w:r>
          </w:p>
        </w:tc>
        <w:tc>
          <w:tcPr>
            <w:tcW w:w="1120" w:type="dxa"/>
            <w:tcBorders>
              <w:top w:val="single" w:sz="8" w:space="0" w:color="auto"/>
              <w:left w:val="nil"/>
              <w:bottom w:val="nil"/>
              <w:right w:val="nil"/>
            </w:tcBorders>
            <w:tcMar>
              <w:left w:w="108" w:type="dxa"/>
              <w:right w:w="108" w:type="dxa"/>
            </w:tcMar>
          </w:tcPr>
          <w:p w14:paraId="7DCF6217" w14:textId="14ADD54F" w:rsidR="285882C8" w:rsidRDefault="285882C8" w:rsidP="285882C8">
            <w:pPr>
              <w:jc w:val="center"/>
            </w:pPr>
            <w:r w:rsidRPr="285882C8">
              <w:rPr>
                <w:sz w:val="22"/>
                <w:szCs w:val="22"/>
              </w:rPr>
              <w:t xml:space="preserve"> </w:t>
            </w:r>
          </w:p>
        </w:tc>
        <w:tc>
          <w:tcPr>
            <w:tcW w:w="1120" w:type="dxa"/>
            <w:tcBorders>
              <w:top w:val="single" w:sz="8" w:space="0" w:color="auto"/>
              <w:left w:val="nil"/>
              <w:bottom w:val="nil"/>
              <w:right w:val="nil"/>
            </w:tcBorders>
            <w:tcMar>
              <w:left w:w="108" w:type="dxa"/>
              <w:right w:w="108" w:type="dxa"/>
            </w:tcMar>
          </w:tcPr>
          <w:p w14:paraId="50C0581D" w14:textId="314727CA" w:rsidR="285882C8" w:rsidRDefault="285882C8" w:rsidP="285882C8">
            <w:pPr>
              <w:jc w:val="center"/>
            </w:pPr>
            <w:r w:rsidRPr="285882C8">
              <w:rPr>
                <w:sz w:val="22"/>
                <w:szCs w:val="22"/>
              </w:rPr>
              <w:t>0.226</w:t>
            </w:r>
          </w:p>
        </w:tc>
        <w:tc>
          <w:tcPr>
            <w:tcW w:w="1121" w:type="dxa"/>
            <w:tcBorders>
              <w:top w:val="single" w:sz="8" w:space="0" w:color="auto"/>
              <w:left w:val="nil"/>
              <w:bottom w:val="nil"/>
              <w:right w:val="nil"/>
            </w:tcBorders>
            <w:tcMar>
              <w:left w:w="108" w:type="dxa"/>
              <w:right w:w="108" w:type="dxa"/>
            </w:tcMar>
          </w:tcPr>
          <w:p w14:paraId="6EF57DB5" w14:textId="5CC29296" w:rsidR="285882C8" w:rsidRDefault="285882C8" w:rsidP="285882C8">
            <w:pPr>
              <w:jc w:val="center"/>
            </w:pPr>
            <w:r w:rsidRPr="285882C8">
              <w:rPr>
                <w:sz w:val="22"/>
                <w:szCs w:val="22"/>
              </w:rPr>
              <w:t>0.226</w:t>
            </w:r>
          </w:p>
        </w:tc>
      </w:tr>
      <w:tr w:rsidR="285882C8" w14:paraId="6A00FB29" w14:textId="77777777" w:rsidTr="002F3948">
        <w:trPr>
          <w:trHeight w:val="300"/>
        </w:trPr>
        <w:tc>
          <w:tcPr>
            <w:tcW w:w="1608" w:type="dxa"/>
            <w:tcMar>
              <w:left w:w="108" w:type="dxa"/>
              <w:right w:w="108" w:type="dxa"/>
            </w:tcMar>
          </w:tcPr>
          <w:p w14:paraId="78D99839" w14:textId="585F6FFF" w:rsidR="285882C8" w:rsidRDefault="285882C8" w:rsidP="285882C8">
            <w:r w:rsidRPr="285882C8">
              <w:rPr>
                <w:sz w:val="22"/>
                <w:szCs w:val="22"/>
              </w:rPr>
              <w:t xml:space="preserve"> </w:t>
            </w:r>
          </w:p>
        </w:tc>
        <w:tc>
          <w:tcPr>
            <w:tcW w:w="1173" w:type="dxa"/>
            <w:tcMar>
              <w:left w:w="108" w:type="dxa"/>
              <w:right w:w="108" w:type="dxa"/>
            </w:tcMar>
          </w:tcPr>
          <w:p w14:paraId="74325FC6" w14:textId="794EB269" w:rsidR="285882C8" w:rsidRDefault="285882C8" w:rsidP="285882C8">
            <w:pPr>
              <w:jc w:val="center"/>
            </w:pPr>
            <w:r w:rsidRPr="285882C8">
              <w:rPr>
                <w:sz w:val="22"/>
                <w:szCs w:val="22"/>
              </w:rPr>
              <w:t>(0.062)</w:t>
            </w:r>
          </w:p>
        </w:tc>
        <w:tc>
          <w:tcPr>
            <w:tcW w:w="1121" w:type="dxa"/>
            <w:tcMar>
              <w:left w:w="108" w:type="dxa"/>
              <w:right w:w="108" w:type="dxa"/>
            </w:tcMar>
          </w:tcPr>
          <w:p w14:paraId="642F4498" w14:textId="5041BD50" w:rsidR="285882C8" w:rsidRDefault="285882C8" w:rsidP="285882C8">
            <w:pPr>
              <w:jc w:val="center"/>
            </w:pPr>
            <w:r w:rsidRPr="285882C8">
              <w:rPr>
                <w:sz w:val="22"/>
                <w:szCs w:val="22"/>
              </w:rPr>
              <w:t xml:space="preserve"> </w:t>
            </w:r>
          </w:p>
        </w:tc>
        <w:tc>
          <w:tcPr>
            <w:tcW w:w="1173" w:type="dxa"/>
            <w:tcMar>
              <w:left w:w="108" w:type="dxa"/>
              <w:right w:w="108" w:type="dxa"/>
            </w:tcMar>
          </w:tcPr>
          <w:p w14:paraId="6F4D3D41" w14:textId="5546247E" w:rsidR="285882C8" w:rsidRDefault="285882C8" w:rsidP="285882C8">
            <w:pPr>
              <w:jc w:val="center"/>
            </w:pPr>
            <w:r w:rsidRPr="285882C8">
              <w:rPr>
                <w:sz w:val="22"/>
                <w:szCs w:val="22"/>
              </w:rPr>
              <w:t>(0.063)</w:t>
            </w:r>
          </w:p>
        </w:tc>
        <w:tc>
          <w:tcPr>
            <w:tcW w:w="1120" w:type="dxa"/>
            <w:tcMar>
              <w:left w:w="108" w:type="dxa"/>
              <w:right w:w="108" w:type="dxa"/>
            </w:tcMar>
          </w:tcPr>
          <w:p w14:paraId="1C5BB15A" w14:textId="49339554" w:rsidR="285882C8" w:rsidRDefault="285882C8" w:rsidP="285882C8">
            <w:pPr>
              <w:jc w:val="center"/>
            </w:pPr>
            <w:r w:rsidRPr="285882C8">
              <w:rPr>
                <w:sz w:val="22"/>
                <w:szCs w:val="22"/>
              </w:rPr>
              <w:t xml:space="preserve"> </w:t>
            </w:r>
          </w:p>
        </w:tc>
        <w:tc>
          <w:tcPr>
            <w:tcW w:w="1120" w:type="dxa"/>
            <w:tcMar>
              <w:left w:w="108" w:type="dxa"/>
              <w:right w:w="108" w:type="dxa"/>
            </w:tcMar>
          </w:tcPr>
          <w:p w14:paraId="7C053E75" w14:textId="38001FF5" w:rsidR="285882C8" w:rsidRDefault="285882C8" w:rsidP="285882C8">
            <w:pPr>
              <w:jc w:val="center"/>
            </w:pPr>
            <w:r w:rsidRPr="285882C8">
              <w:rPr>
                <w:sz w:val="22"/>
                <w:szCs w:val="22"/>
              </w:rPr>
              <w:t>(0.51)</w:t>
            </w:r>
          </w:p>
        </w:tc>
        <w:tc>
          <w:tcPr>
            <w:tcW w:w="1121" w:type="dxa"/>
            <w:tcMar>
              <w:left w:w="108" w:type="dxa"/>
              <w:right w:w="108" w:type="dxa"/>
            </w:tcMar>
          </w:tcPr>
          <w:p w14:paraId="2538181D" w14:textId="1E2F0C79" w:rsidR="285882C8" w:rsidRDefault="285882C8" w:rsidP="285882C8">
            <w:pPr>
              <w:jc w:val="center"/>
            </w:pPr>
            <w:r w:rsidRPr="285882C8">
              <w:rPr>
                <w:sz w:val="22"/>
                <w:szCs w:val="22"/>
              </w:rPr>
              <w:t>(0.51)</w:t>
            </w:r>
          </w:p>
        </w:tc>
      </w:tr>
      <w:tr w:rsidR="285882C8" w14:paraId="6E8375AC" w14:textId="77777777" w:rsidTr="002F3948">
        <w:trPr>
          <w:trHeight w:val="300"/>
        </w:trPr>
        <w:tc>
          <w:tcPr>
            <w:tcW w:w="1608" w:type="dxa"/>
            <w:tcMar>
              <w:left w:w="108" w:type="dxa"/>
              <w:right w:w="108" w:type="dxa"/>
            </w:tcMar>
          </w:tcPr>
          <w:p w14:paraId="0634EC2C" w14:textId="1BDC0468" w:rsidR="285882C8" w:rsidRDefault="285882C8" w:rsidP="285882C8">
            <w:r w:rsidRPr="285882C8">
              <w:rPr>
                <w:sz w:val="22"/>
                <w:szCs w:val="22"/>
              </w:rPr>
              <w:t xml:space="preserve"> </w:t>
            </w:r>
          </w:p>
        </w:tc>
        <w:tc>
          <w:tcPr>
            <w:tcW w:w="1173" w:type="dxa"/>
            <w:tcMar>
              <w:left w:w="108" w:type="dxa"/>
              <w:right w:w="108" w:type="dxa"/>
            </w:tcMar>
          </w:tcPr>
          <w:p w14:paraId="406703F5" w14:textId="739C9C3A" w:rsidR="285882C8" w:rsidRDefault="285882C8" w:rsidP="285882C8">
            <w:pPr>
              <w:jc w:val="center"/>
            </w:pPr>
            <w:r w:rsidRPr="285882C8">
              <w:rPr>
                <w:sz w:val="22"/>
                <w:szCs w:val="22"/>
              </w:rPr>
              <w:t xml:space="preserve"> </w:t>
            </w:r>
          </w:p>
        </w:tc>
        <w:tc>
          <w:tcPr>
            <w:tcW w:w="1121" w:type="dxa"/>
            <w:tcMar>
              <w:left w:w="108" w:type="dxa"/>
              <w:right w:w="108" w:type="dxa"/>
            </w:tcMar>
          </w:tcPr>
          <w:p w14:paraId="64EE8D03" w14:textId="558DAB8E" w:rsidR="285882C8" w:rsidRDefault="285882C8" w:rsidP="285882C8">
            <w:pPr>
              <w:jc w:val="center"/>
            </w:pPr>
            <w:r w:rsidRPr="285882C8">
              <w:rPr>
                <w:sz w:val="22"/>
                <w:szCs w:val="22"/>
              </w:rPr>
              <w:t xml:space="preserve"> </w:t>
            </w:r>
          </w:p>
        </w:tc>
        <w:tc>
          <w:tcPr>
            <w:tcW w:w="1173" w:type="dxa"/>
            <w:tcMar>
              <w:left w:w="108" w:type="dxa"/>
              <w:right w:w="108" w:type="dxa"/>
            </w:tcMar>
          </w:tcPr>
          <w:p w14:paraId="0D37C36B" w14:textId="3C63C61E" w:rsidR="285882C8" w:rsidRDefault="285882C8" w:rsidP="285882C8">
            <w:r w:rsidRPr="285882C8">
              <w:rPr>
                <w:sz w:val="22"/>
                <w:szCs w:val="22"/>
              </w:rPr>
              <w:t xml:space="preserve"> </w:t>
            </w:r>
          </w:p>
        </w:tc>
        <w:tc>
          <w:tcPr>
            <w:tcW w:w="1120" w:type="dxa"/>
            <w:tcMar>
              <w:left w:w="108" w:type="dxa"/>
              <w:right w:w="108" w:type="dxa"/>
            </w:tcMar>
          </w:tcPr>
          <w:p w14:paraId="0EDB5D15" w14:textId="670F8034" w:rsidR="285882C8" w:rsidRDefault="285882C8" w:rsidP="285882C8">
            <w:r w:rsidRPr="285882C8">
              <w:rPr>
                <w:sz w:val="22"/>
                <w:szCs w:val="22"/>
              </w:rPr>
              <w:t xml:space="preserve"> </w:t>
            </w:r>
          </w:p>
        </w:tc>
        <w:tc>
          <w:tcPr>
            <w:tcW w:w="1120" w:type="dxa"/>
            <w:tcMar>
              <w:left w:w="108" w:type="dxa"/>
              <w:right w:w="108" w:type="dxa"/>
            </w:tcMar>
          </w:tcPr>
          <w:p w14:paraId="32B10CD7" w14:textId="1601FFCE" w:rsidR="285882C8" w:rsidRDefault="285882C8" w:rsidP="285882C8">
            <w:r w:rsidRPr="285882C8">
              <w:rPr>
                <w:sz w:val="22"/>
                <w:szCs w:val="22"/>
              </w:rPr>
              <w:t xml:space="preserve"> </w:t>
            </w:r>
          </w:p>
        </w:tc>
        <w:tc>
          <w:tcPr>
            <w:tcW w:w="1121" w:type="dxa"/>
            <w:tcMar>
              <w:left w:w="108" w:type="dxa"/>
              <w:right w:w="108" w:type="dxa"/>
            </w:tcMar>
          </w:tcPr>
          <w:p w14:paraId="6A20D718" w14:textId="357FE5A7" w:rsidR="285882C8" w:rsidRDefault="285882C8" w:rsidP="285882C8">
            <w:r w:rsidRPr="285882C8">
              <w:rPr>
                <w:sz w:val="22"/>
                <w:szCs w:val="22"/>
              </w:rPr>
              <w:t xml:space="preserve"> </w:t>
            </w:r>
          </w:p>
        </w:tc>
      </w:tr>
      <w:tr w:rsidR="285882C8" w14:paraId="0FB5A417" w14:textId="77777777" w:rsidTr="002F3948">
        <w:trPr>
          <w:trHeight w:val="300"/>
        </w:trPr>
        <w:tc>
          <w:tcPr>
            <w:tcW w:w="1608" w:type="dxa"/>
            <w:tcMar>
              <w:left w:w="108" w:type="dxa"/>
              <w:right w:w="108" w:type="dxa"/>
            </w:tcMar>
          </w:tcPr>
          <w:p w14:paraId="72B072BC" w14:textId="7F4A8E7C" w:rsidR="285882C8" w:rsidRDefault="285882C8" w:rsidP="285882C8">
            <w:r w:rsidRPr="285882C8">
              <w:rPr>
                <w:sz w:val="22"/>
                <w:szCs w:val="22"/>
              </w:rPr>
              <w:t>L2D.logoilprice</w:t>
            </w:r>
          </w:p>
        </w:tc>
        <w:tc>
          <w:tcPr>
            <w:tcW w:w="1173" w:type="dxa"/>
            <w:tcMar>
              <w:left w:w="108" w:type="dxa"/>
              <w:right w:w="108" w:type="dxa"/>
            </w:tcMar>
          </w:tcPr>
          <w:p w14:paraId="0775DCC2" w14:textId="569FF885" w:rsidR="285882C8" w:rsidRDefault="285882C8" w:rsidP="285882C8">
            <w:pPr>
              <w:jc w:val="center"/>
            </w:pPr>
            <w:r w:rsidRPr="285882C8">
              <w:rPr>
                <w:sz w:val="22"/>
                <w:szCs w:val="22"/>
              </w:rPr>
              <w:t>-0.374***</w:t>
            </w:r>
          </w:p>
        </w:tc>
        <w:tc>
          <w:tcPr>
            <w:tcW w:w="1121" w:type="dxa"/>
            <w:tcMar>
              <w:left w:w="108" w:type="dxa"/>
              <w:right w:w="108" w:type="dxa"/>
            </w:tcMar>
          </w:tcPr>
          <w:p w14:paraId="00BEA32F" w14:textId="55E8CF0D" w:rsidR="285882C8" w:rsidRDefault="285882C8" w:rsidP="285882C8">
            <w:pPr>
              <w:jc w:val="center"/>
            </w:pPr>
            <w:r w:rsidRPr="285882C8">
              <w:rPr>
                <w:sz w:val="22"/>
                <w:szCs w:val="22"/>
              </w:rPr>
              <w:t xml:space="preserve"> </w:t>
            </w:r>
          </w:p>
        </w:tc>
        <w:tc>
          <w:tcPr>
            <w:tcW w:w="1173" w:type="dxa"/>
            <w:tcMar>
              <w:left w:w="108" w:type="dxa"/>
              <w:right w:w="108" w:type="dxa"/>
            </w:tcMar>
          </w:tcPr>
          <w:p w14:paraId="26420477" w14:textId="68FC143D" w:rsidR="285882C8" w:rsidRDefault="285882C8" w:rsidP="285882C8">
            <w:pPr>
              <w:jc w:val="center"/>
            </w:pPr>
            <w:r w:rsidRPr="285882C8">
              <w:rPr>
                <w:sz w:val="22"/>
                <w:szCs w:val="22"/>
              </w:rPr>
              <w:t>-0.353</w:t>
            </w:r>
            <w:r w:rsidRPr="285882C8">
              <w:rPr>
                <w:sz w:val="22"/>
                <w:szCs w:val="22"/>
                <w:vertAlign w:val="superscript"/>
              </w:rPr>
              <w:t>***</w:t>
            </w:r>
          </w:p>
        </w:tc>
        <w:tc>
          <w:tcPr>
            <w:tcW w:w="1120" w:type="dxa"/>
            <w:tcMar>
              <w:left w:w="108" w:type="dxa"/>
              <w:right w:w="108" w:type="dxa"/>
            </w:tcMar>
          </w:tcPr>
          <w:p w14:paraId="032FFCED" w14:textId="13AA2342" w:rsidR="285882C8" w:rsidRDefault="285882C8" w:rsidP="285882C8">
            <w:pPr>
              <w:jc w:val="center"/>
            </w:pPr>
            <w:r w:rsidRPr="285882C8">
              <w:rPr>
                <w:sz w:val="22"/>
                <w:szCs w:val="22"/>
              </w:rPr>
              <w:t xml:space="preserve"> </w:t>
            </w:r>
          </w:p>
        </w:tc>
        <w:tc>
          <w:tcPr>
            <w:tcW w:w="1120" w:type="dxa"/>
            <w:tcMar>
              <w:left w:w="108" w:type="dxa"/>
              <w:right w:w="108" w:type="dxa"/>
            </w:tcMar>
          </w:tcPr>
          <w:p w14:paraId="0317AF36" w14:textId="360263C7" w:rsidR="285882C8" w:rsidRDefault="285882C8" w:rsidP="285882C8">
            <w:pPr>
              <w:jc w:val="center"/>
            </w:pPr>
            <w:r w:rsidRPr="285882C8">
              <w:rPr>
                <w:sz w:val="22"/>
                <w:szCs w:val="22"/>
              </w:rPr>
              <w:t>-0.334</w:t>
            </w:r>
          </w:p>
        </w:tc>
        <w:tc>
          <w:tcPr>
            <w:tcW w:w="1121" w:type="dxa"/>
            <w:tcMar>
              <w:left w:w="108" w:type="dxa"/>
              <w:right w:w="108" w:type="dxa"/>
            </w:tcMar>
          </w:tcPr>
          <w:p w14:paraId="61F23EA4" w14:textId="16AD8692" w:rsidR="285882C8" w:rsidRDefault="285882C8" w:rsidP="285882C8">
            <w:pPr>
              <w:jc w:val="center"/>
            </w:pPr>
            <w:r w:rsidRPr="285882C8">
              <w:rPr>
                <w:sz w:val="22"/>
                <w:szCs w:val="22"/>
              </w:rPr>
              <w:t>-0.334</w:t>
            </w:r>
          </w:p>
        </w:tc>
      </w:tr>
      <w:tr w:rsidR="285882C8" w14:paraId="3F4DD7BD" w14:textId="77777777" w:rsidTr="002F3948">
        <w:trPr>
          <w:trHeight w:val="300"/>
        </w:trPr>
        <w:tc>
          <w:tcPr>
            <w:tcW w:w="1608" w:type="dxa"/>
            <w:tcMar>
              <w:left w:w="108" w:type="dxa"/>
              <w:right w:w="108" w:type="dxa"/>
            </w:tcMar>
          </w:tcPr>
          <w:p w14:paraId="1C904098" w14:textId="29CF738B" w:rsidR="285882C8" w:rsidRDefault="285882C8" w:rsidP="285882C8">
            <w:r w:rsidRPr="285882C8">
              <w:rPr>
                <w:sz w:val="22"/>
                <w:szCs w:val="22"/>
              </w:rPr>
              <w:t xml:space="preserve"> </w:t>
            </w:r>
          </w:p>
        </w:tc>
        <w:tc>
          <w:tcPr>
            <w:tcW w:w="1173" w:type="dxa"/>
            <w:tcMar>
              <w:left w:w="108" w:type="dxa"/>
              <w:right w:w="108" w:type="dxa"/>
            </w:tcMar>
          </w:tcPr>
          <w:p w14:paraId="337F6E8A" w14:textId="74663DDD" w:rsidR="285882C8" w:rsidRDefault="285882C8" w:rsidP="285882C8">
            <w:pPr>
              <w:jc w:val="center"/>
            </w:pPr>
            <w:r w:rsidRPr="285882C8">
              <w:rPr>
                <w:sz w:val="22"/>
                <w:szCs w:val="22"/>
              </w:rPr>
              <w:t>(0.067)</w:t>
            </w:r>
          </w:p>
        </w:tc>
        <w:tc>
          <w:tcPr>
            <w:tcW w:w="1121" w:type="dxa"/>
            <w:tcMar>
              <w:left w:w="108" w:type="dxa"/>
              <w:right w:w="108" w:type="dxa"/>
            </w:tcMar>
          </w:tcPr>
          <w:p w14:paraId="6289226E" w14:textId="22C88550" w:rsidR="285882C8" w:rsidRDefault="285882C8" w:rsidP="285882C8">
            <w:pPr>
              <w:jc w:val="center"/>
            </w:pPr>
            <w:r w:rsidRPr="285882C8">
              <w:rPr>
                <w:sz w:val="22"/>
                <w:szCs w:val="22"/>
              </w:rPr>
              <w:t xml:space="preserve"> </w:t>
            </w:r>
          </w:p>
        </w:tc>
        <w:tc>
          <w:tcPr>
            <w:tcW w:w="1173" w:type="dxa"/>
            <w:tcMar>
              <w:left w:w="108" w:type="dxa"/>
              <w:right w:w="108" w:type="dxa"/>
            </w:tcMar>
          </w:tcPr>
          <w:p w14:paraId="0C2850D5" w14:textId="2780A7F3" w:rsidR="285882C8" w:rsidRDefault="285882C8" w:rsidP="285882C8">
            <w:pPr>
              <w:jc w:val="center"/>
            </w:pPr>
            <w:r w:rsidRPr="285882C8">
              <w:rPr>
                <w:sz w:val="22"/>
                <w:szCs w:val="22"/>
              </w:rPr>
              <w:t>(0.068)</w:t>
            </w:r>
          </w:p>
        </w:tc>
        <w:tc>
          <w:tcPr>
            <w:tcW w:w="1120" w:type="dxa"/>
            <w:tcMar>
              <w:left w:w="108" w:type="dxa"/>
              <w:right w:w="108" w:type="dxa"/>
            </w:tcMar>
          </w:tcPr>
          <w:p w14:paraId="7AAEE061" w14:textId="3FF1BB69" w:rsidR="285882C8" w:rsidRDefault="285882C8" w:rsidP="285882C8">
            <w:pPr>
              <w:jc w:val="center"/>
            </w:pPr>
            <w:r w:rsidRPr="285882C8">
              <w:rPr>
                <w:sz w:val="22"/>
                <w:szCs w:val="22"/>
              </w:rPr>
              <w:t xml:space="preserve"> </w:t>
            </w:r>
          </w:p>
        </w:tc>
        <w:tc>
          <w:tcPr>
            <w:tcW w:w="1120" w:type="dxa"/>
            <w:tcMar>
              <w:left w:w="108" w:type="dxa"/>
              <w:right w:w="108" w:type="dxa"/>
            </w:tcMar>
          </w:tcPr>
          <w:p w14:paraId="4292D6FA" w14:textId="14B7AF95" w:rsidR="285882C8" w:rsidRDefault="285882C8" w:rsidP="285882C8">
            <w:pPr>
              <w:jc w:val="center"/>
            </w:pPr>
            <w:r w:rsidRPr="285882C8">
              <w:rPr>
                <w:sz w:val="22"/>
                <w:szCs w:val="22"/>
              </w:rPr>
              <w:t>(-0.78)</w:t>
            </w:r>
          </w:p>
        </w:tc>
        <w:tc>
          <w:tcPr>
            <w:tcW w:w="1121" w:type="dxa"/>
            <w:tcMar>
              <w:left w:w="108" w:type="dxa"/>
              <w:right w:w="108" w:type="dxa"/>
            </w:tcMar>
          </w:tcPr>
          <w:p w14:paraId="596C3898" w14:textId="1DA7C4B9" w:rsidR="285882C8" w:rsidRDefault="285882C8" w:rsidP="285882C8">
            <w:pPr>
              <w:jc w:val="center"/>
            </w:pPr>
            <w:r w:rsidRPr="285882C8">
              <w:rPr>
                <w:sz w:val="22"/>
                <w:szCs w:val="22"/>
              </w:rPr>
              <w:t>(-0.78)</w:t>
            </w:r>
          </w:p>
        </w:tc>
      </w:tr>
      <w:tr w:rsidR="285882C8" w14:paraId="23843927" w14:textId="77777777" w:rsidTr="002F3948">
        <w:trPr>
          <w:trHeight w:val="300"/>
        </w:trPr>
        <w:tc>
          <w:tcPr>
            <w:tcW w:w="1608" w:type="dxa"/>
            <w:tcMar>
              <w:left w:w="108" w:type="dxa"/>
              <w:right w:w="108" w:type="dxa"/>
            </w:tcMar>
          </w:tcPr>
          <w:p w14:paraId="15E38B39" w14:textId="164E2613" w:rsidR="285882C8" w:rsidRDefault="285882C8" w:rsidP="285882C8">
            <w:r w:rsidRPr="285882C8">
              <w:rPr>
                <w:sz w:val="22"/>
                <w:szCs w:val="22"/>
              </w:rPr>
              <w:t xml:space="preserve"> </w:t>
            </w:r>
          </w:p>
        </w:tc>
        <w:tc>
          <w:tcPr>
            <w:tcW w:w="1173" w:type="dxa"/>
            <w:tcMar>
              <w:left w:w="108" w:type="dxa"/>
              <w:right w:w="108" w:type="dxa"/>
            </w:tcMar>
          </w:tcPr>
          <w:p w14:paraId="1A55A409" w14:textId="175837B5" w:rsidR="285882C8" w:rsidRDefault="285882C8" w:rsidP="285882C8">
            <w:pPr>
              <w:jc w:val="center"/>
            </w:pPr>
            <w:r w:rsidRPr="285882C8">
              <w:rPr>
                <w:sz w:val="22"/>
                <w:szCs w:val="22"/>
              </w:rPr>
              <w:t xml:space="preserve"> </w:t>
            </w:r>
          </w:p>
        </w:tc>
        <w:tc>
          <w:tcPr>
            <w:tcW w:w="1121" w:type="dxa"/>
            <w:tcMar>
              <w:left w:w="108" w:type="dxa"/>
              <w:right w:w="108" w:type="dxa"/>
            </w:tcMar>
          </w:tcPr>
          <w:p w14:paraId="52C77F71" w14:textId="0A670D40" w:rsidR="285882C8" w:rsidRDefault="285882C8" w:rsidP="285882C8">
            <w:pPr>
              <w:jc w:val="center"/>
            </w:pPr>
            <w:r w:rsidRPr="285882C8">
              <w:rPr>
                <w:sz w:val="22"/>
                <w:szCs w:val="22"/>
              </w:rPr>
              <w:t xml:space="preserve"> </w:t>
            </w:r>
          </w:p>
        </w:tc>
        <w:tc>
          <w:tcPr>
            <w:tcW w:w="1173" w:type="dxa"/>
            <w:tcMar>
              <w:left w:w="108" w:type="dxa"/>
              <w:right w:w="108" w:type="dxa"/>
            </w:tcMar>
          </w:tcPr>
          <w:p w14:paraId="40D2B8D9" w14:textId="5C91074E" w:rsidR="285882C8" w:rsidRDefault="285882C8" w:rsidP="285882C8">
            <w:r w:rsidRPr="285882C8">
              <w:rPr>
                <w:sz w:val="22"/>
                <w:szCs w:val="22"/>
              </w:rPr>
              <w:t xml:space="preserve"> </w:t>
            </w:r>
          </w:p>
        </w:tc>
        <w:tc>
          <w:tcPr>
            <w:tcW w:w="1120" w:type="dxa"/>
            <w:tcMar>
              <w:left w:w="108" w:type="dxa"/>
              <w:right w:w="108" w:type="dxa"/>
            </w:tcMar>
          </w:tcPr>
          <w:p w14:paraId="7015DB56" w14:textId="7C6D1BEC" w:rsidR="285882C8" w:rsidRDefault="285882C8" w:rsidP="285882C8">
            <w:r w:rsidRPr="285882C8">
              <w:rPr>
                <w:sz w:val="22"/>
                <w:szCs w:val="22"/>
              </w:rPr>
              <w:t xml:space="preserve"> </w:t>
            </w:r>
          </w:p>
        </w:tc>
        <w:tc>
          <w:tcPr>
            <w:tcW w:w="1120" w:type="dxa"/>
            <w:tcMar>
              <w:left w:w="108" w:type="dxa"/>
              <w:right w:w="108" w:type="dxa"/>
            </w:tcMar>
          </w:tcPr>
          <w:p w14:paraId="0D34B974" w14:textId="7723E805" w:rsidR="285882C8" w:rsidRDefault="285882C8" w:rsidP="285882C8">
            <w:r w:rsidRPr="285882C8">
              <w:rPr>
                <w:sz w:val="22"/>
                <w:szCs w:val="22"/>
              </w:rPr>
              <w:t xml:space="preserve"> </w:t>
            </w:r>
          </w:p>
        </w:tc>
        <w:tc>
          <w:tcPr>
            <w:tcW w:w="1121" w:type="dxa"/>
            <w:tcMar>
              <w:left w:w="108" w:type="dxa"/>
              <w:right w:w="108" w:type="dxa"/>
            </w:tcMar>
          </w:tcPr>
          <w:p w14:paraId="6F95A5D0" w14:textId="2086BF96" w:rsidR="285882C8" w:rsidRDefault="285882C8" w:rsidP="285882C8">
            <w:r w:rsidRPr="285882C8">
              <w:rPr>
                <w:sz w:val="22"/>
                <w:szCs w:val="22"/>
              </w:rPr>
              <w:t xml:space="preserve"> </w:t>
            </w:r>
          </w:p>
        </w:tc>
      </w:tr>
      <w:tr w:rsidR="285882C8" w14:paraId="06AC5E35" w14:textId="77777777" w:rsidTr="002F3948">
        <w:trPr>
          <w:trHeight w:val="300"/>
        </w:trPr>
        <w:tc>
          <w:tcPr>
            <w:tcW w:w="1608" w:type="dxa"/>
            <w:tcMar>
              <w:left w:w="108" w:type="dxa"/>
              <w:right w:w="108" w:type="dxa"/>
            </w:tcMar>
          </w:tcPr>
          <w:p w14:paraId="29DE3998" w14:textId="4245F1CD" w:rsidR="285882C8" w:rsidRDefault="285882C8" w:rsidP="285882C8">
            <w:r w:rsidRPr="285882C8">
              <w:rPr>
                <w:sz w:val="22"/>
                <w:szCs w:val="22"/>
              </w:rPr>
              <w:t>L3D.logoilprice</w:t>
            </w:r>
          </w:p>
        </w:tc>
        <w:tc>
          <w:tcPr>
            <w:tcW w:w="1173" w:type="dxa"/>
            <w:tcMar>
              <w:left w:w="108" w:type="dxa"/>
              <w:right w:w="108" w:type="dxa"/>
            </w:tcMar>
          </w:tcPr>
          <w:p w14:paraId="0D968D9C" w14:textId="68B1DC90" w:rsidR="285882C8" w:rsidRDefault="285882C8" w:rsidP="285882C8">
            <w:pPr>
              <w:jc w:val="center"/>
            </w:pPr>
            <w:r w:rsidRPr="285882C8">
              <w:rPr>
                <w:sz w:val="22"/>
                <w:szCs w:val="22"/>
              </w:rPr>
              <w:t>-0.222***</w:t>
            </w:r>
          </w:p>
        </w:tc>
        <w:tc>
          <w:tcPr>
            <w:tcW w:w="1121" w:type="dxa"/>
            <w:tcMar>
              <w:left w:w="108" w:type="dxa"/>
              <w:right w:w="108" w:type="dxa"/>
            </w:tcMar>
          </w:tcPr>
          <w:p w14:paraId="239658D0" w14:textId="473BF6D6" w:rsidR="285882C8" w:rsidRDefault="285882C8" w:rsidP="285882C8">
            <w:pPr>
              <w:jc w:val="center"/>
            </w:pPr>
            <w:r w:rsidRPr="285882C8">
              <w:rPr>
                <w:sz w:val="22"/>
                <w:szCs w:val="22"/>
              </w:rPr>
              <w:t xml:space="preserve"> </w:t>
            </w:r>
          </w:p>
        </w:tc>
        <w:tc>
          <w:tcPr>
            <w:tcW w:w="1173" w:type="dxa"/>
            <w:tcMar>
              <w:left w:w="108" w:type="dxa"/>
              <w:right w:w="108" w:type="dxa"/>
            </w:tcMar>
          </w:tcPr>
          <w:p w14:paraId="2F7842C4" w14:textId="1D50DB64" w:rsidR="285882C8" w:rsidRDefault="285882C8" w:rsidP="285882C8">
            <w:pPr>
              <w:jc w:val="center"/>
            </w:pPr>
            <w:r w:rsidRPr="285882C8">
              <w:rPr>
                <w:sz w:val="22"/>
                <w:szCs w:val="22"/>
              </w:rPr>
              <w:t>-0.248</w:t>
            </w:r>
            <w:r w:rsidRPr="285882C8">
              <w:rPr>
                <w:sz w:val="22"/>
                <w:szCs w:val="22"/>
                <w:vertAlign w:val="superscript"/>
              </w:rPr>
              <w:t>***</w:t>
            </w:r>
          </w:p>
        </w:tc>
        <w:tc>
          <w:tcPr>
            <w:tcW w:w="1120" w:type="dxa"/>
            <w:tcMar>
              <w:left w:w="108" w:type="dxa"/>
              <w:right w:w="108" w:type="dxa"/>
            </w:tcMar>
          </w:tcPr>
          <w:p w14:paraId="7AABF2CA" w14:textId="09DBCB16" w:rsidR="285882C8" w:rsidRDefault="285882C8" w:rsidP="285882C8">
            <w:pPr>
              <w:jc w:val="center"/>
            </w:pPr>
            <w:r w:rsidRPr="285882C8">
              <w:rPr>
                <w:sz w:val="22"/>
                <w:szCs w:val="22"/>
              </w:rPr>
              <w:t xml:space="preserve"> </w:t>
            </w:r>
          </w:p>
        </w:tc>
        <w:tc>
          <w:tcPr>
            <w:tcW w:w="1120" w:type="dxa"/>
            <w:tcMar>
              <w:left w:w="108" w:type="dxa"/>
              <w:right w:w="108" w:type="dxa"/>
            </w:tcMar>
          </w:tcPr>
          <w:p w14:paraId="39D18127" w14:textId="46E15922" w:rsidR="285882C8" w:rsidRDefault="285882C8" w:rsidP="285882C8">
            <w:pPr>
              <w:jc w:val="center"/>
            </w:pPr>
            <w:r w:rsidRPr="285882C8">
              <w:rPr>
                <w:sz w:val="22"/>
                <w:szCs w:val="22"/>
              </w:rPr>
              <w:t>0.0844</w:t>
            </w:r>
          </w:p>
        </w:tc>
        <w:tc>
          <w:tcPr>
            <w:tcW w:w="1121" w:type="dxa"/>
            <w:tcMar>
              <w:left w:w="108" w:type="dxa"/>
              <w:right w:w="108" w:type="dxa"/>
            </w:tcMar>
          </w:tcPr>
          <w:p w14:paraId="04966A28" w14:textId="03D6AEF4" w:rsidR="285882C8" w:rsidRDefault="285882C8" w:rsidP="285882C8">
            <w:pPr>
              <w:jc w:val="center"/>
            </w:pPr>
            <w:r w:rsidRPr="285882C8">
              <w:rPr>
                <w:sz w:val="22"/>
                <w:szCs w:val="22"/>
              </w:rPr>
              <w:t>0.0844</w:t>
            </w:r>
          </w:p>
        </w:tc>
      </w:tr>
      <w:tr w:rsidR="285882C8" w14:paraId="6F5C3395" w14:textId="77777777" w:rsidTr="002F3948">
        <w:trPr>
          <w:trHeight w:val="300"/>
        </w:trPr>
        <w:tc>
          <w:tcPr>
            <w:tcW w:w="1608" w:type="dxa"/>
            <w:tcMar>
              <w:left w:w="108" w:type="dxa"/>
              <w:right w:w="108" w:type="dxa"/>
            </w:tcMar>
          </w:tcPr>
          <w:p w14:paraId="713DC738" w14:textId="32A4B93C" w:rsidR="285882C8" w:rsidRDefault="285882C8" w:rsidP="285882C8">
            <w:r w:rsidRPr="285882C8">
              <w:rPr>
                <w:sz w:val="22"/>
                <w:szCs w:val="22"/>
              </w:rPr>
              <w:t xml:space="preserve"> </w:t>
            </w:r>
          </w:p>
        </w:tc>
        <w:tc>
          <w:tcPr>
            <w:tcW w:w="1173" w:type="dxa"/>
            <w:tcMar>
              <w:left w:w="108" w:type="dxa"/>
              <w:right w:w="108" w:type="dxa"/>
            </w:tcMar>
          </w:tcPr>
          <w:p w14:paraId="1F04EB29" w14:textId="5E90CC53" w:rsidR="285882C8" w:rsidRDefault="285882C8" w:rsidP="285882C8">
            <w:pPr>
              <w:jc w:val="center"/>
            </w:pPr>
            <w:r w:rsidRPr="285882C8">
              <w:rPr>
                <w:sz w:val="22"/>
                <w:szCs w:val="22"/>
              </w:rPr>
              <w:t>(0.061)</w:t>
            </w:r>
          </w:p>
        </w:tc>
        <w:tc>
          <w:tcPr>
            <w:tcW w:w="1121" w:type="dxa"/>
            <w:tcMar>
              <w:left w:w="108" w:type="dxa"/>
              <w:right w:w="108" w:type="dxa"/>
            </w:tcMar>
          </w:tcPr>
          <w:p w14:paraId="00F10A63" w14:textId="0FF187F0" w:rsidR="285882C8" w:rsidRDefault="285882C8" w:rsidP="285882C8">
            <w:pPr>
              <w:jc w:val="center"/>
            </w:pPr>
            <w:r w:rsidRPr="285882C8">
              <w:rPr>
                <w:sz w:val="22"/>
                <w:szCs w:val="22"/>
              </w:rPr>
              <w:t xml:space="preserve"> </w:t>
            </w:r>
          </w:p>
        </w:tc>
        <w:tc>
          <w:tcPr>
            <w:tcW w:w="1173" w:type="dxa"/>
            <w:tcMar>
              <w:left w:w="108" w:type="dxa"/>
              <w:right w:w="108" w:type="dxa"/>
            </w:tcMar>
          </w:tcPr>
          <w:p w14:paraId="0AD9A50D" w14:textId="44DD2120" w:rsidR="285882C8" w:rsidRDefault="285882C8" w:rsidP="285882C8">
            <w:pPr>
              <w:jc w:val="center"/>
            </w:pPr>
            <w:r w:rsidRPr="285882C8">
              <w:rPr>
                <w:sz w:val="22"/>
                <w:szCs w:val="22"/>
              </w:rPr>
              <w:t>(0.063)</w:t>
            </w:r>
          </w:p>
        </w:tc>
        <w:tc>
          <w:tcPr>
            <w:tcW w:w="1120" w:type="dxa"/>
            <w:tcMar>
              <w:left w:w="108" w:type="dxa"/>
              <w:right w:w="108" w:type="dxa"/>
            </w:tcMar>
          </w:tcPr>
          <w:p w14:paraId="00BD7E88" w14:textId="06012D6E" w:rsidR="285882C8" w:rsidRDefault="285882C8" w:rsidP="285882C8">
            <w:pPr>
              <w:jc w:val="center"/>
            </w:pPr>
            <w:r w:rsidRPr="285882C8">
              <w:rPr>
                <w:sz w:val="22"/>
                <w:szCs w:val="22"/>
              </w:rPr>
              <w:t xml:space="preserve"> </w:t>
            </w:r>
          </w:p>
        </w:tc>
        <w:tc>
          <w:tcPr>
            <w:tcW w:w="1120" w:type="dxa"/>
            <w:tcMar>
              <w:left w:w="108" w:type="dxa"/>
              <w:right w:w="108" w:type="dxa"/>
            </w:tcMar>
          </w:tcPr>
          <w:p w14:paraId="7BB5875A" w14:textId="4B58E246" w:rsidR="285882C8" w:rsidRDefault="285882C8" w:rsidP="285882C8">
            <w:pPr>
              <w:jc w:val="center"/>
            </w:pPr>
            <w:r w:rsidRPr="285882C8">
              <w:rPr>
                <w:sz w:val="22"/>
                <w:szCs w:val="22"/>
              </w:rPr>
              <w:t>(0.25)</w:t>
            </w:r>
          </w:p>
        </w:tc>
        <w:tc>
          <w:tcPr>
            <w:tcW w:w="1121" w:type="dxa"/>
            <w:tcMar>
              <w:left w:w="108" w:type="dxa"/>
              <w:right w:w="108" w:type="dxa"/>
            </w:tcMar>
          </w:tcPr>
          <w:p w14:paraId="1A7F4F67" w14:textId="57929A9E" w:rsidR="285882C8" w:rsidRDefault="285882C8" w:rsidP="285882C8">
            <w:pPr>
              <w:jc w:val="center"/>
            </w:pPr>
            <w:r w:rsidRPr="285882C8">
              <w:rPr>
                <w:sz w:val="22"/>
                <w:szCs w:val="22"/>
              </w:rPr>
              <w:t>(0.25)</w:t>
            </w:r>
          </w:p>
        </w:tc>
      </w:tr>
      <w:tr w:rsidR="285882C8" w14:paraId="62965717" w14:textId="77777777" w:rsidTr="002F3948">
        <w:trPr>
          <w:trHeight w:val="300"/>
        </w:trPr>
        <w:tc>
          <w:tcPr>
            <w:tcW w:w="1608" w:type="dxa"/>
            <w:tcMar>
              <w:left w:w="108" w:type="dxa"/>
              <w:right w:w="108" w:type="dxa"/>
            </w:tcMar>
          </w:tcPr>
          <w:p w14:paraId="54FD838C" w14:textId="2F71A25F" w:rsidR="285882C8" w:rsidRDefault="285882C8" w:rsidP="285882C8">
            <w:r w:rsidRPr="285882C8">
              <w:rPr>
                <w:sz w:val="22"/>
                <w:szCs w:val="22"/>
              </w:rPr>
              <w:t xml:space="preserve"> </w:t>
            </w:r>
          </w:p>
        </w:tc>
        <w:tc>
          <w:tcPr>
            <w:tcW w:w="1173" w:type="dxa"/>
            <w:tcMar>
              <w:left w:w="108" w:type="dxa"/>
              <w:right w:w="108" w:type="dxa"/>
            </w:tcMar>
          </w:tcPr>
          <w:p w14:paraId="34BE3A7E" w14:textId="31F7B9C5" w:rsidR="285882C8" w:rsidRDefault="285882C8" w:rsidP="285882C8">
            <w:pPr>
              <w:jc w:val="center"/>
            </w:pPr>
            <w:r w:rsidRPr="285882C8">
              <w:rPr>
                <w:sz w:val="22"/>
                <w:szCs w:val="22"/>
              </w:rPr>
              <w:t xml:space="preserve"> </w:t>
            </w:r>
          </w:p>
        </w:tc>
        <w:tc>
          <w:tcPr>
            <w:tcW w:w="1121" w:type="dxa"/>
            <w:tcMar>
              <w:left w:w="108" w:type="dxa"/>
              <w:right w:w="108" w:type="dxa"/>
            </w:tcMar>
          </w:tcPr>
          <w:p w14:paraId="5A1492AC" w14:textId="32B04428" w:rsidR="285882C8" w:rsidRDefault="285882C8" w:rsidP="285882C8">
            <w:pPr>
              <w:jc w:val="center"/>
            </w:pPr>
            <w:r w:rsidRPr="285882C8">
              <w:rPr>
                <w:sz w:val="22"/>
                <w:szCs w:val="22"/>
              </w:rPr>
              <w:t xml:space="preserve"> </w:t>
            </w:r>
          </w:p>
        </w:tc>
        <w:tc>
          <w:tcPr>
            <w:tcW w:w="1173" w:type="dxa"/>
            <w:tcMar>
              <w:left w:w="108" w:type="dxa"/>
              <w:right w:w="108" w:type="dxa"/>
            </w:tcMar>
          </w:tcPr>
          <w:p w14:paraId="2E139F01" w14:textId="58B705B1" w:rsidR="285882C8" w:rsidRDefault="285882C8" w:rsidP="285882C8">
            <w:r w:rsidRPr="285882C8">
              <w:rPr>
                <w:sz w:val="22"/>
                <w:szCs w:val="22"/>
              </w:rPr>
              <w:t xml:space="preserve"> </w:t>
            </w:r>
          </w:p>
        </w:tc>
        <w:tc>
          <w:tcPr>
            <w:tcW w:w="1120" w:type="dxa"/>
            <w:tcMar>
              <w:left w:w="108" w:type="dxa"/>
              <w:right w:w="108" w:type="dxa"/>
            </w:tcMar>
          </w:tcPr>
          <w:p w14:paraId="0D2C4763" w14:textId="56608326" w:rsidR="285882C8" w:rsidRDefault="285882C8" w:rsidP="285882C8">
            <w:r w:rsidRPr="285882C8">
              <w:rPr>
                <w:sz w:val="22"/>
                <w:szCs w:val="22"/>
              </w:rPr>
              <w:t xml:space="preserve"> </w:t>
            </w:r>
          </w:p>
        </w:tc>
        <w:tc>
          <w:tcPr>
            <w:tcW w:w="1120" w:type="dxa"/>
            <w:tcMar>
              <w:left w:w="108" w:type="dxa"/>
              <w:right w:w="108" w:type="dxa"/>
            </w:tcMar>
          </w:tcPr>
          <w:p w14:paraId="3B6515E6" w14:textId="39A891C6" w:rsidR="285882C8" w:rsidRDefault="285882C8" w:rsidP="285882C8">
            <w:r w:rsidRPr="285882C8">
              <w:rPr>
                <w:sz w:val="22"/>
                <w:szCs w:val="22"/>
              </w:rPr>
              <w:t xml:space="preserve"> </w:t>
            </w:r>
          </w:p>
        </w:tc>
        <w:tc>
          <w:tcPr>
            <w:tcW w:w="1121" w:type="dxa"/>
            <w:tcMar>
              <w:left w:w="108" w:type="dxa"/>
              <w:right w:w="108" w:type="dxa"/>
            </w:tcMar>
          </w:tcPr>
          <w:p w14:paraId="66B6DE1C" w14:textId="1A19F6BA" w:rsidR="285882C8" w:rsidRDefault="285882C8" w:rsidP="285882C8">
            <w:r w:rsidRPr="285882C8">
              <w:rPr>
                <w:sz w:val="22"/>
                <w:szCs w:val="22"/>
              </w:rPr>
              <w:t xml:space="preserve"> </w:t>
            </w:r>
          </w:p>
        </w:tc>
      </w:tr>
      <w:tr w:rsidR="285882C8" w14:paraId="16569F38" w14:textId="77777777" w:rsidTr="002F3948">
        <w:trPr>
          <w:trHeight w:val="300"/>
        </w:trPr>
        <w:tc>
          <w:tcPr>
            <w:tcW w:w="1608" w:type="dxa"/>
            <w:tcMar>
              <w:left w:w="108" w:type="dxa"/>
              <w:right w:w="108" w:type="dxa"/>
            </w:tcMar>
          </w:tcPr>
          <w:p w14:paraId="62BAC42F" w14:textId="7F923AB0" w:rsidR="285882C8" w:rsidRDefault="285882C8" w:rsidP="285882C8">
            <w:proofErr w:type="spellStart"/>
            <w:proofErr w:type="gramStart"/>
            <w:r w:rsidRPr="285882C8">
              <w:rPr>
                <w:sz w:val="22"/>
                <w:szCs w:val="22"/>
              </w:rPr>
              <w:t>LD.logoilsale</w:t>
            </w:r>
            <w:proofErr w:type="spellEnd"/>
            <w:proofErr w:type="gramEnd"/>
          </w:p>
        </w:tc>
        <w:tc>
          <w:tcPr>
            <w:tcW w:w="1173" w:type="dxa"/>
            <w:tcMar>
              <w:left w:w="108" w:type="dxa"/>
              <w:right w:w="108" w:type="dxa"/>
            </w:tcMar>
          </w:tcPr>
          <w:p w14:paraId="591BB96D" w14:textId="3B9F2A8F" w:rsidR="285882C8" w:rsidRDefault="285882C8" w:rsidP="285882C8">
            <w:pPr>
              <w:jc w:val="center"/>
            </w:pPr>
            <w:r w:rsidRPr="285882C8">
              <w:rPr>
                <w:sz w:val="22"/>
                <w:szCs w:val="22"/>
              </w:rPr>
              <w:t xml:space="preserve"> </w:t>
            </w:r>
          </w:p>
        </w:tc>
        <w:tc>
          <w:tcPr>
            <w:tcW w:w="1121" w:type="dxa"/>
            <w:tcMar>
              <w:left w:w="108" w:type="dxa"/>
              <w:right w:w="108" w:type="dxa"/>
            </w:tcMar>
          </w:tcPr>
          <w:p w14:paraId="4DCAACF5" w14:textId="38659193" w:rsidR="285882C8" w:rsidRDefault="285882C8" w:rsidP="285882C8">
            <w:pPr>
              <w:jc w:val="center"/>
            </w:pPr>
            <w:r w:rsidRPr="285882C8">
              <w:rPr>
                <w:sz w:val="22"/>
                <w:szCs w:val="22"/>
              </w:rPr>
              <w:t>-1.139***</w:t>
            </w:r>
          </w:p>
        </w:tc>
        <w:tc>
          <w:tcPr>
            <w:tcW w:w="1173" w:type="dxa"/>
            <w:tcMar>
              <w:left w:w="108" w:type="dxa"/>
              <w:right w:w="108" w:type="dxa"/>
            </w:tcMar>
          </w:tcPr>
          <w:p w14:paraId="0E92DCAB" w14:textId="1AAA4D32" w:rsidR="285882C8" w:rsidRDefault="285882C8" w:rsidP="285882C8">
            <w:pPr>
              <w:jc w:val="center"/>
            </w:pPr>
            <w:r w:rsidRPr="285882C8">
              <w:rPr>
                <w:sz w:val="22"/>
                <w:szCs w:val="22"/>
              </w:rPr>
              <w:t xml:space="preserve"> </w:t>
            </w:r>
          </w:p>
        </w:tc>
        <w:tc>
          <w:tcPr>
            <w:tcW w:w="1120" w:type="dxa"/>
            <w:tcMar>
              <w:left w:w="108" w:type="dxa"/>
              <w:right w:w="108" w:type="dxa"/>
            </w:tcMar>
          </w:tcPr>
          <w:p w14:paraId="5DD4AC3F" w14:textId="3F9D260D" w:rsidR="285882C8" w:rsidRDefault="285882C8" w:rsidP="285882C8">
            <w:pPr>
              <w:jc w:val="center"/>
            </w:pPr>
            <w:r w:rsidRPr="285882C8">
              <w:rPr>
                <w:sz w:val="22"/>
                <w:szCs w:val="22"/>
              </w:rPr>
              <w:t>-1.156</w:t>
            </w:r>
            <w:r w:rsidRPr="285882C8">
              <w:rPr>
                <w:sz w:val="22"/>
                <w:szCs w:val="22"/>
                <w:vertAlign w:val="superscript"/>
              </w:rPr>
              <w:t>***</w:t>
            </w:r>
          </w:p>
        </w:tc>
        <w:tc>
          <w:tcPr>
            <w:tcW w:w="1120" w:type="dxa"/>
            <w:tcMar>
              <w:left w:w="108" w:type="dxa"/>
              <w:right w:w="108" w:type="dxa"/>
            </w:tcMar>
          </w:tcPr>
          <w:p w14:paraId="58F85E28" w14:textId="582A37AA" w:rsidR="285882C8" w:rsidRDefault="285882C8" w:rsidP="285882C8">
            <w:pPr>
              <w:jc w:val="center"/>
            </w:pPr>
            <w:r w:rsidRPr="285882C8">
              <w:rPr>
                <w:sz w:val="22"/>
                <w:szCs w:val="22"/>
              </w:rPr>
              <w:t>-0.560</w:t>
            </w:r>
            <w:r w:rsidRPr="285882C8">
              <w:rPr>
                <w:sz w:val="22"/>
                <w:szCs w:val="22"/>
                <w:vertAlign w:val="superscript"/>
              </w:rPr>
              <w:t>***</w:t>
            </w:r>
          </w:p>
        </w:tc>
        <w:tc>
          <w:tcPr>
            <w:tcW w:w="1121" w:type="dxa"/>
            <w:tcMar>
              <w:left w:w="108" w:type="dxa"/>
              <w:right w:w="108" w:type="dxa"/>
            </w:tcMar>
          </w:tcPr>
          <w:p w14:paraId="296F8B29" w14:textId="2927A82D" w:rsidR="285882C8" w:rsidRDefault="285882C8" w:rsidP="285882C8">
            <w:pPr>
              <w:jc w:val="center"/>
            </w:pPr>
            <w:r w:rsidRPr="285882C8">
              <w:rPr>
                <w:sz w:val="22"/>
                <w:szCs w:val="22"/>
              </w:rPr>
              <w:t>-0.560</w:t>
            </w:r>
            <w:r w:rsidRPr="285882C8">
              <w:rPr>
                <w:sz w:val="22"/>
                <w:szCs w:val="22"/>
                <w:vertAlign w:val="superscript"/>
              </w:rPr>
              <w:t>***</w:t>
            </w:r>
          </w:p>
        </w:tc>
      </w:tr>
      <w:tr w:rsidR="285882C8" w14:paraId="285D63B9" w14:textId="77777777" w:rsidTr="002F3948">
        <w:trPr>
          <w:trHeight w:val="300"/>
        </w:trPr>
        <w:tc>
          <w:tcPr>
            <w:tcW w:w="1608" w:type="dxa"/>
            <w:tcMar>
              <w:left w:w="108" w:type="dxa"/>
              <w:right w:w="108" w:type="dxa"/>
            </w:tcMar>
          </w:tcPr>
          <w:p w14:paraId="30278FE7" w14:textId="2B554F5D" w:rsidR="285882C8" w:rsidRDefault="285882C8" w:rsidP="285882C8">
            <w:r w:rsidRPr="285882C8">
              <w:rPr>
                <w:sz w:val="22"/>
                <w:szCs w:val="22"/>
              </w:rPr>
              <w:t xml:space="preserve"> </w:t>
            </w:r>
          </w:p>
        </w:tc>
        <w:tc>
          <w:tcPr>
            <w:tcW w:w="1173" w:type="dxa"/>
            <w:tcMar>
              <w:left w:w="108" w:type="dxa"/>
              <w:right w:w="108" w:type="dxa"/>
            </w:tcMar>
          </w:tcPr>
          <w:p w14:paraId="5A8C0A6F" w14:textId="0EB4972C" w:rsidR="285882C8" w:rsidRDefault="285882C8" w:rsidP="285882C8">
            <w:pPr>
              <w:jc w:val="center"/>
            </w:pPr>
            <w:r w:rsidRPr="285882C8">
              <w:rPr>
                <w:sz w:val="22"/>
                <w:szCs w:val="22"/>
              </w:rPr>
              <w:t xml:space="preserve"> </w:t>
            </w:r>
          </w:p>
        </w:tc>
        <w:tc>
          <w:tcPr>
            <w:tcW w:w="1121" w:type="dxa"/>
            <w:tcMar>
              <w:left w:w="108" w:type="dxa"/>
              <w:right w:w="108" w:type="dxa"/>
            </w:tcMar>
          </w:tcPr>
          <w:p w14:paraId="6D12353D" w14:textId="1252D3E2" w:rsidR="285882C8" w:rsidRDefault="285882C8" w:rsidP="285882C8">
            <w:pPr>
              <w:jc w:val="center"/>
            </w:pPr>
            <w:r w:rsidRPr="285882C8">
              <w:rPr>
                <w:sz w:val="22"/>
                <w:szCs w:val="22"/>
              </w:rPr>
              <w:t>(0.061)</w:t>
            </w:r>
          </w:p>
        </w:tc>
        <w:tc>
          <w:tcPr>
            <w:tcW w:w="1173" w:type="dxa"/>
            <w:tcMar>
              <w:left w:w="108" w:type="dxa"/>
              <w:right w:w="108" w:type="dxa"/>
            </w:tcMar>
          </w:tcPr>
          <w:p w14:paraId="2267C5C6" w14:textId="34950A86" w:rsidR="285882C8" w:rsidRDefault="285882C8" w:rsidP="285882C8">
            <w:pPr>
              <w:jc w:val="center"/>
            </w:pPr>
            <w:r w:rsidRPr="285882C8">
              <w:rPr>
                <w:sz w:val="22"/>
                <w:szCs w:val="22"/>
              </w:rPr>
              <w:t xml:space="preserve"> </w:t>
            </w:r>
          </w:p>
        </w:tc>
        <w:tc>
          <w:tcPr>
            <w:tcW w:w="1120" w:type="dxa"/>
            <w:tcMar>
              <w:left w:w="108" w:type="dxa"/>
              <w:right w:w="108" w:type="dxa"/>
            </w:tcMar>
          </w:tcPr>
          <w:p w14:paraId="45C08A0C" w14:textId="6F207D44" w:rsidR="285882C8" w:rsidRDefault="285882C8" w:rsidP="285882C8">
            <w:pPr>
              <w:jc w:val="center"/>
            </w:pPr>
            <w:r w:rsidRPr="285882C8">
              <w:rPr>
                <w:sz w:val="22"/>
                <w:szCs w:val="22"/>
              </w:rPr>
              <w:t>(0.060)</w:t>
            </w:r>
          </w:p>
        </w:tc>
        <w:tc>
          <w:tcPr>
            <w:tcW w:w="1120" w:type="dxa"/>
            <w:tcMar>
              <w:left w:w="108" w:type="dxa"/>
              <w:right w:w="108" w:type="dxa"/>
            </w:tcMar>
          </w:tcPr>
          <w:p w14:paraId="49981179" w14:textId="12DFD7A3" w:rsidR="285882C8" w:rsidRDefault="285882C8" w:rsidP="285882C8">
            <w:pPr>
              <w:jc w:val="center"/>
            </w:pPr>
            <w:r w:rsidRPr="285882C8">
              <w:rPr>
                <w:sz w:val="22"/>
                <w:szCs w:val="22"/>
              </w:rPr>
              <w:t>(-6.00)</w:t>
            </w:r>
          </w:p>
        </w:tc>
        <w:tc>
          <w:tcPr>
            <w:tcW w:w="1121" w:type="dxa"/>
            <w:tcMar>
              <w:left w:w="108" w:type="dxa"/>
              <w:right w:w="108" w:type="dxa"/>
            </w:tcMar>
          </w:tcPr>
          <w:p w14:paraId="4805F6C1" w14:textId="713B2866" w:rsidR="285882C8" w:rsidRDefault="285882C8" w:rsidP="285882C8">
            <w:pPr>
              <w:jc w:val="center"/>
            </w:pPr>
            <w:r w:rsidRPr="285882C8">
              <w:rPr>
                <w:sz w:val="22"/>
                <w:szCs w:val="22"/>
              </w:rPr>
              <w:t>(-6.00)</w:t>
            </w:r>
          </w:p>
        </w:tc>
      </w:tr>
      <w:tr w:rsidR="285882C8" w14:paraId="3FC0A375" w14:textId="77777777" w:rsidTr="002F3948">
        <w:trPr>
          <w:trHeight w:val="300"/>
        </w:trPr>
        <w:tc>
          <w:tcPr>
            <w:tcW w:w="1608" w:type="dxa"/>
            <w:tcMar>
              <w:left w:w="108" w:type="dxa"/>
              <w:right w:w="108" w:type="dxa"/>
            </w:tcMar>
          </w:tcPr>
          <w:p w14:paraId="3557C40D" w14:textId="15458703" w:rsidR="285882C8" w:rsidRDefault="285882C8" w:rsidP="285882C8">
            <w:r w:rsidRPr="285882C8">
              <w:rPr>
                <w:sz w:val="22"/>
                <w:szCs w:val="22"/>
              </w:rPr>
              <w:t xml:space="preserve"> </w:t>
            </w:r>
          </w:p>
        </w:tc>
        <w:tc>
          <w:tcPr>
            <w:tcW w:w="1173" w:type="dxa"/>
            <w:tcMar>
              <w:left w:w="108" w:type="dxa"/>
              <w:right w:w="108" w:type="dxa"/>
            </w:tcMar>
          </w:tcPr>
          <w:p w14:paraId="2CCA9213" w14:textId="7F5D1B34" w:rsidR="285882C8" w:rsidRDefault="285882C8" w:rsidP="285882C8">
            <w:pPr>
              <w:jc w:val="center"/>
            </w:pPr>
            <w:r w:rsidRPr="285882C8">
              <w:rPr>
                <w:sz w:val="22"/>
                <w:szCs w:val="22"/>
              </w:rPr>
              <w:t xml:space="preserve"> </w:t>
            </w:r>
          </w:p>
        </w:tc>
        <w:tc>
          <w:tcPr>
            <w:tcW w:w="1121" w:type="dxa"/>
            <w:tcMar>
              <w:left w:w="108" w:type="dxa"/>
              <w:right w:w="108" w:type="dxa"/>
            </w:tcMar>
          </w:tcPr>
          <w:p w14:paraId="33A9978F" w14:textId="34D2BC33" w:rsidR="285882C8" w:rsidRDefault="285882C8" w:rsidP="285882C8">
            <w:pPr>
              <w:jc w:val="center"/>
            </w:pPr>
            <w:r w:rsidRPr="285882C8">
              <w:rPr>
                <w:sz w:val="22"/>
                <w:szCs w:val="22"/>
              </w:rPr>
              <w:t xml:space="preserve"> </w:t>
            </w:r>
          </w:p>
        </w:tc>
        <w:tc>
          <w:tcPr>
            <w:tcW w:w="1173" w:type="dxa"/>
            <w:tcMar>
              <w:left w:w="108" w:type="dxa"/>
              <w:right w:w="108" w:type="dxa"/>
            </w:tcMar>
          </w:tcPr>
          <w:p w14:paraId="70EFB69E" w14:textId="3D74792B" w:rsidR="285882C8" w:rsidRDefault="285882C8" w:rsidP="285882C8">
            <w:r w:rsidRPr="285882C8">
              <w:rPr>
                <w:sz w:val="22"/>
                <w:szCs w:val="22"/>
              </w:rPr>
              <w:t xml:space="preserve"> </w:t>
            </w:r>
          </w:p>
        </w:tc>
        <w:tc>
          <w:tcPr>
            <w:tcW w:w="1120" w:type="dxa"/>
            <w:tcMar>
              <w:left w:w="108" w:type="dxa"/>
              <w:right w:w="108" w:type="dxa"/>
            </w:tcMar>
          </w:tcPr>
          <w:p w14:paraId="17E49301" w14:textId="6584A72E" w:rsidR="285882C8" w:rsidRDefault="285882C8" w:rsidP="285882C8">
            <w:r w:rsidRPr="285882C8">
              <w:rPr>
                <w:sz w:val="22"/>
                <w:szCs w:val="22"/>
              </w:rPr>
              <w:t xml:space="preserve"> </w:t>
            </w:r>
          </w:p>
        </w:tc>
        <w:tc>
          <w:tcPr>
            <w:tcW w:w="1120" w:type="dxa"/>
            <w:tcMar>
              <w:left w:w="108" w:type="dxa"/>
              <w:right w:w="108" w:type="dxa"/>
            </w:tcMar>
          </w:tcPr>
          <w:p w14:paraId="6F6C6C03" w14:textId="13716F5F" w:rsidR="285882C8" w:rsidRDefault="285882C8" w:rsidP="285882C8">
            <w:r w:rsidRPr="285882C8">
              <w:rPr>
                <w:sz w:val="22"/>
                <w:szCs w:val="22"/>
              </w:rPr>
              <w:t xml:space="preserve"> </w:t>
            </w:r>
          </w:p>
        </w:tc>
        <w:tc>
          <w:tcPr>
            <w:tcW w:w="1121" w:type="dxa"/>
            <w:tcMar>
              <w:left w:w="108" w:type="dxa"/>
              <w:right w:w="108" w:type="dxa"/>
            </w:tcMar>
          </w:tcPr>
          <w:p w14:paraId="7171424F" w14:textId="747EB7B6" w:rsidR="285882C8" w:rsidRDefault="285882C8" w:rsidP="285882C8">
            <w:r w:rsidRPr="285882C8">
              <w:rPr>
                <w:sz w:val="22"/>
                <w:szCs w:val="22"/>
              </w:rPr>
              <w:t xml:space="preserve"> </w:t>
            </w:r>
          </w:p>
        </w:tc>
      </w:tr>
      <w:tr w:rsidR="285882C8" w14:paraId="14FE7363" w14:textId="77777777" w:rsidTr="002F3948">
        <w:trPr>
          <w:trHeight w:val="300"/>
        </w:trPr>
        <w:tc>
          <w:tcPr>
            <w:tcW w:w="1608" w:type="dxa"/>
            <w:tcMar>
              <w:left w:w="108" w:type="dxa"/>
              <w:right w:w="108" w:type="dxa"/>
            </w:tcMar>
          </w:tcPr>
          <w:p w14:paraId="36BF31F2" w14:textId="76B51E41" w:rsidR="285882C8" w:rsidRDefault="285882C8" w:rsidP="285882C8">
            <w:r w:rsidRPr="285882C8">
              <w:rPr>
                <w:sz w:val="22"/>
                <w:szCs w:val="22"/>
              </w:rPr>
              <w:t>L2D.logoilsale</w:t>
            </w:r>
          </w:p>
        </w:tc>
        <w:tc>
          <w:tcPr>
            <w:tcW w:w="1173" w:type="dxa"/>
            <w:tcMar>
              <w:left w:w="108" w:type="dxa"/>
              <w:right w:w="108" w:type="dxa"/>
            </w:tcMar>
          </w:tcPr>
          <w:p w14:paraId="33445086" w14:textId="257238C2" w:rsidR="285882C8" w:rsidRDefault="285882C8" w:rsidP="285882C8">
            <w:pPr>
              <w:jc w:val="center"/>
            </w:pPr>
            <w:r w:rsidRPr="285882C8">
              <w:rPr>
                <w:sz w:val="22"/>
                <w:szCs w:val="22"/>
              </w:rPr>
              <w:t xml:space="preserve"> </w:t>
            </w:r>
          </w:p>
        </w:tc>
        <w:tc>
          <w:tcPr>
            <w:tcW w:w="1121" w:type="dxa"/>
            <w:tcMar>
              <w:left w:w="108" w:type="dxa"/>
              <w:right w:w="108" w:type="dxa"/>
            </w:tcMar>
          </w:tcPr>
          <w:p w14:paraId="164CE81A" w14:textId="2808968D" w:rsidR="285882C8" w:rsidRDefault="285882C8" w:rsidP="285882C8">
            <w:pPr>
              <w:jc w:val="center"/>
            </w:pPr>
            <w:r w:rsidRPr="285882C8">
              <w:rPr>
                <w:sz w:val="22"/>
                <w:szCs w:val="22"/>
              </w:rPr>
              <w:t>-0.902***</w:t>
            </w:r>
          </w:p>
        </w:tc>
        <w:tc>
          <w:tcPr>
            <w:tcW w:w="1173" w:type="dxa"/>
            <w:tcMar>
              <w:left w:w="108" w:type="dxa"/>
              <w:right w:w="108" w:type="dxa"/>
            </w:tcMar>
          </w:tcPr>
          <w:p w14:paraId="22482AAD" w14:textId="7664C589" w:rsidR="285882C8" w:rsidRDefault="285882C8" w:rsidP="285882C8">
            <w:pPr>
              <w:jc w:val="center"/>
            </w:pPr>
            <w:r w:rsidRPr="285882C8">
              <w:rPr>
                <w:sz w:val="22"/>
                <w:szCs w:val="22"/>
              </w:rPr>
              <w:t xml:space="preserve"> </w:t>
            </w:r>
          </w:p>
        </w:tc>
        <w:tc>
          <w:tcPr>
            <w:tcW w:w="1120" w:type="dxa"/>
            <w:tcMar>
              <w:left w:w="108" w:type="dxa"/>
              <w:right w:w="108" w:type="dxa"/>
            </w:tcMar>
          </w:tcPr>
          <w:p w14:paraId="4D8691FB" w14:textId="01341233" w:rsidR="285882C8" w:rsidRDefault="285882C8" w:rsidP="285882C8">
            <w:pPr>
              <w:jc w:val="center"/>
            </w:pPr>
            <w:r w:rsidRPr="285882C8">
              <w:rPr>
                <w:sz w:val="22"/>
                <w:szCs w:val="22"/>
              </w:rPr>
              <w:t>-0.925</w:t>
            </w:r>
            <w:r w:rsidRPr="285882C8">
              <w:rPr>
                <w:sz w:val="22"/>
                <w:szCs w:val="22"/>
                <w:vertAlign w:val="superscript"/>
              </w:rPr>
              <w:t>***</w:t>
            </w:r>
          </w:p>
        </w:tc>
        <w:tc>
          <w:tcPr>
            <w:tcW w:w="1120" w:type="dxa"/>
            <w:tcMar>
              <w:left w:w="108" w:type="dxa"/>
              <w:right w:w="108" w:type="dxa"/>
            </w:tcMar>
          </w:tcPr>
          <w:p w14:paraId="4E3E90A0" w14:textId="1967D8D8" w:rsidR="285882C8" w:rsidRDefault="285882C8" w:rsidP="285882C8">
            <w:pPr>
              <w:jc w:val="center"/>
            </w:pPr>
            <w:r w:rsidRPr="285882C8">
              <w:rPr>
                <w:sz w:val="22"/>
                <w:szCs w:val="22"/>
              </w:rPr>
              <w:t>-0.421</w:t>
            </w:r>
            <w:r w:rsidRPr="285882C8">
              <w:rPr>
                <w:sz w:val="22"/>
                <w:szCs w:val="22"/>
                <w:vertAlign w:val="superscript"/>
              </w:rPr>
              <w:t>***</w:t>
            </w:r>
          </w:p>
        </w:tc>
        <w:tc>
          <w:tcPr>
            <w:tcW w:w="1121" w:type="dxa"/>
            <w:tcMar>
              <w:left w:w="108" w:type="dxa"/>
              <w:right w:w="108" w:type="dxa"/>
            </w:tcMar>
          </w:tcPr>
          <w:p w14:paraId="0943BFFB" w14:textId="574A1247" w:rsidR="285882C8" w:rsidRDefault="285882C8" w:rsidP="285882C8">
            <w:pPr>
              <w:jc w:val="center"/>
            </w:pPr>
            <w:r w:rsidRPr="285882C8">
              <w:rPr>
                <w:sz w:val="22"/>
                <w:szCs w:val="22"/>
              </w:rPr>
              <w:t>-0.421</w:t>
            </w:r>
            <w:r w:rsidRPr="285882C8">
              <w:rPr>
                <w:sz w:val="22"/>
                <w:szCs w:val="22"/>
                <w:vertAlign w:val="superscript"/>
              </w:rPr>
              <w:t>***</w:t>
            </w:r>
          </w:p>
        </w:tc>
      </w:tr>
      <w:tr w:rsidR="285882C8" w14:paraId="1C3DB16E" w14:textId="77777777" w:rsidTr="002F3948">
        <w:trPr>
          <w:trHeight w:val="300"/>
        </w:trPr>
        <w:tc>
          <w:tcPr>
            <w:tcW w:w="1608" w:type="dxa"/>
            <w:tcMar>
              <w:left w:w="108" w:type="dxa"/>
              <w:right w:w="108" w:type="dxa"/>
            </w:tcMar>
          </w:tcPr>
          <w:p w14:paraId="1D1003A8" w14:textId="4B9A1460" w:rsidR="285882C8" w:rsidRDefault="285882C8" w:rsidP="285882C8">
            <w:r w:rsidRPr="285882C8">
              <w:rPr>
                <w:sz w:val="22"/>
                <w:szCs w:val="22"/>
              </w:rPr>
              <w:t xml:space="preserve"> </w:t>
            </w:r>
          </w:p>
        </w:tc>
        <w:tc>
          <w:tcPr>
            <w:tcW w:w="1173" w:type="dxa"/>
            <w:tcMar>
              <w:left w:w="108" w:type="dxa"/>
              <w:right w:w="108" w:type="dxa"/>
            </w:tcMar>
          </w:tcPr>
          <w:p w14:paraId="0AB67948" w14:textId="2A8866DD" w:rsidR="285882C8" w:rsidRDefault="285882C8" w:rsidP="285882C8">
            <w:pPr>
              <w:jc w:val="center"/>
            </w:pPr>
            <w:r w:rsidRPr="285882C8">
              <w:rPr>
                <w:sz w:val="22"/>
                <w:szCs w:val="22"/>
              </w:rPr>
              <w:t xml:space="preserve"> </w:t>
            </w:r>
          </w:p>
        </w:tc>
        <w:tc>
          <w:tcPr>
            <w:tcW w:w="1121" w:type="dxa"/>
            <w:tcMar>
              <w:left w:w="108" w:type="dxa"/>
              <w:right w:w="108" w:type="dxa"/>
            </w:tcMar>
          </w:tcPr>
          <w:p w14:paraId="40DD1B67" w14:textId="4474C798" w:rsidR="285882C8" w:rsidRDefault="285882C8" w:rsidP="285882C8">
            <w:pPr>
              <w:jc w:val="center"/>
            </w:pPr>
            <w:r w:rsidRPr="285882C8">
              <w:rPr>
                <w:sz w:val="22"/>
                <w:szCs w:val="22"/>
              </w:rPr>
              <w:t>(0.076)</w:t>
            </w:r>
          </w:p>
        </w:tc>
        <w:tc>
          <w:tcPr>
            <w:tcW w:w="1173" w:type="dxa"/>
            <w:tcMar>
              <w:left w:w="108" w:type="dxa"/>
              <w:right w:w="108" w:type="dxa"/>
            </w:tcMar>
          </w:tcPr>
          <w:p w14:paraId="479C3A62" w14:textId="4EEF702B" w:rsidR="285882C8" w:rsidRDefault="285882C8" w:rsidP="285882C8">
            <w:pPr>
              <w:jc w:val="center"/>
            </w:pPr>
            <w:r w:rsidRPr="285882C8">
              <w:rPr>
                <w:sz w:val="22"/>
                <w:szCs w:val="22"/>
              </w:rPr>
              <w:t xml:space="preserve"> </w:t>
            </w:r>
          </w:p>
        </w:tc>
        <w:tc>
          <w:tcPr>
            <w:tcW w:w="1120" w:type="dxa"/>
            <w:tcMar>
              <w:left w:w="108" w:type="dxa"/>
              <w:right w:w="108" w:type="dxa"/>
            </w:tcMar>
          </w:tcPr>
          <w:p w14:paraId="58007582" w14:textId="26C82033" w:rsidR="285882C8" w:rsidRDefault="285882C8" w:rsidP="285882C8">
            <w:pPr>
              <w:jc w:val="center"/>
            </w:pPr>
            <w:r w:rsidRPr="285882C8">
              <w:rPr>
                <w:sz w:val="22"/>
                <w:szCs w:val="22"/>
              </w:rPr>
              <w:t>(0.076)</w:t>
            </w:r>
          </w:p>
        </w:tc>
        <w:tc>
          <w:tcPr>
            <w:tcW w:w="1120" w:type="dxa"/>
            <w:tcMar>
              <w:left w:w="108" w:type="dxa"/>
              <w:right w:w="108" w:type="dxa"/>
            </w:tcMar>
          </w:tcPr>
          <w:p w14:paraId="354BAE81" w14:textId="1416D378" w:rsidR="285882C8" w:rsidRDefault="285882C8" w:rsidP="285882C8">
            <w:pPr>
              <w:jc w:val="center"/>
            </w:pPr>
            <w:r w:rsidRPr="285882C8">
              <w:rPr>
                <w:sz w:val="22"/>
                <w:szCs w:val="22"/>
              </w:rPr>
              <w:t>(-4.46)</w:t>
            </w:r>
          </w:p>
        </w:tc>
        <w:tc>
          <w:tcPr>
            <w:tcW w:w="1121" w:type="dxa"/>
            <w:tcMar>
              <w:left w:w="108" w:type="dxa"/>
              <w:right w:w="108" w:type="dxa"/>
            </w:tcMar>
          </w:tcPr>
          <w:p w14:paraId="448B1DFA" w14:textId="3B5EFFE3" w:rsidR="285882C8" w:rsidRDefault="285882C8" w:rsidP="285882C8">
            <w:pPr>
              <w:jc w:val="center"/>
            </w:pPr>
            <w:r w:rsidRPr="285882C8">
              <w:rPr>
                <w:sz w:val="22"/>
                <w:szCs w:val="22"/>
              </w:rPr>
              <w:t>(-4.46)</w:t>
            </w:r>
          </w:p>
        </w:tc>
      </w:tr>
      <w:tr w:rsidR="285882C8" w14:paraId="69823FC2" w14:textId="77777777" w:rsidTr="002F3948">
        <w:trPr>
          <w:trHeight w:val="300"/>
        </w:trPr>
        <w:tc>
          <w:tcPr>
            <w:tcW w:w="1608" w:type="dxa"/>
            <w:tcMar>
              <w:left w:w="108" w:type="dxa"/>
              <w:right w:w="108" w:type="dxa"/>
            </w:tcMar>
          </w:tcPr>
          <w:p w14:paraId="419B5CC1" w14:textId="202A8D19" w:rsidR="285882C8" w:rsidRDefault="285882C8" w:rsidP="285882C8">
            <w:r w:rsidRPr="285882C8">
              <w:rPr>
                <w:sz w:val="22"/>
                <w:szCs w:val="22"/>
              </w:rPr>
              <w:t xml:space="preserve"> </w:t>
            </w:r>
          </w:p>
        </w:tc>
        <w:tc>
          <w:tcPr>
            <w:tcW w:w="1173" w:type="dxa"/>
            <w:tcMar>
              <w:left w:w="108" w:type="dxa"/>
              <w:right w:w="108" w:type="dxa"/>
            </w:tcMar>
          </w:tcPr>
          <w:p w14:paraId="5F5F009B" w14:textId="17E8DAFA" w:rsidR="285882C8" w:rsidRDefault="285882C8" w:rsidP="285882C8">
            <w:pPr>
              <w:jc w:val="center"/>
            </w:pPr>
            <w:r w:rsidRPr="285882C8">
              <w:rPr>
                <w:sz w:val="22"/>
                <w:szCs w:val="22"/>
              </w:rPr>
              <w:t xml:space="preserve"> </w:t>
            </w:r>
          </w:p>
        </w:tc>
        <w:tc>
          <w:tcPr>
            <w:tcW w:w="1121" w:type="dxa"/>
            <w:tcMar>
              <w:left w:w="108" w:type="dxa"/>
              <w:right w:w="108" w:type="dxa"/>
            </w:tcMar>
          </w:tcPr>
          <w:p w14:paraId="65EB1760" w14:textId="4C4D726D" w:rsidR="285882C8" w:rsidRDefault="285882C8" w:rsidP="285882C8">
            <w:pPr>
              <w:jc w:val="center"/>
            </w:pPr>
            <w:r w:rsidRPr="285882C8">
              <w:rPr>
                <w:sz w:val="22"/>
                <w:szCs w:val="22"/>
              </w:rPr>
              <w:t xml:space="preserve"> </w:t>
            </w:r>
          </w:p>
        </w:tc>
        <w:tc>
          <w:tcPr>
            <w:tcW w:w="1173" w:type="dxa"/>
            <w:tcMar>
              <w:left w:w="108" w:type="dxa"/>
              <w:right w:w="108" w:type="dxa"/>
            </w:tcMar>
          </w:tcPr>
          <w:p w14:paraId="29F49070" w14:textId="1C397CF9" w:rsidR="285882C8" w:rsidRDefault="285882C8" w:rsidP="285882C8">
            <w:r w:rsidRPr="285882C8">
              <w:rPr>
                <w:sz w:val="22"/>
                <w:szCs w:val="22"/>
              </w:rPr>
              <w:t xml:space="preserve"> </w:t>
            </w:r>
          </w:p>
        </w:tc>
        <w:tc>
          <w:tcPr>
            <w:tcW w:w="1120" w:type="dxa"/>
            <w:tcMar>
              <w:left w:w="108" w:type="dxa"/>
              <w:right w:w="108" w:type="dxa"/>
            </w:tcMar>
          </w:tcPr>
          <w:p w14:paraId="304B0F32" w14:textId="69546CC1" w:rsidR="285882C8" w:rsidRDefault="285882C8" w:rsidP="285882C8">
            <w:r w:rsidRPr="285882C8">
              <w:rPr>
                <w:sz w:val="22"/>
                <w:szCs w:val="22"/>
              </w:rPr>
              <w:t xml:space="preserve"> </w:t>
            </w:r>
          </w:p>
        </w:tc>
        <w:tc>
          <w:tcPr>
            <w:tcW w:w="1120" w:type="dxa"/>
            <w:tcMar>
              <w:left w:w="108" w:type="dxa"/>
              <w:right w:w="108" w:type="dxa"/>
            </w:tcMar>
          </w:tcPr>
          <w:p w14:paraId="08D190BB" w14:textId="6DD957E8" w:rsidR="285882C8" w:rsidRDefault="285882C8" w:rsidP="285882C8">
            <w:r w:rsidRPr="285882C8">
              <w:rPr>
                <w:sz w:val="22"/>
                <w:szCs w:val="22"/>
              </w:rPr>
              <w:t xml:space="preserve"> </w:t>
            </w:r>
          </w:p>
        </w:tc>
        <w:tc>
          <w:tcPr>
            <w:tcW w:w="1121" w:type="dxa"/>
            <w:tcMar>
              <w:left w:w="108" w:type="dxa"/>
              <w:right w:w="108" w:type="dxa"/>
            </w:tcMar>
          </w:tcPr>
          <w:p w14:paraId="753CA906" w14:textId="432E748D" w:rsidR="285882C8" w:rsidRDefault="285882C8" w:rsidP="285882C8">
            <w:r w:rsidRPr="285882C8">
              <w:rPr>
                <w:sz w:val="22"/>
                <w:szCs w:val="22"/>
              </w:rPr>
              <w:t xml:space="preserve"> </w:t>
            </w:r>
          </w:p>
        </w:tc>
      </w:tr>
      <w:tr w:rsidR="285882C8" w14:paraId="3F9DC494" w14:textId="77777777" w:rsidTr="002F3948">
        <w:trPr>
          <w:trHeight w:val="300"/>
        </w:trPr>
        <w:tc>
          <w:tcPr>
            <w:tcW w:w="1608" w:type="dxa"/>
            <w:tcMar>
              <w:left w:w="108" w:type="dxa"/>
              <w:right w:w="108" w:type="dxa"/>
            </w:tcMar>
          </w:tcPr>
          <w:p w14:paraId="45F884D6" w14:textId="2AB6783B" w:rsidR="285882C8" w:rsidRDefault="285882C8" w:rsidP="285882C8">
            <w:r w:rsidRPr="285882C8">
              <w:rPr>
                <w:sz w:val="22"/>
                <w:szCs w:val="22"/>
              </w:rPr>
              <w:t>L3D.logoilsale</w:t>
            </w:r>
          </w:p>
        </w:tc>
        <w:tc>
          <w:tcPr>
            <w:tcW w:w="1173" w:type="dxa"/>
            <w:tcMar>
              <w:left w:w="108" w:type="dxa"/>
              <w:right w:w="108" w:type="dxa"/>
            </w:tcMar>
          </w:tcPr>
          <w:p w14:paraId="30DB3839" w14:textId="17F1A0EA" w:rsidR="285882C8" w:rsidRDefault="285882C8" w:rsidP="285882C8">
            <w:pPr>
              <w:jc w:val="center"/>
            </w:pPr>
            <w:r w:rsidRPr="285882C8">
              <w:rPr>
                <w:sz w:val="22"/>
                <w:szCs w:val="22"/>
              </w:rPr>
              <w:t xml:space="preserve"> </w:t>
            </w:r>
          </w:p>
        </w:tc>
        <w:tc>
          <w:tcPr>
            <w:tcW w:w="1121" w:type="dxa"/>
            <w:tcMar>
              <w:left w:w="108" w:type="dxa"/>
              <w:right w:w="108" w:type="dxa"/>
            </w:tcMar>
          </w:tcPr>
          <w:p w14:paraId="5536E386" w14:textId="4D9EB4AA" w:rsidR="285882C8" w:rsidRDefault="285882C8" w:rsidP="285882C8">
            <w:pPr>
              <w:jc w:val="center"/>
            </w:pPr>
            <w:r w:rsidRPr="285882C8">
              <w:rPr>
                <w:sz w:val="22"/>
                <w:szCs w:val="22"/>
              </w:rPr>
              <w:t>-0.359***</w:t>
            </w:r>
          </w:p>
        </w:tc>
        <w:tc>
          <w:tcPr>
            <w:tcW w:w="1173" w:type="dxa"/>
            <w:tcMar>
              <w:left w:w="108" w:type="dxa"/>
              <w:right w:w="108" w:type="dxa"/>
            </w:tcMar>
          </w:tcPr>
          <w:p w14:paraId="0FE562C6" w14:textId="303E27BF" w:rsidR="285882C8" w:rsidRDefault="285882C8" w:rsidP="285882C8">
            <w:pPr>
              <w:jc w:val="center"/>
            </w:pPr>
            <w:r w:rsidRPr="285882C8">
              <w:rPr>
                <w:sz w:val="22"/>
                <w:szCs w:val="22"/>
              </w:rPr>
              <w:t xml:space="preserve"> </w:t>
            </w:r>
          </w:p>
        </w:tc>
        <w:tc>
          <w:tcPr>
            <w:tcW w:w="1120" w:type="dxa"/>
            <w:tcMar>
              <w:left w:w="108" w:type="dxa"/>
              <w:right w:w="108" w:type="dxa"/>
            </w:tcMar>
          </w:tcPr>
          <w:p w14:paraId="6FD08A2B" w14:textId="680A01B4" w:rsidR="285882C8" w:rsidRDefault="285882C8" w:rsidP="285882C8">
            <w:pPr>
              <w:jc w:val="center"/>
            </w:pPr>
            <w:r w:rsidRPr="285882C8">
              <w:rPr>
                <w:sz w:val="22"/>
                <w:szCs w:val="22"/>
              </w:rPr>
              <w:t>-0.378</w:t>
            </w:r>
            <w:r w:rsidRPr="285882C8">
              <w:rPr>
                <w:sz w:val="22"/>
                <w:szCs w:val="22"/>
                <w:vertAlign w:val="superscript"/>
              </w:rPr>
              <w:t>***</w:t>
            </w:r>
          </w:p>
        </w:tc>
        <w:tc>
          <w:tcPr>
            <w:tcW w:w="1120" w:type="dxa"/>
            <w:tcMar>
              <w:left w:w="108" w:type="dxa"/>
              <w:right w:w="108" w:type="dxa"/>
            </w:tcMar>
          </w:tcPr>
          <w:p w14:paraId="765F2ACC" w14:textId="3EF3E9B1" w:rsidR="285882C8" w:rsidRDefault="285882C8" w:rsidP="285882C8">
            <w:pPr>
              <w:jc w:val="center"/>
            </w:pPr>
            <w:r w:rsidRPr="285882C8">
              <w:rPr>
                <w:sz w:val="22"/>
                <w:szCs w:val="22"/>
              </w:rPr>
              <w:t>-0.0860</w:t>
            </w:r>
          </w:p>
        </w:tc>
        <w:tc>
          <w:tcPr>
            <w:tcW w:w="1121" w:type="dxa"/>
            <w:tcMar>
              <w:left w:w="108" w:type="dxa"/>
              <w:right w:w="108" w:type="dxa"/>
            </w:tcMar>
          </w:tcPr>
          <w:p w14:paraId="1DF6BD6B" w14:textId="5CA02CB4" w:rsidR="285882C8" w:rsidRDefault="285882C8" w:rsidP="285882C8">
            <w:pPr>
              <w:jc w:val="center"/>
            </w:pPr>
            <w:r w:rsidRPr="285882C8">
              <w:rPr>
                <w:sz w:val="22"/>
                <w:szCs w:val="22"/>
              </w:rPr>
              <w:t>-0.0860</w:t>
            </w:r>
          </w:p>
        </w:tc>
      </w:tr>
      <w:tr w:rsidR="285882C8" w14:paraId="47F67424" w14:textId="77777777" w:rsidTr="002F3948">
        <w:trPr>
          <w:trHeight w:val="300"/>
        </w:trPr>
        <w:tc>
          <w:tcPr>
            <w:tcW w:w="1608" w:type="dxa"/>
            <w:tcMar>
              <w:left w:w="108" w:type="dxa"/>
              <w:right w:w="108" w:type="dxa"/>
            </w:tcMar>
          </w:tcPr>
          <w:p w14:paraId="2F847910" w14:textId="7E4E991A" w:rsidR="285882C8" w:rsidRDefault="285882C8" w:rsidP="285882C8">
            <w:r w:rsidRPr="285882C8">
              <w:rPr>
                <w:sz w:val="22"/>
                <w:szCs w:val="22"/>
              </w:rPr>
              <w:t xml:space="preserve"> </w:t>
            </w:r>
          </w:p>
        </w:tc>
        <w:tc>
          <w:tcPr>
            <w:tcW w:w="1173" w:type="dxa"/>
            <w:tcMar>
              <w:left w:w="108" w:type="dxa"/>
              <w:right w:w="108" w:type="dxa"/>
            </w:tcMar>
          </w:tcPr>
          <w:p w14:paraId="36A613CE" w14:textId="5E1C7CF3" w:rsidR="285882C8" w:rsidRDefault="285882C8" w:rsidP="285882C8">
            <w:pPr>
              <w:jc w:val="center"/>
            </w:pPr>
            <w:r w:rsidRPr="285882C8">
              <w:rPr>
                <w:sz w:val="22"/>
                <w:szCs w:val="22"/>
              </w:rPr>
              <w:t xml:space="preserve"> </w:t>
            </w:r>
          </w:p>
        </w:tc>
        <w:tc>
          <w:tcPr>
            <w:tcW w:w="1121" w:type="dxa"/>
            <w:tcMar>
              <w:left w:w="108" w:type="dxa"/>
              <w:right w:w="108" w:type="dxa"/>
            </w:tcMar>
          </w:tcPr>
          <w:p w14:paraId="61504EF9" w14:textId="2CA78A95" w:rsidR="285882C8" w:rsidRDefault="285882C8" w:rsidP="285882C8">
            <w:pPr>
              <w:jc w:val="center"/>
            </w:pPr>
            <w:r w:rsidRPr="285882C8">
              <w:rPr>
                <w:sz w:val="22"/>
                <w:szCs w:val="22"/>
              </w:rPr>
              <w:t>(0.061)</w:t>
            </w:r>
          </w:p>
        </w:tc>
        <w:tc>
          <w:tcPr>
            <w:tcW w:w="1173" w:type="dxa"/>
            <w:tcMar>
              <w:left w:w="108" w:type="dxa"/>
              <w:right w:w="108" w:type="dxa"/>
            </w:tcMar>
          </w:tcPr>
          <w:p w14:paraId="5DEDFAAB" w14:textId="52E5EF0D" w:rsidR="285882C8" w:rsidRDefault="285882C8" w:rsidP="285882C8">
            <w:pPr>
              <w:jc w:val="center"/>
            </w:pPr>
            <w:r w:rsidRPr="285882C8">
              <w:rPr>
                <w:sz w:val="22"/>
                <w:szCs w:val="22"/>
              </w:rPr>
              <w:t xml:space="preserve"> </w:t>
            </w:r>
          </w:p>
        </w:tc>
        <w:tc>
          <w:tcPr>
            <w:tcW w:w="1120" w:type="dxa"/>
            <w:tcMar>
              <w:left w:w="108" w:type="dxa"/>
              <w:right w:w="108" w:type="dxa"/>
            </w:tcMar>
          </w:tcPr>
          <w:p w14:paraId="6BED7180" w14:textId="24F5EED5" w:rsidR="285882C8" w:rsidRDefault="285882C8" w:rsidP="285882C8">
            <w:pPr>
              <w:jc w:val="center"/>
            </w:pPr>
            <w:r w:rsidRPr="285882C8">
              <w:rPr>
                <w:sz w:val="22"/>
                <w:szCs w:val="22"/>
              </w:rPr>
              <w:t>(0.061)</w:t>
            </w:r>
          </w:p>
        </w:tc>
        <w:tc>
          <w:tcPr>
            <w:tcW w:w="1120" w:type="dxa"/>
            <w:tcMar>
              <w:left w:w="108" w:type="dxa"/>
              <w:right w:w="108" w:type="dxa"/>
            </w:tcMar>
          </w:tcPr>
          <w:p w14:paraId="4E935301" w14:textId="72C3AC70" w:rsidR="285882C8" w:rsidRDefault="285882C8" w:rsidP="285882C8">
            <w:pPr>
              <w:jc w:val="center"/>
            </w:pPr>
            <w:r w:rsidRPr="285882C8">
              <w:rPr>
                <w:sz w:val="22"/>
                <w:szCs w:val="22"/>
              </w:rPr>
              <w:t>(-1.26)</w:t>
            </w:r>
          </w:p>
        </w:tc>
        <w:tc>
          <w:tcPr>
            <w:tcW w:w="1121" w:type="dxa"/>
            <w:tcMar>
              <w:left w:w="108" w:type="dxa"/>
              <w:right w:w="108" w:type="dxa"/>
            </w:tcMar>
          </w:tcPr>
          <w:p w14:paraId="2970BA41" w14:textId="697A98DE" w:rsidR="285882C8" w:rsidRDefault="285882C8" w:rsidP="285882C8">
            <w:pPr>
              <w:jc w:val="center"/>
            </w:pPr>
            <w:r w:rsidRPr="285882C8">
              <w:rPr>
                <w:sz w:val="22"/>
                <w:szCs w:val="22"/>
              </w:rPr>
              <w:t>(-1.26)</w:t>
            </w:r>
          </w:p>
        </w:tc>
      </w:tr>
      <w:tr w:rsidR="285882C8" w14:paraId="423F1275" w14:textId="77777777" w:rsidTr="002F3948">
        <w:trPr>
          <w:trHeight w:val="300"/>
        </w:trPr>
        <w:tc>
          <w:tcPr>
            <w:tcW w:w="1608" w:type="dxa"/>
            <w:tcMar>
              <w:left w:w="108" w:type="dxa"/>
              <w:right w:w="108" w:type="dxa"/>
            </w:tcMar>
          </w:tcPr>
          <w:p w14:paraId="1DB9D426" w14:textId="47A061E6" w:rsidR="285882C8" w:rsidRDefault="285882C8" w:rsidP="285882C8">
            <w:r w:rsidRPr="285882C8">
              <w:rPr>
                <w:sz w:val="24"/>
                <w:szCs w:val="24"/>
              </w:rPr>
              <w:t xml:space="preserve"> </w:t>
            </w:r>
          </w:p>
        </w:tc>
        <w:tc>
          <w:tcPr>
            <w:tcW w:w="1173" w:type="dxa"/>
            <w:tcMar>
              <w:left w:w="108" w:type="dxa"/>
              <w:right w:w="108" w:type="dxa"/>
            </w:tcMar>
          </w:tcPr>
          <w:p w14:paraId="1A8A49A6" w14:textId="563ECAE4" w:rsidR="285882C8" w:rsidRDefault="285882C8" w:rsidP="285882C8">
            <w:pPr>
              <w:jc w:val="center"/>
            </w:pPr>
            <w:r w:rsidRPr="285882C8">
              <w:rPr>
                <w:sz w:val="22"/>
                <w:szCs w:val="22"/>
              </w:rPr>
              <w:t xml:space="preserve"> </w:t>
            </w:r>
          </w:p>
        </w:tc>
        <w:tc>
          <w:tcPr>
            <w:tcW w:w="1121" w:type="dxa"/>
            <w:tcMar>
              <w:left w:w="108" w:type="dxa"/>
              <w:right w:w="108" w:type="dxa"/>
            </w:tcMar>
          </w:tcPr>
          <w:p w14:paraId="7DDEAE14" w14:textId="46ED8B00" w:rsidR="285882C8" w:rsidRDefault="285882C8" w:rsidP="285882C8">
            <w:pPr>
              <w:jc w:val="center"/>
            </w:pPr>
            <w:r w:rsidRPr="285882C8">
              <w:rPr>
                <w:sz w:val="22"/>
                <w:szCs w:val="22"/>
              </w:rPr>
              <w:t xml:space="preserve"> </w:t>
            </w:r>
          </w:p>
        </w:tc>
        <w:tc>
          <w:tcPr>
            <w:tcW w:w="1173" w:type="dxa"/>
            <w:tcMar>
              <w:left w:w="108" w:type="dxa"/>
              <w:right w:w="108" w:type="dxa"/>
            </w:tcMar>
          </w:tcPr>
          <w:p w14:paraId="1AB861DC" w14:textId="3E612EDB" w:rsidR="285882C8" w:rsidRDefault="285882C8" w:rsidP="285882C8">
            <w:pPr>
              <w:jc w:val="center"/>
            </w:pPr>
            <w:r w:rsidRPr="285882C8">
              <w:rPr>
                <w:sz w:val="24"/>
                <w:szCs w:val="24"/>
              </w:rPr>
              <w:t xml:space="preserve"> </w:t>
            </w:r>
          </w:p>
        </w:tc>
        <w:tc>
          <w:tcPr>
            <w:tcW w:w="1120" w:type="dxa"/>
            <w:tcMar>
              <w:left w:w="108" w:type="dxa"/>
              <w:right w:w="108" w:type="dxa"/>
            </w:tcMar>
          </w:tcPr>
          <w:p w14:paraId="192F74DB" w14:textId="114C14E1" w:rsidR="285882C8" w:rsidRDefault="285882C8" w:rsidP="285882C8">
            <w:pPr>
              <w:jc w:val="center"/>
            </w:pPr>
            <w:r w:rsidRPr="285882C8">
              <w:rPr>
                <w:sz w:val="24"/>
                <w:szCs w:val="24"/>
              </w:rPr>
              <w:t xml:space="preserve"> </w:t>
            </w:r>
          </w:p>
        </w:tc>
        <w:tc>
          <w:tcPr>
            <w:tcW w:w="1120" w:type="dxa"/>
            <w:tcMar>
              <w:left w:w="108" w:type="dxa"/>
              <w:right w:w="108" w:type="dxa"/>
            </w:tcMar>
          </w:tcPr>
          <w:p w14:paraId="033835C9" w14:textId="365FD504" w:rsidR="285882C8" w:rsidRDefault="285882C8" w:rsidP="285882C8">
            <w:pPr>
              <w:jc w:val="center"/>
            </w:pPr>
            <w:r w:rsidRPr="285882C8">
              <w:rPr>
                <w:sz w:val="24"/>
                <w:szCs w:val="24"/>
              </w:rPr>
              <w:t xml:space="preserve"> </w:t>
            </w:r>
          </w:p>
        </w:tc>
        <w:tc>
          <w:tcPr>
            <w:tcW w:w="1121" w:type="dxa"/>
            <w:tcMar>
              <w:left w:w="108" w:type="dxa"/>
              <w:right w:w="108" w:type="dxa"/>
            </w:tcMar>
          </w:tcPr>
          <w:p w14:paraId="1D0DF142" w14:textId="6B4A68C6" w:rsidR="285882C8" w:rsidRDefault="285882C8" w:rsidP="285882C8">
            <w:pPr>
              <w:jc w:val="center"/>
            </w:pPr>
            <w:r w:rsidRPr="285882C8">
              <w:rPr>
                <w:sz w:val="24"/>
                <w:szCs w:val="24"/>
              </w:rPr>
              <w:t xml:space="preserve"> </w:t>
            </w:r>
          </w:p>
        </w:tc>
      </w:tr>
      <w:tr w:rsidR="285882C8" w14:paraId="52D334AE" w14:textId="77777777" w:rsidTr="002F3948">
        <w:trPr>
          <w:trHeight w:val="300"/>
        </w:trPr>
        <w:tc>
          <w:tcPr>
            <w:tcW w:w="1608" w:type="dxa"/>
            <w:tcMar>
              <w:left w:w="108" w:type="dxa"/>
              <w:right w:w="108" w:type="dxa"/>
            </w:tcMar>
          </w:tcPr>
          <w:p w14:paraId="4C0789E1" w14:textId="25917843" w:rsidR="285882C8" w:rsidRDefault="285882C8" w:rsidP="285882C8">
            <w:proofErr w:type="spellStart"/>
            <w:proofErr w:type="gramStart"/>
            <w:r w:rsidRPr="285882C8">
              <w:rPr>
                <w:sz w:val="22"/>
                <w:szCs w:val="22"/>
              </w:rPr>
              <w:t>LD.yield</w:t>
            </w:r>
            <w:proofErr w:type="spellEnd"/>
            <w:proofErr w:type="gramEnd"/>
          </w:p>
        </w:tc>
        <w:tc>
          <w:tcPr>
            <w:tcW w:w="1173" w:type="dxa"/>
            <w:tcMar>
              <w:left w:w="108" w:type="dxa"/>
              <w:right w:w="108" w:type="dxa"/>
            </w:tcMar>
          </w:tcPr>
          <w:p w14:paraId="24AB7F34" w14:textId="759E970E" w:rsidR="285882C8" w:rsidRDefault="285882C8" w:rsidP="285882C8">
            <w:pPr>
              <w:jc w:val="center"/>
            </w:pPr>
            <w:r w:rsidRPr="285882C8">
              <w:rPr>
                <w:sz w:val="22"/>
                <w:szCs w:val="22"/>
              </w:rPr>
              <w:t>-0.041</w:t>
            </w:r>
          </w:p>
        </w:tc>
        <w:tc>
          <w:tcPr>
            <w:tcW w:w="1121" w:type="dxa"/>
            <w:tcMar>
              <w:left w:w="108" w:type="dxa"/>
              <w:right w:w="108" w:type="dxa"/>
            </w:tcMar>
          </w:tcPr>
          <w:p w14:paraId="1C0974EE" w14:textId="368E2992" w:rsidR="285882C8" w:rsidRDefault="285882C8" w:rsidP="285882C8">
            <w:pPr>
              <w:jc w:val="center"/>
            </w:pPr>
            <w:r w:rsidRPr="285882C8">
              <w:rPr>
                <w:sz w:val="22"/>
                <w:szCs w:val="22"/>
              </w:rPr>
              <w:t>0.034</w:t>
            </w:r>
          </w:p>
        </w:tc>
        <w:tc>
          <w:tcPr>
            <w:tcW w:w="1173" w:type="dxa"/>
            <w:tcMar>
              <w:left w:w="108" w:type="dxa"/>
              <w:right w:w="108" w:type="dxa"/>
            </w:tcMar>
          </w:tcPr>
          <w:p w14:paraId="0B0D863A" w14:textId="78181955" w:rsidR="285882C8" w:rsidRDefault="285882C8" w:rsidP="285882C8">
            <w:pPr>
              <w:jc w:val="center"/>
            </w:pPr>
            <w:r w:rsidRPr="285882C8">
              <w:rPr>
                <w:sz w:val="24"/>
                <w:szCs w:val="24"/>
              </w:rPr>
              <w:t xml:space="preserve"> </w:t>
            </w:r>
          </w:p>
        </w:tc>
        <w:tc>
          <w:tcPr>
            <w:tcW w:w="1120" w:type="dxa"/>
            <w:tcMar>
              <w:left w:w="108" w:type="dxa"/>
              <w:right w:w="108" w:type="dxa"/>
            </w:tcMar>
          </w:tcPr>
          <w:p w14:paraId="2B92CA83" w14:textId="60C86B5E" w:rsidR="285882C8" w:rsidRDefault="285882C8" w:rsidP="285882C8">
            <w:pPr>
              <w:jc w:val="center"/>
            </w:pPr>
            <w:r w:rsidRPr="285882C8">
              <w:rPr>
                <w:sz w:val="24"/>
                <w:szCs w:val="24"/>
              </w:rPr>
              <w:t xml:space="preserve"> </w:t>
            </w:r>
          </w:p>
        </w:tc>
        <w:tc>
          <w:tcPr>
            <w:tcW w:w="1120" w:type="dxa"/>
            <w:tcMar>
              <w:left w:w="108" w:type="dxa"/>
              <w:right w:w="108" w:type="dxa"/>
            </w:tcMar>
          </w:tcPr>
          <w:p w14:paraId="60986531" w14:textId="12777AFE" w:rsidR="285882C8" w:rsidRDefault="285882C8" w:rsidP="285882C8">
            <w:pPr>
              <w:jc w:val="center"/>
            </w:pPr>
            <w:r w:rsidRPr="285882C8">
              <w:rPr>
                <w:sz w:val="24"/>
                <w:szCs w:val="24"/>
              </w:rPr>
              <w:t xml:space="preserve"> </w:t>
            </w:r>
          </w:p>
        </w:tc>
        <w:tc>
          <w:tcPr>
            <w:tcW w:w="1121" w:type="dxa"/>
            <w:tcMar>
              <w:left w:w="108" w:type="dxa"/>
              <w:right w:w="108" w:type="dxa"/>
            </w:tcMar>
          </w:tcPr>
          <w:p w14:paraId="3E06717E" w14:textId="3AD1C376" w:rsidR="285882C8" w:rsidRDefault="285882C8" w:rsidP="285882C8">
            <w:pPr>
              <w:jc w:val="center"/>
            </w:pPr>
            <w:r w:rsidRPr="285882C8">
              <w:rPr>
                <w:sz w:val="24"/>
                <w:szCs w:val="24"/>
              </w:rPr>
              <w:t xml:space="preserve"> </w:t>
            </w:r>
          </w:p>
        </w:tc>
      </w:tr>
      <w:tr w:rsidR="285882C8" w14:paraId="74EAE8C8" w14:textId="77777777" w:rsidTr="002F3948">
        <w:trPr>
          <w:trHeight w:val="300"/>
        </w:trPr>
        <w:tc>
          <w:tcPr>
            <w:tcW w:w="1608" w:type="dxa"/>
            <w:tcMar>
              <w:left w:w="108" w:type="dxa"/>
              <w:right w:w="108" w:type="dxa"/>
            </w:tcMar>
          </w:tcPr>
          <w:p w14:paraId="2C203D98" w14:textId="15E7C80A" w:rsidR="285882C8" w:rsidRDefault="285882C8" w:rsidP="285882C8">
            <w:r w:rsidRPr="285882C8">
              <w:rPr>
                <w:sz w:val="24"/>
                <w:szCs w:val="24"/>
              </w:rPr>
              <w:t xml:space="preserve"> </w:t>
            </w:r>
          </w:p>
        </w:tc>
        <w:tc>
          <w:tcPr>
            <w:tcW w:w="1173" w:type="dxa"/>
            <w:tcMar>
              <w:left w:w="108" w:type="dxa"/>
              <w:right w:w="108" w:type="dxa"/>
            </w:tcMar>
          </w:tcPr>
          <w:p w14:paraId="0A2589FC" w14:textId="4487D272" w:rsidR="285882C8" w:rsidRDefault="285882C8" w:rsidP="285882C8">
            <w:pPr>
              <w:jc w:val="center"/>
            </w:pPr>
            <w:r w:rsidRPr="285882C8">
              <w:rPr>
                <w:sz w:val="22"/>
                <w:szCs w:val="22"/>
              </w:rPr>
              <w:t>(0.029)</w:t>
            </w:r>
          </w:p>
        </w:tc>
        <w:tc>
          <w:tcPr>
            <w:tcW w:w="1121" w:type="dxa"/>
            <w:tcMar>
              <w:left w:w="108" w:type="dxa"/>
              <w:right w:w="108" w:type="dxa"/>
            </w:tcMar>
          </w:tcPr>
          <w:p w14:paraId="2978E717" w14:textId="6E317CE1" w:rsidR="285882C8" w:rsidRDefault="285882C8" w:rsidP="285882C8">
            <w:pPr>
              <w:jc w:val="center"/>
            </w:pPr>
            <w:r w:rsidRPr="285882C8">
              <w:rPr>
                <w:sz w:val="22"/>
                <w:szCs w:val="22"/>
              </w:rPr>
              <w:t>(0.045)</w:t>
            </w:r>
          </w:p>
        </w:tc>
        <w:tc>
          <w:tcPr>
            <w:tcW w:w="1173" w:type="dxa"/>
            <w:tcMar>
              <w:left w:w="108" w:type="dxa"/>
              <w:right w:w="108" w:type="dxa"/>
            </w:tcMar>
          </w:tcPr>
          <w:p w14:paraId="5FB97F69" w14:textId="57245115" w:rsidR="285882C8" w:rsidRDefault="285882C8" w:rsidP="285882C8">
            <w:pPr>
              <w:jc w:val="center"/>
            </w:pPr>
            <w:r w:rsidRPr="285882C8">
              <w:rPr>
                <w:sz w:val="24"/>
                <w:szCs w:val="24"/>
              </w:rPr>
              <w:t xml:space="preserve"> </w:t>
            </w:r>
          </w:p>
        </w:tc>
        <w:tc>
          <w:tcPr>
            <w:tcW w:w="1120" w:type="dxa"/>
            <w:tcMar>
              <w:left w:w="108" w:type="dxa"/>
              <w:right w:w="108" w:type="dxa"/>
            </w:tcMar>
          </w:tcPr>
          <w:p w14:paraId="40B264E2" w14:textId="5BDC089A" w:rsidR="285882C8" w:rsidRDefault="285882C8" w:rsidP="285882C8">
            <w:pPr>
              <w:jc w:val="center"/>
            </w:pPr>
            <w:r w:rsidRPr="285882C8">
              <w:rPr>
                <w:sz w:val="24"/>
                <w:szCs w:val="24"/>
              </w:rPr>
              <w:t xml:space="preserve"> </w:t>
            </w:r>
          </w:p>
        </w:tc>
        <w:tc>
          <w:tcPr>
            <w:tcW w:w="1120" w:type="dxa"/>
            <w:tcMar>
              <w:left w:w="108" w:type="dxa"/>
              <w:right w:w="108" w:type="dxa"/>
            </w:tcMar>
          </w:tcPr>
          <w:p w14:paraId="63786640" w14:textId="6F1D8309" w:rsidR="285882C8" w:rsidRDefault="285882C8" w:rsidP="285882C8">
            <w:pPr>
              <w:jc w:val="center"/>
            </w:pPr>
            <w:r w:rsidRPr="285882C8">
              <w:rPr>
                <w:sz w:val="24"/>
                <w:szCs w:val="24"/>
              </w:rPr>
              <w:t xml:space="preserve"> </w:t>
            </w:r>
          </w:p>
        </w:tc>
        <w:tc>
          <w:tcPr>
            <w:tcW w:w="1121" w:type="dxa"/>
            <w:tcMar>
              <w:left w:w="108" w:type="dxa"/>
              <w:right w:w="108" w:type="dxa"/>
            </w:tcMar>
          </w:tcPr>
          <w:p w14:paraId="39CA01A4" w14:textId="608C7ADB" w:rsidR="285882C8" w:rsidRDefault="285882C8" w:rsidP="285882C8">
            <w:pPr>
              <w:jc w:val="center"/>
            </w:pPr>
            <w:r w:rsidRPr="285882C8">
              <w:rPr>
                <w:sz w:val="24"/>
                <w:szCs w:val="24"/>
              </w:rPr>
              <w:t xml:space="preserve"> </w:t>
            </w:r>
          </w:p>
        </w:tc>
      </w:tr>
      <w:tr w:rsidR="285882C8" w14:paraId="5B6FDDFA" w14:textId="77777777" w:rsidTr="002F3948">
        <w:trPr>
          <w:trHeight w:val="300"/>
        </w:trPr>
        <w:tc>
          <w:tcPr>
            <w:tcW w:w="1608" w:type="dxa"/>
            <w:tcMar>
              <w:left w:w="108" w:type="dxa"/>
              <w:right w:w="108" w:type="dxa"/>
            </w:tcMar>
          </w:tcPr>
          <w:p w14:paraId="43E15BFC" w14:textId="42D388F9" w:rsidR="285882C8" w:rsidRDefault="285882C8" w:rsidP="285882C8">
            <w:r w:rsidRPr="285882C8">
              <w:rPr>
                <w:sz w:val="24"/>
                <w:szCs w:val="24"/>
              </w:rPr>
              <w:t xml:space="preserve"> </w:t>
            </w:r>
          </w:p>
        </w:tc>
        <w:tc>
          <w:tcPr>
            <w:tcW w:w="1173" w:type="dxa"/>
            <w:tcMar>
              <w:left w:w="108" w:type="dxa"/>
              <w:right w:w="108" w:type="dxa"/>
            </w:tcMar>
          </w:tcPr>
          <w:p w14:paraId="6D552CF5" w14:textId="1F19C213" w:rsidR="285882C8" w:rsidRDefault="285882C8" w:rsidP="285882C8">
            <w:pPr>
              <w:jc w:val="center"/>
            </w:pPr>
            <w:r w:rsidRPr="285882C8">
              <w:rPr>
                <w:sz w:val="22"/>
                <w:szCs w:val="22"/>
              </w:rPr>
              <w:t xml:space="preserve"> </w:t>
            </w:r>
          </w:p>
        </w:tc>
        <w:tc>
          <w:tcPr>
            <w:tcW w:w="1121" w:type="dxa"/>
            <w:tcMar>
              <w:left w:w="108" w:type="dxa"/>
              <w:right w:w="108" w:type="dxa"/>
            </w:tcMar>
          </w:tcPr>
          <w:p w14:paraId="0FA0ABB9" w14:textId="70D60E43" w:rsidR="285882C8" w:rsidRDefault="285882C8" w:rsidP="285882C8">
            <w:pPr>
              <w:jc w:val="center"/>
            </w:pPr>
            <w:r w:rsidRPr="285882C8">
              <w:rPr>
                <w:sz w:val="22"/>
                <w:szCs w:val="22"/>
              </w:rPr>
              <w:t xml:space="preserve"> </w:t>
            </w:r>
          </w:p>
        </w:tc>
        <w:tc>
          <w:tcPr>
            <w:tcW w:w="1173" w:type="dxa"/>
            <w:tcMar>
              <w:left w:w="108" w:type="dxa"/>
              <w:right w:w="108" w:type="dxa"/>
            </w:tcMar>
          </w:tcPr>
          <w:p w14:paraId="67296EE3" w14:textId="76F862C4" w:rsidR="285882C8" w:rsidRDefault="285882C8" w:rsidP="285882C8">
            <w:pPr>
              <w:jc w:val="center"/>
            </w:pPr>
            <w:r w:rsidRPr="285882C8">
              <w:rPr>
                <w:sz w:val="24"/>
                <w:szCs w:val="24"/>
              </w:rPr>
              <w:t xml:space="preserve"> </w:t>
            </w:r>
          </w:p>
        </w:tc>
        <w:tc>
          <w:tcPr>
            <w:tcW w:w="1120" w:type="dxa"/>
            <w:tcMar>
              <w:left w:w="108" w:type="dxa"/>
              <w:right w:w="108" w:type="dxa"/>
            </w:tcMar>
          </w:tcPr>
          <w:p w14:paraId="3BAA61D0" w14:textId="511B2DAD" w:rsidR="285882C8" w:rsidRDefault="285882C8" w:rsidP="285882C8">
            <w:pPr>
              <w:jc w:val="center"/>
            </w:pPr>
            <w:r w:rsidRPr="285882C8">
              <w:rPr>
                <w:sz w:val="24"/>
                <w:szCs w:val="24"/>
              </w:rPr>
              <w:t xml:space="preserve"> </w:t>
            </w:r>
          </w:p>
        </w:tc>
        <w:tc>
          <w:tcPr>
            <w:tcW w:w="1120" w:type="dxa"/>
            <w:tcMar>
              <w:left w:w="108" w:type="dxa"/>
              <w:right w:w="108" w:type="dxa"/>
            </w:tcMar>
          </w:tcPr>
          <w:p w14:paraId="1D1D4345" w14:textId="0E74A0B6" w:rsidR="285882C8" w:rsidRDefault="285882C8" w:rsidP="285882C8">
            <w:pPr>
              <w:jc w:val="center"/>
            </w:pPr>
            <w:r w:rsidRPr="285882C8">
              <w:rPr>
                <w:sz w:val="24"/>
                <w:szCs w:val="24"/>
              </w:rPr>
              <w:t xml:space="preserve"> </w:t>
            </w:r>
          </w:p>
        </w:tc>
        <w:tc>
          <w:tcPr>
            <w:tcW w:w="1121" w:type="dxa"/>
            <w:tcMar>
              <w:left w:w="108" w:type="dxa"/>
              <w:right w:w="108" w:type="dxa"/>
            </w:tcMar>
          </w:tcPr>
          <w:p w14:paraId="7E17EC4D" w14:textId="276E467E" w:rsidR="285882C8" w:rsidRDefault="285882C8" w:rsidP="285882C8">
            <w:pPr>
              <w:jc w:val="center"/>
            </w:pPr>
            <w:r w:rsidRPr="285882C8">
              <w:rPr>
                <w:sz w:val="24"/>
                <w:szCs w:val="24"/>
              </w:rPr>
              <w:t xml:space="preserve"> </w:t>
            </w:r>
          </w:p>
        </w:tc>
      </w:tr>
      <w:tr w:rsidR="285882C8" w14:paraId="2882140E" w14:textId="77777777" w:rsidTr="002F3948">
        <w:trPr>
          <w:trHeight w:val="300"/>
        </w:trPr>
        <w:tc>
          <w:tcPr>
            <w:tcW w:w="1608" w:type="dxa"/>
            <w:tcMar>
              <w:left w:w="108" w:type="dxa"/>
              <w:right w:w="108" w:type="dxa"/>
            </w:tcMar>
          </w:tcPr>
          <w:p w14:paraId="2E8A42E7" w14:textId="6090E1E5" w:rsidR="285882C8" w:rsidRDefault="285882C8" w:rsidP="285882C8">
            <w:r w:rsidRPr="285882C8">
              <w:rPr>
                <w:sz w:val="22"/>
                <w:szCs w:val="22"/>
              </w:rPr>
              <w:t>L2D.yield</w:t>
            </w:r>
          </w:p>
        </w:tc>
        <w:tc>
          <w:tcPr>
            <w:tcW w:w="1173" w:type="dxa"/>
            <w:tcMar>
              <w:left w:w="108" w:type="dxa"/>
              <w:right w:w="108" w:type="dxa"/>
            </w:tcMar>
          </w:tcPr>
          <w:p w14:paraId="7C807B7C" w14:textId="40100780" w:rsidR="285882C8" w:rsidRDefault="285882C8" w:rsidP="285882C8">
            <w:pPr>
              <w:jc w:val="center"/>
            </w:pPr>
            <w:r w:rsidRPr="285882C8">
              <w:rPr>
                <w:sz w:val="22"/>
                <w:szCs w:val="22"/>
              </w:rPr>
              <w:t>-0.030</w:t>
            </w:r>
          </w:p>
        </w:tc>
        <w:tc>
          <w:tcPr>
            <w:tcW w:w="1121" w:type="dxa"/>
            <w:tcMar>
              <w:left w:w="108" w:type="dxa"/>
              <w:right w:w="108" w:type="dxa"/>
            </w:tcMar>
          </w:tcPr>
          <w:p w14:paraId="6AB2B1BE" w14:textId="0747BC13" w:rsidR="285882C8" w:rsidRDefault="285882C8" w:rsidP="285882C8">
            <w:pPr>
              <w:jc w:val="center"/>
            </w:pPr>
            <w:r w:rsidRPr="285882C8">
              <w:rPr>
                <w:sz w:val="22"/>
                <w:szCs w:val="22"/>
              </w:rPr>
              <w:t>-0.022</w:t>
            </w:r>
          </w:p>
        </w:tc>
        <w:tc>
          <w:tcPr>
            <w:tcW w:w="1173" w:type="dxa"/>
            <w:tcMar>
              <w:left w:w="108" w:type="dxa"/>
              <w:right w:w="108" w:type="dxa"/>
            </w:tcMar>
          </w:tcPr>
          <w:p w14:paraId="7EFC3536" w14:textId="17E2D641" w:rsidR="285882C8" w:rsidRDefault="285882C8" w:rsidP="285882C8">
            <w:pPr>
              <w:jc w:val="center"/>
            </w:pPr>
            <w:r w:rsidRPr="285882C8">
              <w:rPr>
                <w:sz w:val="24"/>
                <w:szCs w:val="24"/>
              </w:rPr>
              <w:t xml:space="preserve"> </w:t>
            </w:r>
          </w:p>
        </w:tc>
        <w:tc>
          <w:tcPr>
            <w:tcW w:w="1120" w:type="dxa"/>
            <w:tcMar>
              <w:left w:w="108" w:type="dxa"/>
              <w:right w:w="108" w:type="dxa"/>
            </w:tcMar>
          </w:tcPr>
          <w:p w14:paraId="78608AE4" w14:textId="262D8788" w:rsidR="285882C8" w:rsidRDefault="285882C8" w:rsidP="285882C8">
            <w:pPr>
              <w:jc w:val="center"/>
            </w:pPr>
            <w:r w:rsidRPr="285882C8">
              <w:rPr>
                <w:sz w:val="24"/>
                <w:szCs w:val="24"/>
              </w:rPr>
              <w:t xml:space="preserve"> </w:t>
            </w:r>
          </w:p>
        </w:tc>
        <w:tc>
          <w:tcPr>
            <w:tcW w:w="1120" w:type="dxa"/>
            <w:tcMar>
              <w:left w:w="108" w:type="dxa"/>
              <w:right w:w="108" w:type="dxa"/>
            </w:tcMar>
          </w:tcPr>
          <w:p w14:paraId="6B5C80E2" w14:textId="2BF2A207" w:rsidR="285882C8" w:rsidRDefault="285882C8" w:rsidP="285882C8">
            <w:pPr>
              <w:jc w:val="center"/>
            </w:pPr>
            <w:r w:rsidRPr="285882C8">
              <w:rPr>
                <w:sz w:val="24"/>
                <w:szCs w:val="24"/>
              </w:rPr>
              <w:t xml:space="preserve"> </w:t>
            </w:r>
          </w:p>
        </w:tc>
        <w:tc>
          <w:tcPr>
            <w:tcW w:w="1121" w:type="dxa"/>
            <w:tcMar>
              <w:left w:w="108" w:type="dxa"/>
              <w:right w:w="108" w:type="dxa"/>
            </w:tcMar>
          </w:tcPr>
          <w:p w14:paraId="2E2C36BC" w14:textId="72898AF1" w:rsidR="285882C8" w:rsidRDefault="285882C8" w:rsidP="285882C8">
            <w:pPr>
              <w:jc w:val="center"/>
            </w:pPr>
            <w:r w:rsidRPr="285882C8">
              <w:rPr>
                <w:sz w:val="24"/>
                <w:szCs w:val="24"/>
              </w:rPr>
              <w:t xml:space="preserve"> </w:t>
            </w:r>
          </w:p>
        </w:tc>
      </w:tr>
      <w:tr w:rsidR="285882C8" w14:paraId="02BFF4E3" w14:textId="77777777" w:rsidTr="002F3948">
        <w:trPr>
          <w:trHeight w:val="300"/>
        </w:trPr>
        <w:tc>
          <w:tcPr>
            <w:tcW w:w="1608" w:type="dxa"/>
            <w:tcMar>
              <w:left w:w="108" w:type="dxa"/>
              <w:right w:w="108" w:type="dxa"/>
            </w:tcMar>
          </w:tcPr>
          <w:p w14:paraId="193C3D46" w14:textId="0E1E21DF" w:rsidR="285882C8" w:rsidRDefault="285882C8" w:rsidP="285882C8">
            <w:r w:rsidRPr="285882C8">
              <w:rPr>
                <w:sz w:val="24"/>
                <w:szCs w:val="24"/>
              </w:rPr>
              <w:t xml:space="preserve"> </w:t>
            </w:r>
          </w:p>
        </w:tc>
        <w:tc>
          <w:tcPr>
            <w:tcW w:w="1173" w:type="dxa"/>
            <w:tcMar>
              <w:left w:w="108" w:type="dxa"/>
              <w:right w:w="108" w:type="dxa"/>
            </w:tcMar>
          </w:tcPr>
          <w:p w14:paraId="4C5B776E" w14:textId="27357594" w:rsidR="285882C8" w:rsidRDefault="285882C8" w:rsidP="285882C8">
            <w:pPr>
              <w:jc w:val="center"/>
            </w:pPr>
            <w:r w:rsidRPr="285882C8">
              <w:rPr>
                <w:sz w:val="22"/>
                <w:szCs w:val="22"/>
              </w:rPr>
              <w:t>(0.029)</w:t>
            </w:r>
          </w:p>
        </w:tc>
        <w:tc>
          <w:tcPr>
            <w:tcW w:w="1121" w:type="dxa"/>
            <w:tcMar>
              <w:left w:w="108" w:type="dxa"/>
              <w:right w:w="108" w:type="dxa"/>
            </w:tcMar>
          </w:tcPr>
          <w:p w14:paraId="50697546" w14:textId="494AFA37" w:rsidR="285882C8" w:rsidRDefault="285882C8" w:rsidP="285882C8">
            <w:pPr>
              <w:jc w:val="center"/>
            </w:pPr>
            <w:r w:rsidRPr="285882C8">
              <w:rPr>
                <w:sz w:val="22"/>
                <w:szCs w:val="22"/>
              </w:rPr>
              <w:t>(0.045)</w:t>
            </w:r>
          </w:p>
        </w:tc>
        <w:tc>
          <w:tcPr>
            <w:tcW w:w="1173" w:type="dxa"/>
            <w:tcMar>
              <w:left w:w="108" w:type="dxa"/>
              <w:right w:w="108" w:type="dxa"/>
            </w:tcMar>
          </w:tcPr>
          <w:p w14:paraId="427F6CD0" w14:textId="07ED1A71" w:rsidR="285882C8" w:rsidRDefault="285882C8" w:rsidP="285882C8">
            <w:pPr>
              <w:jc w:val="center"/>
            </w:pPr>
            <w:r w:rsidRPr="285882C8">
              <w:rPr>
                <w:sz w:val="24"/>
                <w:szCs w:val="24"/>
              </w:rPr>
              <w:t xml:space="preserve"> </w:t>
            </w:r>
          </w:p>
        </w:tc>
        <w:tc>
          <w:tcPr>
            <w:tcW w:w="1120" w:type="dxa"/>
            <w:tcMar>
              <w:left w:w="108" w:type="dxa"/>
              <w:right w:w="108" w:type="dxa"/>
            </w:tcMar>
          </w:tcPr>
          <w:p w14:paraId="051E39DD" w14:textId="18E96286" w:rsidR="285882C8" w:rsidRDefault="285882C8" w:rsidP="285882C8">
            <w:pPr>
              <w:jc w:val="center"/>
            </w:pPr>
            <w:r w:rsidRPr="285882C8">
              <w:rPr>
                <w:sz w:val="24"/>
                <w:szCs w:val="24"/>
              </w:rPr>
              <w:t xml:space="preserve"> </w:t>
            </w:r>
          </w:p>
        </w:tc>
        <w:tc>
          <w:tcPr>
            <w:tcW w:w="1120" w:type="dxa"/>
            <w:tcMar>
              <w:left w:w="108" w:type="dxa"/>
              <w:right w:w="108" w:type="dxa"/>
            </w:tcMar>
          </w:tcPr>
          <w:p w14:paraId="749A52BC" w14:textId="31C85561" w:rsidR="285882C8" w:rsidRDefault="285882C8" w:rsidP="285882C8">
            <w:pPr>
              <w:jc w:val="center"/>
            </w:pPr>
            <w:r w:rsidRPr="285882C8">
              <w:rPr>
                <w:sz w:val="24"/>
                <w:szCs w:val="24"/>
              </w:rPr>
              <w:t xml:space="preserve"> </w:t>
            </w:r>
          </w:p>
        </w:tc>
        <w:tc>
          <w:tcPr>
            <w:tcW w:w="1121" w:type="dxa"/>
            <w:tcMar>
              <w:left w:w="108" w:type="dxa"/>
              <w:right w:w="108" w:type="dxa"/>
            </w:tcMar>
          </w:tcPr>
          <w:p w14:paraId="40128F02" w14:textId="5BC89D17" w:rsidR="285882C8" w:rsidRDefault="285882C8" w:rsidP="285882C8">
            <w:pPr>
              <w:jc w:val="center"/>
            </w:pPr>
            <w:r w:rsidRPr="285882C8">
              <w:rPr>
                <w:sz w:val="24"/>
                <w:szCs w:val="24"/>
              </w:rPr>
              <w:t xml:space="preserve"> </w:t>
            </w:r>
          </w:p>
        </w:tc>
      </w:tr>
      <w:tr w:rsidR="285882C8" w14:paraId="4399C5D3" w14:textId="77777777" w:rsidTr="002F3948">
        <w:trPr>
          <w:trHeight w:val="300"/>
        </w:trPr>
        <w:tc>
          <w:tcPr>
            <w:tcW w:w="1608" w:type="dxa"/>
            <w:tcMar>
              <w:left w:w="108" w:type="dxa"/>
              <w:right w:w="108" w:type="dxa"/>
            </w:tcMar>
          </w:tcPr>
          <w:p w14:paraId="0E90D70D" w14:textId="4983E55E" w:rsidR="285882C8" w:rsidRDefault="285882C8" w:rsidP="285882C8">
            <w:r w:rsidRPr="285882C8">
              <w:rPr>
                <w:sz w:val="24"/>
                <w:szCs w:val="24"/>
              </w:rPr>
              <w:t xml:space="preserve"> </w:t>
            </w:r>
          </w:p>
        </w:tc>
        <w:tc>
          <w:tcPr>
            <w:tcW w:w="1173" w:type="dxa"/>
            <w:tcMar>
              <w:left w:w="108" w:type="dxa"/>
              <w:right w:w="108" w:type="dxa"/>
            </w:tcMar>
          </w:tcPr>
          <w:p w14:paraId="65BF17C8" w14:textId="1CAEBDC5" w:rsidR="285882C8" w:rsidRDefault="285882C8" w:rsidP="285882C8">
            <w:pPr>
              <w:jc w:val="center"/>
            </w:pPr>
            <w:r w:rsidRPr="285882C8">
              <w:rPr>
                <w:sz w:val="22"/>
                <w:szCs w:val="22"/>
              </w:rPr>
              <w:t xml:space="preserve"> </w:t>
            </w:r>
          </w:p>
        </w:tc>
        <w:tc>
          <w:tcPr>
            <w:tcW w:w="1121" w:type="dxa"/>
            <w:tcMar>
              <w:left w:w="108" w:type="dxa"/>
              <w:right w:w="108" w:type="dxa"/>
            </w:tcMar>
          </w:tcPr>
          <w:p w14:paraId="313F9371" w14:textId="52F05A46" w:rsidR="285882C8" w:rsidRDefault="285882C8" w:rsidP="285882C8">
            <w:pPr>
              <w:jc w:val="center"/>
            </w:pPr>
            <w:r w:rsidRPr="285882C8">
              <w:rPr>
                <w:sz w:val="22"/>
                <w:szCs w:val="22"/>
              </w:rPr>
              <w:t xml:space="preserve"> </w:t>
            </w:r>
          </w:p>
        </w:tc>
        <w:tc>
          <w:tcPr>
            <w:tcW w:w="1173" w:type="dxa"/>
            <w:tcMar>
              <w:left w:w="108" w:type="dxa"/>
              <w:right w:w="108" w:type="dxa"/>
            </w:tcMar>
          </w:tcPr>
          <w:p w14:paraId="6330CCC5" w14:textId="7F4EC31B" w:rsidR="285882C8" w:rsidRDefault="285882C8" w:rsidP="285882C8">
            <w:pPr>
              <w:jc w:val="center"/>
            </w:pPr>
            <w:r w:rsidRPr="285882C8">
              <w:rPr>
                <w:sz w:val="24"/>
                <w:szCs w:val="24"/>
              </w:rPr>
              <w:t xml:space="preserve"> </w:t>
            </w:r>
          </w:p>
        </w:tc>
        <w:tc>
          <w:tcPr>
            <w:tcW w:w="1120" w:type="dxa"/>
            <w:tcMar>
              <w:left w:w="108" w:type="dxa"/>
              <w:right w:w="108" w:type="dxa"/>
            </w:tcMar>
          </w:tcPr>
          <w:p w14:paraId="0ECD3BA0" w14:textId="02F040E2" w:rsidR="285882C8" w:rsidRDefault="285882C8" w:rsidP="285882C8">
            <w:pPr>
              <w:jc w:val="center"/>
            </w:pPr>
            <w:r w:rsidRPr="285882C8">
              <w:rPr>
                <w:sz w:val="24"/>
                <w:szCs w:val="24"/>
              </w:rPr>
              <w:t xml:space="preserve"> </w:t>
            </w:r>
          </w:p>
        </w:tc>
        <w:tc>
          <w:tcPr>
            <w:tcW w:w="1120" w:type="dxa"/>
            <w:tcMar>
              <w:left w:w="108" w:type="dxa"/>
              <w:right w:w="108" w:type="dxa"/>
            </w:tcMar>
          </w:tcPr>
          <w:p w14:paraId="3EDE5E6B" w14:textId="4EE816A1" w:rsidR="285882C8" w:rsidRDefault="285882C8" w:rsidP="285882C8">
            <w:pPr>
              <w:jc w:val="center"/>
            </w:pPr>
            <w:r w:rsidRPr="285882C8">
              <w:rPr>
                <w:sz w:val="24"/>
                <w:szCs w:val="24"/>
              </w:rPr>
              <w:t xml:space="preserve"> </w:t>
            </w:r>
          </w:p>
        </w:tc>
        <w:tc>
          <w:tcPr>
            <w:tcW w:w="1121" w:type="dxa"/>
            <w:tcMar>
              <w:left w:w="108" w:type="dxa"/>
              <w:right w:w="108" w:type="dxa"/>
            </w:tcMar>
          </w:tcPr>
          <w:p w14:paraId="75DE5D2A" w14:textId="476E2C0F" w:rsidR="285882C8" w:rsidRDefault="285882C8" w:rsidP="285882C8">
            <w:pPr>
              <w:jc w:val="center"/>
            </w:pPr>
            <w:r w:rsidRPr="285882C8">
              <w:rPr>
                <w:sz w:val="24"/>
                <w:szCs w:val="24"/>
              </w:rPr>
              <w:t xml:space="preserve"> </w:t>
            </w:r>
          </w:p>
        </w:tc>
      </w:tr>
      <w:tr w:rsidR="285882C8" w14:paraId="60FF3143" w14:textId="77777777" w:rsidTr="002F3948">
        <w:trPr>
          <w:trHeight w:val="300"/>
        </w:trPr>
        <w:tc>
          <w:tcPr>
            <w:tcW w:w="1608" w:type="dxa"/>
            <w:tcMar>
              <w:left w:w="108" w:type="dxa"/>
              <w:right w:w="108" w:type="dxa"/>
            </w:tcMar>
          </w:tcPr>
          <w:p w14:paraId="0671ACFB" w14:textId="3C55A4B0" w:rsidR="285882C8" w:rsidRDefault="285882C8" w:rsidP="285882C8">
            <w:r w:rsidRPr="285882C8">
              <w:rPr>
                <w:sz w:val="22"/>
                <w:szCs w:val="22"/>
              </w:rPr>
              <w:t>L3D.yield</w:t>
            </w:r>
          </w:p>
        </w:tc>
        <w:tc>
          <w:tcPr>
            <w:tcW w:w="1173" w:type="dxa"/>
            <w:tcMar>
              <w:left w:w="108" w:type="dxa"/>
              <w:right w:w="108" w:type="dxa"/>
            </w:tcMar>
          </w:tcPr>
          <w:p w14:paraId="73394C47" w14:textId="508FDEED" w:rsidR="285882C8" w:rsidRDefault="285882C8" w:rsidP="285882C8">
            <w:pPr>
              <w:jc w:val="center"/>
            </w:pPr>
            <w:r w:rsidRPr="285882C8">
              <w:rPr>
                <w:sz w:val="22"/>
                <w:szCs w:val="22"/>
              </w:rPr>
              <w:t>-0.109***</w:t>
            </w:r>
          </w:p>
        </w:tc>
        <w:tc>
          <w:tcPr>
            <w:tcW w:w="1121" w:type="dxa"/>
            <w:tcMar>
              <w:left w:w="108" w:type="dxa"/>
              <w:right w:w="108" w:type="dxa"/>
            </w:tcMar>
          </w:tcPr>
          <w:p w14:paraId="492FBFE8" w14:textId="7EFC2A91" w:rsidR="285882C8" w:rsidRDefault="285882C8" w:rsidP="285882C8">
            <w:pPr>
              <w:jc w:val="center"/>
            </w:pPr>
            <w:r w:rsidRPr="285882C8">
              <w:rPr>
                <w:sz w:val="22"/>
                <w:szCs w:val="22"/>
              </w:rPr>
              <w:t>0.014</w:t>
            </w:r>
          </w:p>
        </w:tc>
        <w:tc>
          <w:tcPr>
            <w:tcW w:w="1173" w:type="dxa"/>
            <w:tcMar>
              <w:left w:w="108" w:type="dxa"/>
              <w:right w:w="108" w:type="dxa"/>
            </w:tcMar>
          </w:tcPr>
          <w:p w14:paraId="772072D7" w14:textId="2C1772D7" w:rsidR="285882C8" w:rsidRDefault="285882C8" w:rsidP="285882C8">
            <w:pPr>
              <w:jc w:val="center"/>
            </w:pPr>
            <w:r w:rsidRPr="285882C8">
              <w:rPr>
                <w:sz w:val="24"/>
                <w:szCs w:val="24"/>
              </w:rPr>
              <w:t xml:space="preserve"> </w:t>
            </w:r>
          </w:p>
        </w:tc>
        <w:tc>
          <w:tcPr>
            <w:tcW w:w="1120" w:type="dxa"/>
            <w:tcMar>
              <w:left w:w="108" w:type="dxa"/>
              <w:right w:w="108" w:type="dxa"/>
            </w:tcMar>
          </w:tcPr>
          <w:p w14:paraId="44535536" w14:textId="412D216A" w:rsidR="285882C8" w:rsidRDefault="285882C8" w:rsidP="285882C8">
            <w:pPr>
              <w:jc w:val="center"/>
            </w:pPr>
            <w:r w:rsidRPr="285882C8">
              <w:rPr>
                <w:sz w:val="24"/>
                <w:szCs w:val="24"/>
              </w:rPr>
              <w:t xml:space="preserve"> </w:t>
            </w:r>
          </w:p>
        </w:tc>
        <w:tc>
          <w:tcPr>
            <w:tcW w:w="1120" w:type="dxa"/>
            <w:tcMar>
              <w:left w:w="108" w:type="dxa"/>
              <w:right w:w="108" w:type="dxa"/>
            </w:tcMar>
          </w:tcPr>
          <w:p w14:paraId="13292400" w14:textId="7209647C" w:rsidR="285882C8" w:rsidRDefault="285882C8" w:rsidP="285882C8">
            <w:pPr>
              <w:jc w:val="center"/>
            </w:pPr>
            <w:r w:rsidRPr="285882C8">
              <w:rPr>
                <w:sz w:val="24"/>
                <w:szCs w:val="24"/>
              </w:rPr>
              <w:t xml:space="preserve"> </w:t>
            </w:r>
          </w:p>
        </w:tc>
        <w:tc>
          <w:tcPr>
            <w:tcW w:w="1121" w:type="dxa"/>
            <w:tcMar>
              <w:left w:w="108" w:type="dxa"/>
              <w:right w:w="108" w:type="dxa"/>
            </w:tcMar>
          </w:tcPr>
          <w:p w14:paraId="004CEC1A" w14:textId="69008C0D" w:rsidR="285882C8" w:rsidRDefault="285882C8" w:rsidP="285882C8">
            <w:pPr>
              <w:jc w:val="center"/>
            </w:pPr>
            <w:r w:rsidRPr="285882C8">
              <w:rPr>
                <w:sz w:val="24"/>
                <w:szCs w:val="24"/>
              </w:rPr>
              <w:t xml:space="preserve"> </w:t>
            </w:r>
          </w:p>
        </w:tc>
      </w:tr>
      <w:tr w:rsidR="285882C8" w14:paraId="346BBD2E" w14:textId="77777777" w:rsidTr="002F3948">
        <w:trPr>
          <w:trHeight w:val="300"/>
        </w:trPr>
        <w:tc>
          <w:tcPr>
            <w:tcW w:w="1608" w:type="dxa"/>
            <w:tcMar>
              <w:left w:w="108" w:type="dxa"/>
              <w:right w:w="108" w:type="dxa"/>
            </w:tcMar>
          </w:tcPr>
          <w:p w14:paraId="22F88B24" w14:textId="0D1FDC31" w:rsidR="285882C8" w:rsidRDefault="285882C8" w:rsidP="285882C8">
            <w:r w:rsidRPr="285882C8">
              <w:rPr>
                <w:sz w:val="24"/>
                <w:szCs w:val="24"/>
              </w:rPr>
              <w:t xml:space="preserve"> </w:t>
            </w:r>
          </w:p>
        </w:tc>
        <w:tc>
          <w:tcPr>
            <w:tcW w:w="1173" w:type="dxa"/>
            <w:tcMar>
              <w:left w:w="108" w:type="dxa"/>
              <w:right w:w="108" w:type="dxa"/>
            </w:tcMar>
          </w:tcPr>
          <w:p w14:paraId="24252627" w14:textId="070BE56B" w:rsidR="285882C8" w:rsidRDefault="285882C8" w:rsidP="285882C8">
            <w:pPr>
              <w:jc w:val="center"/>
            </w:pPr>
            <w:r w:rsidRPr="285882C8">
              <w:rPr>
                <w:sz w:val="22"/>
                <w:szCs w:val="22"/>
              </w:rPr>
              <w:t>(0.029)</w:t>
            </w:r>
          </w:p>
        </w:tc>
        <w:tc>
          <w:tcPr>
            <w:tcW w:w="1121" w:type="dxa"/>
            <w:tcMar>
              <w:left w:w="108" w:type="dxa"/>
              <w:right w:w="108" w:type="dxa"/>
            </w:tcMar>
          </w:tcPr>
          <w:p w14:paraId="634D23D8" w14:textId="53558107" w:rsidR="285882C8" w:rsidRDefault="285882C8" w:rsidP="285882C8">
            <w:pPr>
              <w:jc w:val="center"/>
            </w:pPr>
            <w:r w:rsidRPr="285882C8">
              <w:rPr>
                <w:sz w:val="22"/>
                <w:szCs w:val="22"/>
              </w:rPr>
              <w:t>(0.044)</w:t>
            </w:r>
          </w:p>
        </w:tc>
        <w:tc>
          <w:tcPr>
            <w:tcW w:w="1173" w:type="dxa"/>
            <w:tcMar>
              <w:left w:w="108" w:type="dxa"/>
              <w:right w:w="108" w:type="dxa"/>
            </w:tcMar>
          </w:tcPr>
          <w:p w14:paraId="701BBDE9" w14:textId="445F762F" w:rsidR="285882C8" w:rsidRDefault="285882C8" w:rsidP="285882C8">
            <w:pPr>
              <w:jc w:val="center"/>
            </w:pPr>
            <w:r w:rsidRPr="285882C8">
              <w:rPr>
                <w:sz w:val="24"/>
                <w:szCs w:val="24"/>
              </w:rPr>
              <w:t xml:space="preserve"> </w:t>
            </w:r>
          </w:p>
        </w:tc>
        <w:tc>
          <w:tcPr>
            <w:tcW w:w="1120" w:type="dxa"/>
            <w:tcMar>
              <w:left w:w="108" w:type="dxa"/>
              <w:right w:w="108" w:type="dxa"/>
            </w:tcMar>
          </w:tcPr>
          <w:p w14:paraId="74BD9B25" w14:textId="696865B5" w:rsidR="285882C8" w:rsidRDefault="285882C8" w:rsidP="285882C8">
            <w:pPr>
              <w:jc w:val="center"/>
            </w:pPr>
            <w:r w:rsidRPr="285882C8">
              <w:rPr>
                <w:sz w:val="24"/>
                <w:szCs w:val="24"/>
              </w:rPr>
              <w:t xml:space="preserve"> </w:t>
            </w:r>
          </w:p>
        </w:tc>
        <w:tc>
          <w:tcPr>
            <w:tcW w:w="1120" w:type="dxa"/>
            <w:tcMar>
              <w:left w:w="108" w:type="dxa"/>
              <w:right w:w="108" w:type="dxa"/>
            </w:tcMar>
          </w:tcPr>
          <w:p w14:paraId="7FB11CD5" w14:textId="399BE1D4" w:rsidR="285882C8" w:rsidRDefault="285882C8" w:rsidP="285882C8">
            <w:pPr>
              <w:jc w:val="center"/>
            </w:pPr>
            <w:r w:rsidRPr="285882C8">
              <w:rPr>
                <w:sz w:val="24"/>
                <w:szCs w:val="24"/>
              </w:rPr>
              <w:t xml:space="preserve"> </w:t>
            </w:r>
          </w:p>
        </w:tc>
        <w:tc>
          <w:tcPr>
            <w:tcW w:w="1121" w:type="dxa"/>
            <w:tcMar>
              <w:left w:w="108" w:type="dxa"/>
              <w:right w:w="108" w:type="dxa"/>
            </w:tcMar>
          </w:tcPr>
          <w:p w14:paraId="76BC740A" w14:textId="603F82D5" w:rsidR="285882C8" w:rsidRDefault="285882C8" w:rsidP="285882C8">
            <w:pPr>
              <w:jc w:val="center"/>
            </w:pPr>
            <w:r w:rsidRPr="285882C8">
              <w:rPr>
                <w:sz w:val="24"/>
                <w:szCs w:val="24"/>
              </w:rPr>
              <w:t xml:space="preserve"> </w:t>
            </w:r>
          </w:p>
        </w:tc>
      </w:tr>
      <w:tr w:rsidR="285882C8" w14:paraId="3D2A43D4" w14:textId="77777777" w:rsidTr="002F3948">
        <w:trPr>
          <w:trHeight w:val="300"/>
        </w:trPr>
        <w:tc>
          <w:tcPr>
            <w:tcW w:w="1608" w:type="dxa"/>
            <w:tcMar>
              <w:left w:w="108" w:type="dxa"/>
              <w:right w:w="108" w:type="dxa"/>
            </w:tcMar>
          </w:tcPr>
          <w:p w14:paraId="055CCC98" w14:textId="02DB0DE0" w:rsidR="285882C8" w:rsidRDefault="285882C8" w:rsidP="285882C8">
            <w:r w:rsidRPr="285882C8">
              <w:rPr>
                <w:sz w:val="24"/>
                <w:szCs w:val="24"/>
              </w:rPr>
              <w:t xml:space="preserve"> </w:t>
            </w:r>
          </w:p>
        </w:tc>
        <w:tc>
          <w:tcPr>
            <w:tcW w:w="1173" w:type="dxa"/>
            <w:tcMar>
              <w:left w:w="108" w:type="dxa"/>
              <w:right w:w="108" w:type="dxa"/>
            </w:tcMar>
          </w:tcPr>
          <w:p w14:paraId="2FC4D3CC" w14:textId="174BA022" w:rsidR="285882C8" w:rsidRDefault="285882C8" w:rsidP="285882C8">
            <w:pPr>
              <w:jc w:val="center"/>
            </w:pPr>
            <w:r w:rsidRPr="285882C8">
              <w:rPr>
                <w:sz w:val="22"/>
                <w:szCs w:val="22"/>
              </w:rPr>
              <w:t xml:space="preserve"> </w:t>
            </w:r>
          </w:p>
        </w:tc>
        <w:tc>
          <w:tcPr>
            <w:tcW w:w="1121" w:type="dxa"/>
            <w:tcMar>
              <w:left w:w="108" w:type="dxa"/>
              <w:right w:w="108" w:type="dxa"/>
            </w:tcMar>
          </w:tcPr>
          <w:p w14:paraId="09ACA155" w14:textId="634FA0AF" w:rsidR="285882C8" w:rsidRDefault="285882C8" w:rsidP="285882C8">
            <w:pPr>
              <w:jc w:val="center"/>
            </w:pPr>
            <w:r w:rsidRPr="285882C8">
              <w:rPr>
                <w:sz w:val="22"/>
                <w:szCs w:val="22"/>
              </w:rPr>
              <w:t xml:space="preserve"> </w:t>
            </w:r>
          </w:p>
        </w:tc>
        <w:tc>
          <w:tcPr>
            <w:tcW w:w="1173" w:type="dxa"/>
            <w:tcMar>
              <w:left w:w="108" w:type="dxa"/>
              <w:right w:w="108" w:type="dxa"/>
            </w:tcMar>
          </w:tcPr>
          <w:p w14:paraId="188F33E6" w14:textId="10245C59" w:rsidR="285882C8" w:rsidRDefault="285882C8" w:rsidP="285882C8">
            <w:pPr>
              <w:jc w:val="center"/>
            </w:pPr>
            <w:r w:rsidRPr="285882C8">
              <w:rPr>
                <w:sz w:val="24"/>
                <w:szCs w:val="24"/>
              </w:rPr>
              <w:t xml:space="preserve"> </w:t>
            </w:r>
          </w:p>
        </w:tc>
        <w:tc>
          <w:tcPr>
            <w:tcW w:w="1120" w:type="dxa"/>
            <w:tcMar>
              <w:left w:w="108" w:type="dxa"/>
              <w:right w:w="108" w:type="dxa"/>
            </w:tcMar>
          </w:tcPr>
          <w:p w14:paraId="6629FA78" w14:textId="6DBD1901" w:rsidR="285882C8" w:rsidRDefault="285882C8" w:rsidP="285882C8">
            <w:pPr>
              <w:jc w:val="center"/>
            </w:pPr>
            <w:r w:rsidRPr="285882C8">
              <w:rPr>
                <w:sz w:val="24"/>
                <w:szCs w:val="24"/>
              </w:rPr>
              <w:t xml:space="preserve"> </w:t>
            </w:r>
          </w:p>
        </w:tc>
        <w:tc>
          <w:tcPr>
            <w:tcW w:w="1120" w:type="dxa"/>
            <w:tcMar>
              <w:left w:w="108" w:type="dxa"/>
              <w:right w:w="108" w:type="dxa"/>
            </w:tcMar>
          </w:tcPr>
          <w:p w14:paraId="46ABBABE" w14:textId="7267CF09" w:rsidR="285882C8" w:rsidRDefault="285882C8" w:rsidP="285882C8">
            <w:pPr>
              <w:jc w:val="center"/>
            </w:pPr>
            <w:r w:rsidRPr="285882C8">
              <w:rPr>
                <w:sz w:val="24"/>
                <w:szCs w:val="24"/>
              </w:rPr>
              <w:t xml:space="preserve"> </w:t>
            </w:r>
          </w:p>
        </w:tc>
        <w:tc>
          <w:tcPr>
            <w:tcW w:w="1121" w:type="dxa"/>
            <w:tcMar>
              <w:left w:w="108" w:type="dxa"/>
              <w:right w:w="108" w:type="dxa"/>
            </w:tcMar>
          </w:tcPr>
          <w:p w14:paraId="20CA7654" w14:textId="22E833F3" w:rsidR="285882C8" w:rsidRDefault="285882C8" w:rsidP="285882C8">
            <w:pPr>
              <w:jc w:val="center"/>
            </w:pPr>
            <w:r w:rsidRPr="285882C8">
              <w:rPr>
                <w:sz w:val="24"/>
                <w:szCs w:val="24"/>
              </w:rPr>
              <w:t xml:space="preserve"> </w:t>
            </w:r>
          </w:p>
        </w:tc>
      </w:tr>
      <w:tr w:rsidR="285882C8" w14:paraId="311E9B71" w14:textId="77777777" w:rsidTr="002F3948">
        <w:trPr>
          <w:trHeight w:val="300"/>
        </w:trPr>
        <w:tc>
          <w:tcPr>
            <w:tcW w:w="1608" w:type="dxa"/>
            <w:tcMar>
              <w:left w:w="108" w:type="dxa"/>
              <w:right w:w="108" w:type="dxa"/>
            </w:tcMar>
          </w:tcPr>
          <w:p w14:paraId="74D39684" w14:textId="25D3F72F" w:rsidR="285882C8" w:rsidRDefault="285882C8" w:rsidP="285882C8">
            <w:proofErr w:type="spellStart"/>
            <w:r w:rsidRPr="285882C8">
              <w:rPr>
                <w:sz w:val="22"/>
                <w:szCs w:val="22"/>
              </w:rPr>
              <w:t>L.google</w:t>
            </w:r>
            <w:proofErr w:type="spellEnd"/>
          </w:p>
        </w:tc>
        <w:tc>
          <w:tcPr>
            <w:tcW w:w="1173" w:type="dxa"/>
            <w:tcMar>
              <w:left w:w="108" w:type="dxa"/>
              <w:right w:w="108" w:type="dxa"/>
            </w:tcMar>
          </w:tcPr>
          <w:p w14:paraId="6D94296C" w14:textId="437D15C0" w:rsidR="285882C8" w:rsidRDefault="285882C8" w:rsidP="285882C8">
            <w:pPr>
              <w:jc w:val="center"/>
            </w:pPr>
            <w:r w:rsidRPr="285882C8">
              <w:rPr>
                <w:sz w:val="22"/>
                <w:szCs w:val="22"/>
              </w:rPr>
              <w:t xml:space="preserve"> </w:t>
            </w:r>
          </w:p>
        </w:tc>
        <w:tc>
          <w:tcPr>
            <w:tcW w:w="1121" w:type="dxa"/>
            <w:tcMar>
              <w:left w:w="108" w:type="dxa"/>
              <w:right w:w="108" w:type="dxa"/>
            </w:tcMar>
          </w:tcPr>
          <w:p w14:paraId="45BA9EBA" w14:textId="01EFCC69" w:rsidR="285882C8" w:rsidRDefault="285882C8" w:rsidP="285882C8">
            <w:pPr>
              <w:jc w:val="center"/>
            </w:pPr>
            <w:r w:rsidRPr="285882C8">
              <w:rPr>
                <w:sz w:val="22"/>
                <w:szCs w:val="22"/>
              </w:rPr>
              <w:t xml:space="preserve"> </w:t>
            </w:r>
          </w:p>
        </w:tc>
        <w:tc>
          <w:tcPr>
            <w:tcW w:w="1173" w:type="dxa"/>
            <w:tcMar>
              <w:left w:w="108" w:type="dxa"/>
              <w:right w:w="108" w:type="dxa"/>
            </w:tcMar>
          </w:tcPr>
          <w:p w14:paraId="4F657434" w14:textId="33FE0EA6" w:rsidR="285882C8" w:rsidRDefault="285882C8" w:rsidP="285882C8">
            <w:pPr>
              <w:jc w:val="center"/>
            </w:pPr>
            <w:r w:rsidRPr="285882C8">
              <w:rPr>
                <w:sz w:val="24"/>
                <w:szCs w:val="24"/>
              </w:rPr>
              <w:t>0</w:t>
            </w:r>
          </w:p>
        </w:tc>
        <w:tc>
          <w:tcPr>
            <w:tcW w:w="1120" w:type="dxa"/>
            <w:tcMar>
              <w:left w:w="108" w:type="dxa"/>
              <w:right w:w="108" w:type="dxa"/>
            </w:tcMar>
          </w:tcPr>
          <w:p w14:paraId="4973D32F" w14:textId="6FF1F8A7" w:rsidR="285882C8" w:rsidRDefault="285882C8" w:rsidP="285882C8">
            <w:pPr>
              <w:jc w:val="center"/>
            </w:pPr>
            <w:r w:rsidRPr="285882C8">
              <w:rPr>
                <w:sz w:val="22"/>
                <w:szCs w:val="22"/>
              </w:rPr>
              <w:t>0</w:t>
            </w:r>
          </w:p>
        </w:tc>
        <w:tc>
          <w:tcPr>
            <w:tcW w:w="1120" w:type="dxa"/>
            <w:tcMar>
              <w:left w:w="108" w:type="dxa"/>
              <w:right w:w="108" w:type="dxa"/>
            </w:tcMar>
          </w:tcPr>
          <w:p w14:paraId="5B07618F" w14:textId="47F5075E" w:rsidR="285882C8" w:rsidRDefault="285882C8" w:rsidP="285882C8">
            <w:pPr>
              <w:jc w:val="center"/>
            </w:pPr>
            <w:r w:rsidRPr="285882C8">
              <w:rPr>
                <w:sz w:val="24"/>
                <w:szCs w:val="24"/>
              </w:rPr>
              <w:t xml:space="preserve"> </w:t>
            </w:r>
          </w:p>
        </w:tc>
        <w:tc>
          <w:tcPr>
            <w:tcW w:w="1121" w:type="dxa"/>
            <w:tcMar>
              <w:left w:w="108" w:type="dxa"/>
              <w:right w:w="108" w:type="dxa"/>
            </w:tcMar>
          </w:tcPr>
          <w:p w14:paraId="3CA9B8C3" w14:textId="63587C26" w:rsidR="285882C8" w:rsidRDefault="285882C8" w:rsidP="285882C8">
            <w:pPr>
              <w:jc w:val="center"/>
            </w:pPr>
            <w:r w:rsidRPr="285882C8">
              <w:rPr>
                <w:sz w:val="24"/>
                <w:szCs w:val="24"/>
              </w:rPr>
              <w:t xml:space="preserve"> </w:t>
            </w:r>
          </w:p>
        </w:tc>
      </w:tr>
      <w:tr w:rsidR="285882C8" w14:paraId="314D047B" w14:textId="77777777" w:rsidTr="002F3948">
        <w:trPr>
          <w:trHeight w:val="300"/>
        </w:trPr>
        <w:tc>
          <w:tcPr>
            <w:tcW w:w="1608" w:type="dxa"/>
            <w:tcMar>
              <w:left w:w="108" w:type="dxa"/>
              <w:right w:w="108" w:type="dxa"/>
            </w:tcMar>
          </w:tcPr>
          <w:p w14:paraId="00CFA05A" w14:textId="02DAE00A" w:rsidR="285882C8" w:rsidRDefault="285882C8" w:rsidP="285882C8">
            <w:r w:rsidRPr="285882C8">
              <w:rPr>
                <w:sz w:val="24"/>
                <w:szCs w:val="24"/>
              </w:rPr>
              <w:t xml:space="preserve"> </w:t>
            </w:r>
          </w:p>
        </w:tc>
        <w:tc>
          <w:tcPr>
            <w:tcW w:w="1173" w:type="dxa"/>
            <w:tcMar>
              <w:left w:w="108" w:type="dxa"/>
              <w:right w:w="108" w:type="dxa"/>
            </w:tcMar>
          </w:tcPr>
          <w:p w14:paraId="5F81972E" w14:textId="0B9471B9" w:rsidR="285882C8" w:rsidRDefault="285882C8" w:rsidP="285882C8">
            <w:pPr>
              <w:jc w:val="center"/>
            </w:pPr>
            <w:r w:rsidRPr="285882C8">
              <w:rPr>
                <w:sz w:val="22"/>
                <w:szCs w:val="22"/>
              </w:rPr>
              <w:t xml:space="preserve"> </w:t>
            </w:r>
          </w:p>
        </w:tc>
        <w:tc>
          <w:tcPr>
            <w:tcW w:w="1121" w:type="dxa"/>
            <w:tcMar>
              <w:left w:w="108" w:type="dxa"/>
              <w:right w:w="108" w:type="dxa"/>
            </w:tcMar>
          </w:tcPr>
          <w:p w14:paraId="72123BC4" w14:textId="24B0F0A4" w:rsidR="285882C8" w:rsidRDefault="285882C8" w:rsidP="285882C8">
            <w:pPr>
              <w:jc w:val="center"/>
            </w:pPr>
            <w:r w:rsidRPr="285882C8">
              <w:rPr>
                <w:sz w:val="22"/>
                <w:szCs w:val="22"/>
              </w:rPr>
              <w:t xml:space="preserve"> </w:t>
            </w:r>
          </w:p>
        </w:tc>
        <w:tc>
          <w:tcPr>
            <w:tcW w:w="1173" w:type="dxa"/>
            <w:tcMar>
              <w:left w:w="108" w:type="dxa"/>
              <w:right w:w="108" w:type="dxa"/>
            </w:tcMar>
          </w:tcPr>
          <w:p w14:paraId="7287D3A0" w14:textId="170DC821" w:rsidR="285882C8" w:rsidRDefault="285882C8" w:rsidP="285882C8">
            <w:pPr>
              <w:jc w:val="center"/>
            </w:pPr>
            <w:r w:rsidRPr="285882C8">
              <w:rPr>
                <w:sz w:val="24"/>
                <w:szCs w:val="24"/>
              </w:rPr>
              <w:t>(0)</w:t>
            </w:r>
          </w:p>
        </w:tc>
        <w:tc>
          <w:tcPr>
            <w:tcW w:w="1120" w:type="dxa"/>
            <w:tcMar>
              <w:left w:w="108" w:type="dxa"/>
              <w:right w:w="108" w:type="dxa"/>
            </w:tcMar>
          </w:tcPr>
          <w:p w14:paraId="11CFAEB1" w14:textId="6300B907" w:rsidR="285882C8" w:rsidRDefault="285882C8" w:rsidP="285882C8">
            <w:pPr>
              <w:jc w:val="center"/>
            </w:pPr>
            <w:r w:rsidRPr="285882C8">
              <w:rPr>
                <w:sz w:val="22"/>
                <w:szCs w:val="22"/>
              </w:rPr>
              <w:t>(0.001)</w:t>
            </w:r>
          </w:p>
        </w:tc>
        <w:tc>
          <w:tcPr>
            <w:tcW w:w="1120" w:type="dxa"/>
            <w:tcMar>
              <w:left w:w="108" w:type="dxa"/>
              <w:right w:w="108" w:type="dxa"/>
            </w:tcMar>
          </w:tcPr>
          <w:p w14:paraId="1FC37E9B" w14:textId="2B936AC0" w:rsidR="285882C8" w:rsidRDefault="285882C8" w:rsidP="285882C8">
            <w:pPr>
              <w:jc w:val="center"/>
            </w:pPr>
            <w:r w:rsidRPr="285882C8">
              <w:rPr>
                <w:sz w:val="24"/>
                <w:szCs w:val="24"/>
              </w:rPr>
              <w:t xml:space="preserve"> </w:t>
            </w:r>
          </w:p>
        </w:tc>
        <w:tc>
          <w:tcPr>
            <w:tcW w:w="1121" w:type="dxa"/>
            <w:tcMar>
              <w:left w:w="108" w:type="dxa"/>
              <w:right w:w="108" w:type="dxa"/>
            </w:tcMar>
          </w:tcPr>
          <w:p w14:paraId="40E8CF2C" w14:textId="2415DB97" w:rsidR="285882C8" w:rsidRDefault="285882C8" w:rsidP="285882C8">
            <w:pPr>
              <w:jc w:val="center"/>
            </w:pPr>
            <w:r w:rsidRPr="285882C8">
              <w:rPr>
                <w:sz w:val="24"/>
                <w:szCs w:val="24"/>
              </w:rPr>
              <w:t xml:space="preserve"> </w:t>
            </w:r>
          </w:p>
        </w:tc>
      </w:tr>
      <w:tr w:rsidR="285882C8" w14:paraId="5C9B6FB9" w14:textId="77777777" w:rsidTr="002F3948">
        <w:trPr>
          <w:trHeight w:val="300"/>
        </w:trPr>
        <w:tc>
          <w:tcPr>
            <w:tcW w:w="1608" w:type="dxa"/>
            <w:tcMar>
              <w:left w:w="108" w:type="dxa"/>
              <w:right w:w="108" w:type="dxa"/>
            </w:tcMar>
          </w:tcPr>
          <w:p w14:paraId="075CE187" w14:textId="1EAE51E2" w:rsidR="285882C8" w:rsidRDefault="285882C8" w:rsidP="285882C8">
            <w:r w:rsidRPr="285882C8">
              <w:rPr>
                <w:sz w:val="24"/>
                <w:szCs w:val="24"/>
              </w:rPr>
              <w:t xml:space="preserve"> </w:t>
            </w:r>
          </w:p>
        </w:tc>
        <w:tc>
          <w:tcPr>
            <w:tcW w:w="1173" w:type="dxa"/>
            <w:tcMar>
              <w:left w:w="108" w:type="dxa"/>
              <w:right w:w="108" w:type="dxa"/>
            </w:tcMar>
          </w:tcPr>
          <w:p w14:paraId="3313AAA4" w14:textId="65F6153E" w:rsidR="285882C8" w:rsidRDefault="285882C8" w:rsidP="285882C8">
            <w:pPr>
              <w:jc w:val="center"/>
            </w:pPr>
            <w:r w:rsidRPr="285882C8">
              <w:rPr>
                <w:sz w:val="22"/>
                <w:szCs w:val="22"/>
              </w:rPr>
              <w:t xml:space="preserve"> </w:t>
            </w:r>
          </w:p>
        </w:tc>
        <w:tc>
          <w:tcPr>
            <w:tcW w:w="1121" w:type="dxa"/>
            <w:tcMar>
              <w:left w:w="108" w:type="dxa"/>
              <w:right w:w="108" w:type="dxa"/>
            </w:tcMar>
          </w:tcPr>
          <w:p w14:paraId="15439579" w14:textId="10B5C632" w:rsidR="285882C8" w:rsidRDefault="285882C8" w:rsidP="285882C8">
            <w:pPr>
              <w:jc w:val="center"/>
            </w:pPr>
            <w:r w:rsidRPr="285882C8">
              <w:rPr>
                <w:sz w:val="22"/>
                <w:szCs w:val="22"/>
              </w:rPr>
              <w:t xml:space="preserve"> </w:t>
            </w:r>
          </w:p>
        </w:tc>
        <w:tc>
          <w:tcPr>
            <w:tcW w:w="1173" w:type="dxa"/>
            <w:tcMar>
              <w:left w:w="108" w:type="dxa"/>
              <w:right w:w="108" w:type="dxa"/>
            </w:tcMar>
          </w:tcPr>
          <w:p w14:paraId="0B7C5590" w14:textId="231483BB" w:rsidR="285882C8" w:rsidRDefault="285882C8" w:rsidP="285882C8">
            <w:pPr>
              <w:jc w:val="center"/>
            </w:pPr>
            <w:r w:rsidRPr="285882C8">
              <w:rPr>
                <w:sz w:val="24"/>
                <w:szCs w:val="24"/>
              </w:rPr>
              <w:t xml:space="preserve"> </w:t>
            </w:r>
          </w:p>
        </w:tc>
        <w:tc>
          <w:tcPr>
            <w:tcW w:w="1120" w:type="dxa"/>
            <w:tcMar>
              <w:left w:w="108" w:type="dxa"/>
              <w:right w:w="108" w:type="dxa"/>
            </w:tcMar>
          </w:tcPr>
          <w:p w14:paraId="69D5D702" w14:textId="5439241F" w:rsidR="285882C8" w:rsidRDefault="285882C8" w:rsidP="285882C8">
            <w:pPr>
              <w:jc w:val="center"/>
            </w:pPr>
            <w:r w:rsidRPr="285882C8">
              <w:rPr>
                <w:sz w:val="22"/>
                <w:szCs w:val="22"/>
              </w:rPr>
              <w:t xml:space="preserve"> </w:t>
            </w:r>
          </w:p>
        </w:tc>
        <w:tc>
          <w:tcPr>
            <w:tcW w:w="1120" w:type="dxa"/>
            <w:tcMar>
              <w:left w:w="108" w:type="dxa"/>
              <w:right w:w="108" w:type="dxa"/>
            </w:tcMar>
          </w:tcPr>
          <w:p w14:paraId="104A3D20" w14:textId="7F3339A9" w:rsidR="285882C8" w:rsidRDefault="285882C8" w:rsidP="285882C8">
            <w:pPr>
              <w:jc w:val="center"/>
            </w:pPr>
            <w:r w:rsidRPr="285882C8">
              <w:rPr>
                <w:sz w:val="24"/>
                <w:szCs w:val="24"/>
              </w:rPr>
              <w:t xml:space="preserve"> </w:t>
            </w:r>
          </w:p>
        </w:tc>
        <w:tc>
          <w:tcPr>
            <w:tcW w:w="1121" w:type="dxa"/>
            <w:tcMar>
              <w:left w:w="108" w:type="dxa"/>
              <w:right w:w="108" w:type="dxa"/>
            </w:tcMar>
          </w:tcPr>
          <w:p w14:paraId="1E78A675" w14:textId="47BBEB64" w:rsidR="285882C8" w:rsidRDefault="285882C8" w:rsidP="285882C8">
            <w:pPr>
              <w:jc w:val="center"/>
            </w:pPr>
            <w:r w:rsidRPr="285882C8">
              <w:rPr>
                <w:sz w:val="24"/>
                <w:szCs w:val="24"/>
              </w:rPr>
              <w:t xml:space="preserve"> </w:t>
            </w:r>
          </w:p>
        </w:tc>
      </w:tr>
      <w:tr w:rsidR="285882C8" w14:paraId="4814554B" w14:textId="77777777" w:rsidTr="002F3948">
        <w:trPr>
          <w:trHeight w:val="300"/>
        </w:trPr>
        <w:tc>
          <w:tcPr>
            <w:tcW w:w="1608" w:type="dxa"/>
            <w:tcMar>
              <w:left w:w="108" w:type="dxa"/>
              <w:right w:w="108" w:type="dxa"/>
            </w:tcMar>
          </w:tcPr>
          <w:p w14:paraId="2716FB7E" w14:textId="7DE97822" w:rsidR="285882C8" w:rsidRDefault="285882C8" w:rsidP="285882C8">
            <w:r w:rsidRPr="285882C8">
              <w:rPr>
                <w:sz w:val="22"/>
                <w:szCs w:val="22"/>
              </w:rPr>
              <w:t>L</w:t>
            </w:r>
            <w:proofErr w:type="gramStart"/>
            <w:r w:rsidRPr="285882C8">
              <w:rPr>
                <w:sz w:val="22"/>
                <w:szCs w:val="22"/>
              </w:rPr>
              <w:t>2.google</w:t>
            </w:r>
            <w:proofErr w:type="gramEnd"/>
          </w:p>
        </w:tc>
        <w:tc>
          <w:tcPr>
            <w:tcW w:w="1173" w:type="dxa"/>
            <w:tcMar>
              <w:left w:w="108" w:type="dxa"/>
              <w:right w:w="108" w:type="dxa"/>
            </w:tcMar>
          </w:tcPr>
          <w:p w14:paraId="3B0470D2" w14:textId="59F1C143" w:rsidR="285882C8" w:rsidRDefault="285882C8" w:rsidP="285882C8">
            <w:pPr>
              <w:jc w:val="center"/>
            </w:pPr>
            <w:r w:rsidRPr="285882C8">
              <w:rPr>
                <w:sz w:val="22"/>
                <w:szCs w:val="22"/>
              </w:rPr>
              <w:t xml:space="preserve"> </w:t>
            </w:r>
          </w:p>
        </w:tc>
        <w:tc>
          <w:tcPr>
            <w:tcW w:w="1121" w:type="dxa"/>
            <w:tcMar>
              <w:left w:w="108" w:type="dxa"/>
              <w:right w:w="108" w:type="dxa"/>
            </w:tcMar>
          </w:tcPr>
          <w:p w14:paraId="393E09CF" w14:textId="3BB41139" w:rsidR="285882C8" w:rsidRDefault="285882C8" w:rsidP="285882C8">
            <w:pPr>
              <w:jc w:val="center"/>
            </w:pPr>
            <w:r w:rsidRPr="285882C8">
              <w:rPr>
                <w:sz w:val="22"/>
                <w:szCs w:val="22"/>
              </w:rPr>
              <w:t xml:space="preserve"> </w:t>
            </w:r>
          </w:p>
        </w:tc>
        <w:tc>
          <w:tcPr>
            <w:tcW w:w="1173" w:type="dxa"/>
            <w:tcMar>
              <w:left w:w="108" w:type="dxa"/>
              <w:right w:w="108" w:type="dxa"/>
            </w:tcMar>
          </w:tcPr>
          <w:p w14:paraId="56FFBF29" w14:textId="2A5796A8" w:rsidR="285882C8" w:rsidRDefault="285882C8" w:rsidP="285882C8">
            <w:pPr>
              <w:jc w:val="center"/>
            </w:pPr>
            <w:r w:rsidRPr="285882C8">
              <w:rPr>
                <w:sz w:val="24"/>
                <w:szCs w:val="24"/>
              </w:rPr>
              <w:t>0</w:t>
            </w:r>
          </w:p>
        </w:tc>
        <w:tc>
          <w:tcPr>
            <w:tcW w:w="1120" w:type="dxa"/>
            <w:tcMar>
              <w:left w:w="108" w:type="dxa"/>
              <w:right w:w="108" w:type="dxa"/>
            </w:tcMar>
          </w:tcPr>
          <w:p w14:paraId="03E7E1C4" w14:textId="371CB8C7" w:rsidR="285882C8" w:rsidRDefault="285882C8" w:rsidP="285882C8">
            <w:pPr>
              <w:jc w:val="center"/>
            </w:pPr>
            <w:r w:rsidRPr="285882C8">
              <w:rPr>
                <w:sz w:val="22"/>
                <w:szCs w:val="22"/>
              </w:rPr>
              <w:t>-0.001</w:t>
            </w:r>
          </w:p>
        </w:tc>
        <w:tc>
          <w:tcPr>
            <w:tcW w:w="1120" w:type="dxa"/>
            <w:tcMar>
              <w:left w:w="108" w:type="dxa"/>
              <w:right w:w="108" w:type="dxa"/>
            </w:tcMar>
          </w:tcPr>
          <w:p w14:paraId="4A09DE0D" w14:textId="2007C0AB" w:rsidR="285882C8" w:rsidRDefault="285882C8" w:rsidP="285882C8">
            <w:pPr>
              <w:jc w:val="center"/>
            </w:pPr>
            <w:r w:rsidRPr="285882C8">
              <w:rPr>
                <w:sz w:val="24"/>
                <w:szCs w:val="24"/>
              </w:rPr>
              <w:t xml:space="preserve"> </w:t>
            </w:r>
          </w:p>
        </w:tc>
        <w:tc>
          <w:tcPr>
            <w:tcW w:w="1121" w:type="dxa"/>
            <w:tcMar>
              <w:left w:w="108" w:type="dxa"/>
              <w:right w:w="108" w:type="dxa"/>
            </w:tcMar>
          </w:tcPr>
          <w:p w14:paraId="72673EB5" w14:textId="75D75E5F" w:rsidR="285882C8" w:rsidRDefault="285882C8" w:rsidP="285882C8">
            <w:pPr>
              <w:jc w:val="center"/>
            </w:pPr>
            <w:r w:rsidRPr="285882C8">
              <w:rPr>
                <w:sz w:val="24"/>
                <w:szCs w:val="24"/>
              </w:rPr>
              <w:t xml:space="preserve"> </w:t>
            </w:r>
          </w:p>
        </w:tc>
      </w:tr>
      <w:tr w:rsidR="285882C8" w14:paraId="13B2EB0F" w14:textId="77777777" w:rsidTr="002F3948">
        <w:trPr>
          <w:trHeight w:val="300"/>
        </w:trPr>
        <w:tc>
          <w:tcPr>
            <w:tcW w:w="1608" w:type="dxa"/>
            <w:tcMar>
              <w:left w:w="108" w:type="dxa"/>
              <w:right w:w="108" w:type="dxa"/>
            </w:tcMar>
          </w:tcPr>
          <w:p w14:paraId="6380566B" w14:textId="66BA43B0" w:rsidR="285882C8" w:rsidRDefault="285882C8" w:rsidP="285882C8">
            <w:r w:rsidRPr="285882C8">
              <w:rPr>
                <w:sz w:val="24"/>
                <w:szCs w:val="24"/>
              </w:rPr>
              <w:t xml:space="preserve"> </w:t>
            </w:r>
          </w:p>
        </w:tc>
        <w:tc>
          <w:tcPr>
            <w:tcW w:w="1173" w:type="dxa"/>
            <w:tcMar>
              <w:left w:w="108" w:type="dxa"/>
              <w:right w:w="108" w:type="dxa"/>
            </w:tcMar>
          </w:tcPr>
          <w:p w14:paraId="11F438B0" w14:textId="326EA8D9" w:rsidR="285882C8" w:rsidRDefault="285882C8" w:rsidP="285882C8">
            <w:pPr>
              <w:jc w:val="center"/>
            </w:pPr>
            <w:r w:rsidRPr="285882C8">
              <w:rPr>
                <w:sz w:val="22"/>
                <w:szCs w:val="22"/>
              </w:rPr>
              <w:t xml:space="preserve"> </w:t>
            </w:r>
          </w:p>
        </w:tc>
        <w:tc>
          <w:tcPr>
            <w:tcW w:w="1121" w:type="dxa"/>
            <w:tcMar>
              <w:left w:w="108" w:type="dxa"/>
              <w:right w:w="108" w:type="dxa"/>
            </w:tcMar>
          </w:tcPr>
          <w:p w14:paraId="19022F74" w14:textId="699B3F29" w:rsidR="285882C8" w:rsidRDefault="285882C8" w:rsidP="285882C8">
            <w:pPr>
              <w:jc w:val="center"/>
            </w:pPr>
            <w:r w:rsidRPr="285882C8">
              <w:rPr>
                <w:sz w:val="22"/>
                <w:szCs w:val="22"/>
              </w:rPr>
              <w:t xml:space="preserve"> </w:t>
            </w:r>
          </w:p>
        </w:tc>
        <w:tc>
          <w:tcPr>
            <w:tcW w:w="1173" w:type="dxa"/>
            <w:tcMar>
              <w:left w:w="108" w:type="dxa"/>
              <w:right w:w="108" w:type="dxa"/>
            </w:tcMar>
          </w:tcPr>
          <w:p w14:paraId="74DAC802" w14:textId="04762FC0" w:rsidR="285882C8" w:rsidRDefault="285882C8" w:rsidP="285882C8">
            <w:pPr>
              <w:jc w:val="center"/>
            </w:pPr>
            <w:r w:rsidRPr="285882C8">
              <w:rPr>
                <w:sz w:val="24"/>
                <w:szCs w:val="24"/>
              </w:rPr>
              <w:t>(0.001)</w:t>
            </w:r>
          </w:p>
        </w:tc>
        <w:tc>
          <w:tcPr>
            <w:tcW w:w="1120" w:type="dxa"/>
            <w:tcMar>
              <w:left w:w="108" w:type="dxa"/>
              <w:right w:w="108" w:type="dxa"/>
            </w:tcMar>
          </w:tcPr>
          <w:p w14:paraId="0B5FD498" w14:textId="6D30DCDC" w:rsidR="285882C8" w:rsidRDefault="285882C8" w:rsidP="285882C8">
            <w:pPr>
              <w:jc w:val="center"/>
            </w:pPr>
            <w:r w:rsidRPr="285882C8">
              <w:rPr>
                <w:sz w:val="22"/>
                <w:szCs w:val="22"/>
              </w:rPr>
              <w:t>(0.001)</w:t>
            </w:r>
          </w:p>
        </w:tc>
        <w:tc>
          <w:tcPr>
            <w:tcW w:w="1120" w:type="dxa"/>
            <w:tcMar>
              <w:left w:w="108" w:type="dxa"/>
              <w:right w:w="108" w:type="dxa"/>
            </w:tcMar>
          </w:tcPr>
          <w:p w14:paraId="4CCE61EA" w14:textId="7B5866A0" w:rsidR="285882C8" w:rsidRDefault="285882C8" w:rsidP="285882C8">
            <w:pPr>
              <w:jc w:val="center"/>
            </w:pPr>
            <w:r w:rsidRPr="285882C8">
              <w:rPr>
                <w:sz w:val="24"/>
                <w:szCs w:val="24"/>
              </w:rPr>
              <w:t xml:space="preserve"> </w:t>
            </w:r>
          </w:p>
        </w:tc>
        <w:tc>
          <w:tcPr>
            <w:tcW w:w="1121" w:type="dxa"/>
            <w:tcMar>
              <w:left w:w="108" w:type="dxa"/>
              <w:right w:w="108" w:type="dxa"/>
            </w:tcMar>
          </w:tcPr>
          <w:p w14:paraId="24D50DFF" w14:textId="2330A92F" w:rsidR="285882C8" w:rsidRDefault="285882C8" w:rsidP="285882C8">
            <w:pPr>
              <w:jc w:val="center"/>
            </w:pPr>
            <w:r w:rsidRPr="285882C8">
              <w:rPr>
                <w:sz w:val="24"/>
                <w:szCs w:val="24"/>
              </w:rPr>
              <w:t xml:space="preserve"> </w:t>
            </w:r>
          </w:p>
        </w:tc>
      </w:tr>
      <w:tr w:rsidR="285882C8" w14:paraId="07B859B9" w14:textId="77777777" w:rsidTr="002F3948">
        <w:trPr>
          <w:trHeight w:val="300"/>
        </w:trPr>
        <w:tc>
          <w:tcPr>
            <w:tcW w:w="1608" w:type="dxa"/>
            <w:tcMar>
              <w:left w:w="108" w:type="dxa"/>
              <w:right w:w="108" w:type="dxa"/>
            </w:tcMar>
          </w:tcPr>
          <w:p w14:paraId="585FD891" w14:textId="112E87E5" w:rsidR="285882C8" w:rsidRDefault="285882C8" w:rsidP="285882C8">
            <w:r w:rsidRPr="285882C8">
              <w:rPr>
                <w:sz w:val="24"/>
                <w:szCs w:val="24"/>
              </w:rPr>
              <w:t xml:space="preserve"> </w:t>
            </w:r>
          </w:p>
        </w:tc>
        <w:tc>
          <w:tcPr>
            <w:tcW w:w="1173" w:type="dxa"/>
            <w:tcMar>
              <w:left w:w="108" w:type="dxa"/>
              <w:right w:w="108" w:type="dxa"/>
            </w:tcMar>
          </w:tcPr>
          <w:p w14:paraId="58AB8450" w14:textId="6D1BE747" w:rsidR="285882C8" w:rsidRDefault="285882C8" w:rsidP="285882C8">
            <w:pPr>
              <w:jc w:val="center"/>
            </w:pPr>
            <w:r w:rsidRPr="285882C8">
              <w:rPr>
                <w:sz w:val="22"/>
                <w:szCs w:val="22"/>
              </w:rPr>
              <w:t xml:space="preserve"> </w:t>
            </w:r>
          </w:p>
        </w:tc>
        <w:tc>
          <w:tcPr>
            <w:tcW w:w="1121" w:type="dxa"/>
            <w:tcMar>
              <w:left w:w="108" w:type="dxa"/>
              <w:right w:w="108" w:type="dxa"/>
            </w:tcMar>
          </w:tcPr>
          <w:p w14:paraId="29284040" w14:textId="2AEF2EC0" w:rsidR="285882C8" w:rsidRDefault="285882C8" w:rsidP="285882C8">
            <w:pPr>
              <w:jc w:val="center"/>
            </w:pPr>
            <w:r w:rsidRPr="285882C8">
              <w:rPr>
                <w:sz w:val="22"/>
                <w:szCs w:val="22"/>
              </w:rPr>
              <w:t xml:space="preserve"> </w:t>
            </w:r>
          </w:p>
        </w:tc>
        <w:tc>
          <w:tcPr>
            <w:tcW w:w="1173" w:type="dxa"/>
            <w:tcMar>
              <w:left w:w="108" w:type="dxa"/>
              <w:right w:w="108" w:type="dxa"/>
            </w:tcMar>
          </w:tcPr>
          <w:p w14:paraId="59A13498" w14:textId="6E7E5204" w:rsidR="285882C8" w:rsidRDefault="285882C8" w:rsidP="285882C8">
            <w:pPr>
              <w:jc w:val="center"/>
            </w:pPr>
            <w:r w:rsidRPr="285882C8">
              <w:rPr>
                <w:sz w:val="24"/>
                <w:szCs w:val="24"/>
              </w:rPr>
              <w:t xml:space="preserve"> </w:t>
            </w:r>
          </w:p>
        </w:tc>
        <w:tc>
          <w:tcPr>
            <w:tcW w:w="1120" w:type="dxa"/>
            <w:tcMar>
              <w:left w:w="108" w:type="dxa"/>
              <w:right w:w="108" w:type="dxa"/>
            </w:tcMar>
          </w:tcPr>
          <w:p w14:paraId="661DA353" w14:textId="406C6994" w:rsidR="285882C8" w:rsidRDefault="285882C8" w:rsidP="285882C8">
            <w:pPr>
              <w:jc w:val="center"/>
            </w:pPr>
            <w:r w:rsidRPr="285882C8">
              <w:rPr>
                <w:sz w:val="22"/>
                <w:szCs w:val="22"/>
              </w:rPr>
              <w:t xml:space="preserve"> </w:t>
            </w:r>
          </w:p>
        </w:tc>
        <w:tc>
          <w:tcPr>
            <w:tcW w:w="1120" w:type="dxa"/>
            <w:tcMar>
              <w:left w:w="108" w:type="dxa"/>
              <w:right w:w="108" w:type="dxa"/>
            </w:tcMar>
          </w:tcPr>
          <w:p w14:paraId="43BD0605" w14:textId="59D579B3" w:rsidR="285882C8" w:rsidRDefault="285882C8" w:rsidP="285882C8">
            <w:pPr>
              <w:jc w:val="center"/>
            </w:pPr>
            <w:r w:rsidRPr="285882C8">
              <w:rPr>
                <w:sz w:val="24"/>
                <w:szCs w:val="24"/>
              </w:rPr>
              <w:t xml:space="preserve"> </w:t>
            </w:r>
          </w:p>
        </w:tc>
        <w:tc>
          <w:tcPr>
            <w:tcW w:w="1121" w:type="dxa"/>
            <w:tcMar>
              <w:left w:w="108" w:type="dxa"/>
              <w:right w:w="108" w:type="dxa"/>
            </w:tcMar>
          </w:tcPr>
          <w:p w14:paraId="5F5E274F" w14:textId="778213C8" w:rsidR="285882C8" w:rsidRDefault="285882C8" w:rsidP="285882C8">
            <w:pPr>
              <w:jc w:val="center"/>
            </w:pPr>
            <w:r w:rsidRPr="285882C8">
              <w:rPr>
                <w:sz w:val="24"/>
                <w:szCs w:val="24"/>
              </w:rPr>
              <w:t xml:space="preserve"> </w:t>
            </w:r>
          </w:p>
        </w:tc>
      </w:tr>
      <w:tr w:rsidR="285882C8" w14:paraId="49B4EEBB" w14:textId="77777777" w:rsidTr="002F3948">
        <w:trPr>
          <w:trHeight w:val="300"/>
        </w:trPr>
        <w:tc>
          <w:tcPr>
            <w:tcW w:w="1608" w:type="dxa"/>
            <w:tcMar>
              <w:left w:w="108" w:type="dxa"/>
              <w:right w:w="108" w:type="dxa"/>
            </w:tcMar>
          </w:tcPr>
          <w:p w14:paraId="7C231CB4" w14:textId="4C056C66" w:rsidR="285882C8" w:rsidRDefault="285882C8" w:rsidP="285882C8">
            <w:r w:rsidRPr="285882C8">
              <w:rPr>
                <w:sz w:val="22"/>
                <w:szCs w:val="22"/>
              </w:rPr>
              <w:t>L</w:t>
            </w:r>
            <w:proofErr w:type="gramStart"/>
            <w:r w:rsidRPr="285882C8">
              <w:rPr>
                <w:sz w:val="22"/>
                <w:szCs w:val="22"/>
              </w:rPr>
              <w:t>3.google</w:t>
            </w:r>
            <w:proofErr w:type="gramEnd"/>
          </w:p>
        </w:tc>
        <w:tc>
          <w:tcPr>
            <w:tcW w:w="1173" w:type="dxa"/>
            <w:tcMar>
              <w:left w:w="108" w:type="dxa"/>
              <w:right w:w="108" w:type="dxa"/>
            </w:tcMar>
          </w:tcPr>
          <w:p w14:paraId="42276AD5" w14:textId="6392B764" w:rsidR="285882C8" w:rsidRDefault="285882C8" w:rsidP="285882C8">
            <w:pPr>
              <w:jc w:val="center"/>
            </w:pPr>
            <w:r w:rsidRPr="285882C8">
              <w:rPr>
                <w:sz w:val="22"/>
                <w:szCs w:val="22"/>
              </w:rPr>
              <w:t xml:space="preserve"> </w:t>
            </w:r>
          </w:p>
        </w:tc>
        <w:tc>
          <w:tcPr>
            <w:tcW w:w="1121" w:type="dxa"/>
            <w:tcMar>
              <w:left w:w="108" w:type="dxa"/>
              <w:right w:w="108" w:type="dxa"/>
            </w:tcMar>
          </w:tcPr>
          <w:p w14:paraId="23D6735B" w14:textId="7596E62A" w:rsidR="285882C8" w:rsidRDefault="285882C8" w:rsidP="285882C8">
            <w:pPr>
              <w:jc w:val="center"/>
            </w:pPr>
            <w:r w:rsidRPr="285882C8">
              <w:rPr>
                <w:sz w:val="22"/>
                <w:szCs w:val="22"/>
              </w:rPr>
              <w:t xml:space="preserve"> </w:t>
            </w:r>
          </w:p>
        </w:tc>
        <w:tc>
          <w:tcPr>
            <w:tcW w:w="1173" w:type="dxa"/>
            <w:tcMar>
              <w:left w:w="108" w:type="dxa"/>
              <w:right w:w="108" w:type="dxa"/>
            </w:tcMar>
          </w:tcPr>
          <w:p w14:paraId="60594EAB" w14:textId="38125B96" w:rsidR="285882C8" w:rsidRDefault="285882C8" w:rsidP="285882C8">
            <w:pPr>
              <w:jc w:val="center"/>
            </w:pPr>
            <w:r w:rsidRPr="285882C8">
              <w:rPr>
                <w:sz w:val="24"/>
                <w:szCs w:val="24"/>
              </w:rPr>
              <w:t>0</w:t>
            </w:r>
          </w:p>
          <w:p w14:paraId="271C7F2C" w14:textId="3C6450E2" w:rsidR="285882C8" w:rsidRDefault="285882C8" w:rsidP="285882C8">
            <w:pPr>
              <w:jc w:val="center"/>
            </w:pPr>
            <w:r w:rsidRPr="285882C8">
              <w:rPr>
                <w:sz w:val="24"/>
                <w:szCs w:val="24"/>
              </w:rPr>
              <w:t>(0)</w:t>
            </w:r>
          </w:p>
        </w:tc>
        <w:tc>
          <w:tcPr>
            <w:tcW w:w="1120" w:type="dxa"/>
            <w:tcMar>
              <w:left w:w="108" w:type="dxa"/>
              <w:right w:w="108" w:type="dxa"/>
            </w:tcMar>
          </w:tcPr>
          <w:p w14:paraId="573F5417" w14:textId="23D2DAA3" w:rsidR="285882C8" w:rsidRDefault="285882C8" w:rsidP="285882C8">
            <w:pPr>
              <w:jc w:val="center"/>
            </w:pPr>
            <w:r w:rsidRPr="285882C8">
              <w:rPr>
                <w:sz w:val="22"/>
                <w:szCs w:val="22"/>
              </w:rPr>
              <w:t>-0.001</w:t>
            </w:r>
          </w:p>
          <w:p w14:paraId="3A4CAFED" w14:textId="74A02A46" w:rsidR="285882C8" w:rsidRDefault="285882C8" w:rsidP="285882C8">
            <w:pPr>
              <w:jc w:val="center"/>
            </w:pPr>
            <w:r w:rsidRPr="285882C8">
              <w:rPr>
                <w:sz w:val="22"/>
                <w:szCs w:val="22"/>
              </w:rPr>
              <w:t>(0.001)</w:t>
            </w:r>
          </w:p>
        </w:tc>
        <w:tc>
          <w:tcPr>
            <w:tcW w:w="1120" w:type="dxa"/>
            <w:tcMar>
              <w:left w:w="108" w:type="dxa"/>
              <w:right w:w="108" w:type="dxa"/>
            </w:tcMar>
          </w:tcPr>
          <w:p w14:paraId="0F9E25AF" w14:textId="1181F3A9" w:rsidR="285882C8" w:rsidRDefault="285882C8" w:rsidP="285882C8">
            <w:pPr>
              <w:jc w:val="center"/>
            </w:pPr>
            <w:r w:rsidRPr="285882C8">
              <w:rPr>
                <w:sz w:val="24"/>
                <w:szCs w:val="24"/>
              </w:rPr>
              <w:t xml:space="preserve"> </w:t>
            </w:r>
          </w:p>
        </w:tc>
        <w:tc>
          <w:tcPr>
            <w:tcW w:w="1121" w:type="dxa"/>
            <w:tcMar>
              <w:left w:w="108" w:type="dxa"/>
              <w:right w:w="108" w:type="dxa"/>
            </w:tcMar>
          </w:tcPr>
          <w:p w14:paraId="6C18979A" w14:textId="6CF296ED" w:rsidR="285882C8" w:rsidRDefault="285882C8" w:rsidP="285882C8">
            <w:pPr>
              <w:jc w:val="center"/>
            </w:pPr>
            <w:r w:rsidRPr="285882C8">
              <w:rPr>
                <w:sz w:val="24"/>
                <w:szCs w:val="24"/>
              </w:rPr>
              <w:t xml:space="preserve"> </w:t>
            </w:r>
          </w:p>
        </w:tc>
      </w:tr>
      <w:tr w:rsidR="285882C8" w14:paraId="537F943B" w14:textId="77777777" w:rsidTr="002F3948">
        <w:trPr>
          <w:trHeight w:val="300"/>
        </w:trPr>
        <w:tc>
          <w:tcPr>
            <w:tcW w:w="1608" w:type="dxa"/>
            <w:tcMar>
              <w:left w:w="108" w:type="dxa"/>
              <w:right w:w="108" w:type="dxa"/>
            </w:tcMar>
          </w:tcPr>
          <w:p w14:paraId="14CE7C82" w14:textId="29482FE8" w:rsidR="285882C8" w:rsidRDefault="285882C8" w:rsidP="285882C8">
            <w:r w:rsidRPr="285882C8">
              <w:rPr>
                <w:sz w:val="24"/>
                <w:szCs w:val="24"/>
              </w:rPr>
              <w:t xml:space="preserve"> </w:t>
            </w:r>
          </w:p>
        </w:tc>
        <w:tc>
          <w:tcPr>
            <w:tcW w:w="1173" w:type="dxa"/>
            <w:tcMar>
              <w:left w:w="108" w:type="dxa"/>
              <w:right w:w="108" w:type="dxa"/>
            </w:tcMar>
          </w:tcPr>
          <w:p w14:paraId="5C757CA6" w14:textId="51D795D8" w:rsidR="285882C8" w:rsidRDefault="285882C8" w:rsidP="285882C8">
            <w:r w:rsidRPr="285882C8">
              <w:rPr>
                <w:sz w:val="24"/>
                <w:szCs w:val="24"/>
              </w:rPr>
              <w:t xml:space="preserve"> </w:t>
            </w:r>
          </w:p>
        </w:tc>
        <w:tc>
          <w:tcPr>
            <w:tcW w:w="1121" w:type="dxa"/>
            <w:tcMar>
              <w:left w:w="108" w:type="dxa"/>
              <w:right w:w="108" w:type="dxa"/>
            </w:tcMar>
          </w:tcPr>
          <w:p w14:paraId="56A5DB98" w14:textId="55F39C8D" w:rsidR="285882C8" w:rsidRDefault="285882C8" w:rsidP="285882C8">
            <w:r w:rsidRPr="285882C8">
              <w:rPr>
                <w:sz w:val="24"/>
                <w:szCs w:val="24"/>
              </w:rPr>
              <w:t xml:space="preserve"> </w:t>
            </w:r>
          </w:p>
        </w:tc>
        <w:tc>
          <w:tcPr>
            <w:tcW w:w="1173" w:type="dxa"/>
            <w:tcMar>
              <w:left w:w="108" w:type="dxa"/>
              <w:right w:w="108" w:type="dxa"/>
            </w:tcMar>
          </w:tcPr>
          <w:p w14:paraId="5B0DEDA9" w14:textId="5A8DC981" w:rsidR="285882C8" w:rsidRDefault="285882C8" w:rsidP="285882C8">
            <w:r w:rsidRPr="285882C8">
              <w:rPr>
                <w:sz w:val="24"/>
                <w:szCs w:val="24"/>
              </w:rPr>
              <w:t xml:space="preserve"> </w:t>
            </w:r>
          </w:p>
        </w:tc>
        <w:tc>
          <w:tcPr>
            <w:tcW w:w="1120" w:type="dxa"/>
            <w:tcMar>
              <w:left w:w="108" w:type="dxa"/>
              <w:right w:w="108" w:type="dxa"/>
            </w:tcMar>
          </w:tcPr>
          <w:p w14:paraId="7ACD34A6" w14:textId="3312BEA0" w:rsidR="285882C8" w:rsidRDefault="285882C8" w:rsidP="285882C8">
            <w:r w:rsidRPr="285882C8">
              <w:rPr>
                <w:sz w:val="24"/>
                <w:szCs w:val="24"/>
              </w:rPr>
              <w:t xml:space="preserve"> </w:t>
            </w:r>
          </w:p>
        </w:tc>
        <w:tc>
          <w:tcPr>
            <w:tcW w:w="1120" w:type="dxa"/>
            <w:tcMar>
              <w:left w:w="108" w:type="dxa"/>
              <w:right w:w="108" w:type="dxa"/>
            </w:tcMar>
          </w:tcPr>
          <w:p w14:paraId="5564D30A" w14:textId="188052F7" w:rsidR="285882C8" w:rsidRDefault="285882C8" w:rsidP="285882C8">
            <w:r w:rsidRPr="285882C8">
              <w:rPr>
                <w:sz w:val="24"/>
                <w:szCs w:val="24"/>
              </w:rPr>
              <w:t xml:space="preserve"> </w:t>
            </w:r>
          </w:p>
        </w:tc>
        <w:tc>
          <w:tcPr>
            <w:tcW w:w="1121" w:type="dxa"/>
            <w:tcMar>
              <w:left w:w="108" w:type="dxa"/>
              <w:right w:w="108" w:type="dxa"/>
            </w:tcMar>
          </w:tcPr>
          <w:p w14:paraId="3D03825D" w14:textId="775D72E8" w:rsidR="285882C8" w:rsidRDefault="285882C8" w:rsidP="285882C8">
            <w:r w:rsidRPr="285882C8">
              <w:rPr>
                <w:sz w:val="24"/>
                <w:szCs w:val="24"/>
              </w:rPr>
              <w:t xml:space="preserve"> </w:t>
            </w:r>
          </w:p>
        </w:tc>
      </w:tr>
      <w:tr w:rsidR="285882C8" w14:paraId="2CC80B6C" w14:textId="77777777" w:rsidTr="002F3948">
        <w:trPr>
          <w:trHeight w:val="300"/>
        </w:trPr>
        <w:tc>
          <w:tcPr>
            <w:tcW w:w="1608" w:type="dxa"/>
            <w:tcBorders>
              <w:top w:val="single" w:sz="8" w:space="0" w:color="auto"/>
              <w:left w:val="nil"/>
              <w:bottom w:val="nil"/>
              <w:right w:val="nil"/>
            </w:tcBorders>
            <w:tcMar>
              <w:left w:w="108" w:type="dxa"/>
              <w:right w:w="108" w:type="dxa"/>
            </w:tcMar>
          </w:tcPr>
          <w:p w14:paraId="664F906C" w14:textId="55FDB8C8" w:rsidR="285882C8" w:rsidRDefault="285882C8" w:rsidP="285882C8">
            <w:r w:rsidRPr="285882C8">
              <w:rPr>
                <w:sz w:val="24"/>
                <w:szCs w:val="24"/>
              </w:rPr>
              <w:lastRenderedPageBreak/>
              <w:t>r2</w:t>
            </w:r>
          </w:p>
        </w:tc>
        <w:tc>
          <w:tcPr>
            <w:tcW w:w="1173" w:type="dxa"/>
            <w:tcBorders>
              <w:top w:val="single" w:sz="8" w:space="0" w:color="auto"/>
              <w:left w:val="nil"/>
              <w:bottom w:val="nil"/>
              <w:right w:val="nil"/>
            </w:tcBorders>
            <w:tcMar>
              <w:left w:w="108" w:type="dxa"/>
              <w:right w:w="108" w:type="dxa"/>
            </w:tcMar>
          </w:tcPr>
          <w:p w14:paraId="77A7DCD8" w14:textId="13BC09B1" w:rsidR="285882C8" w:rsidRDefault="285882C8" w:rsidP="285882C8">
            <w:pPr>
              <w:jc w:val="center"/>
            </w:pPr>
            <w:r w:rsidRPr="285882C8">
              <w:rPr>
                <w:sz w:val="24"/>
                <w:szCs w:val="24"/>
              </w:rPr>
              <w:t>0.289</w:t>
            </w:r>
          </w:p>
        </w:tc>
        <w:tc>
          <w:tcPr>
            <w:tcW w:w="1121" w:type="dxa"/>
            <w:tcBorders>
              <w:top w:val="single" w:sz="8" w:space="0" w:color="auto"/>
              <w:left w:val="nil"/>
              <w:bottom w:val="nil"/>
              <w:right w:val="nil"/>
            </w:tcBorders>
            <w:tcMar>
              <w:left w:w="108" w:type="dxa"/>
              <w:right w:w="108" w:type="dxa"/>
            </w:tcMar>
          </w:tcPr>
          <w:p w14:paraId="5CD247EC" w14:textId="540AF144" w:rsidR="285882C8" w:rsidRDefault="285882C8" w:rsidP="285882C8">
            <w:pPr>
              <w:jc w:val="center"/>
            </w:pPr>
            <w:r w:rsidRPr="285882C8">
              <w:rPr>
                <w:sz w:val="24"/>
                <w:szCs w:val="24"/>
              </w:rPr>
              <w:t>0.619</w:t>
            </w:r>
          </w:p>
        </w:tc>
        <w:tc>
          <w:tcPr>
            <w:tcW w:w="1173" w:type="dxa"/>
            <w:tcBorders>
              <w:top w:val="single" w:sz="8" w:space="0" w:color="auto"/>
              <w:left w:val="nil"/>
              <w:bottom w:val="nil"/>
              <w:right w:val="nil"/>
            </w:tcBorders>
            <w:tcMar>
              <w:left w:w="108" w:type="dxa"/>
              <w:right w:w="108" w:type="dxa"/>
            </w:tcMar>
          </w:tcPr>
          <w:p w14:paraId="61C0D0E8" w14:textId="103CAD52" w:rsidR="285882C8" w:rsidRDefault="285882C8" w:rsidP="285882C8">
            <w:pPr>
              <w:jc w:val="center"/>
            </w:pPr>
            <w:r w:rsidRPr="285882C8">
              <w:rPr>
                <w:sz w:val="24"/>
                <w:szCs w:val="24"/>
              </w:rPr>
              <w:t>0.237</w:t>
            </w:r>
          </w:p>
        </w:tc>
        <w:tc>
          <w:tcPr>
            <w:tcW w:w="1120" w:type="dxa"/>
            <w:tcBorders>
              <w:top w:val="single" w:sz="8" w:space="0" w:color="auto"/>
              <w:left w:val="nil"/>
              <w:bottom w:val="nil"/>
              <w:right w:val="nil"/>
            </w:tcBorders>
            <w:tcMar>
              <w:left w:w="108" w:type="dxa"/>
              <w:right w:w="108" w:type="dxa"/>
            </w:tcMar>
          </w:tcPr>
          <w:p w14:paraId="5EEBFF6A" w14:textId="41DFCAFF" w:rsidR="285882C8" w:rsidRDefault="285882C8" w:rsidP="285882C8">
            <w:pPr>
              <w:jc w:val="center"/>
            </w:pPr>
            <w:r w:rsidRPr="285882C8">
              <w:rPr>
                <w:sz w:val="24"/>
                <w:szCs w:val="24"/>
              </w:rPr>
              <w:t>0.625</w:t>
            </w:r>
          </w:p>
        </w:tc>
        <w:tc>
          <w:tcPr>
            <w:tcW w:w="1120" w:type="dxa"/>
            <w:tcBorders>
              <w:top w:val="single" w:sz="8" w:space="0" w:color="auto"/>
              <w:left w:val="nil"/>
              <w:bottom w:val="nil"/>
              <w:right w:val="nil"/>
            </w:tcBorders>
            <w:tcMar>
              <w:left w:w="108" w:type="dxa"/>
              <w:right w:w="108" w:type="dxa"/>
            </w:tcMar>
          </w:tcPr>
          <w:p w14:paraId="681C7C49" w14:textId="323AAB93" w:rsidR="285882C8" w:rsidRDefault="285882C8" w:rsidP="285882C8">
            <w:pPr>
              <w:jc w:val="center"/>
            </w:pPr>
            <w:r w:rsidRPr="285882C8">
              <w:rPr>
                <w:sz w:val="24"/>
                <w:szCs w:val="24"/>
              </w:rPr>
              <w:t>0.206</w:t>
            </w:r>
          </w:p>
        </w:tc>
        <w:tc>
          <w:tcPr>
            <w:tcW w:w="1121" w:type="dxa"/>
            <w:tcBorders>
              <w:top w:val="single" w:sz="8" w:space="0" w:color="auto"/>
              <w:left w:val="nil"/>
              <w:bottom w:val="nil"/>
              <w:right w:val="nil"/>
            </w:tcBorders>
            <w:tcMar>
              <w:left w:w="108" w:type="dxa"/>
              <w:right w:w="108" w:type="dxa"/>
            </w:tcMar>
          </w:tcPr>
          <w:p w14:paraId="01D984DD" w14:textId="233422BC" w:rsidR="285882C8" w:rsidRDefault="285882C8" w:rsidP="285882C8">
            <w:pPr>
              <w:jc w:val="center"/>
            </w:pPr>
            <w:r w:rsidRPr="285882C8">
              <w:rPr>
                <w:sz w:val="24"/>
                <w:szCs w:val="24"/>
              </w:rPr>
              <w:t>0.206</w:t>
            </w:r>
          </w:p>
        </w:tc>
      </w:tr>
      <w:tr w:rsidR="285882C8" w14:paraId="129DB8DB" w14:textId="77777777" w:rsidTr="002F3948">
        <w:trPr>
          <w:trHeight w:val="300"/>
        </w:trPr>
        <w:tc>
          <w:tcPr>
            <w:tcW w:w="1608" w:type="dxa"/>
            <w:tcMar>
              <w:left w:w="108" w:type="dxa"/>
              <w:right w:w="108" w:type="dxa"/>
            </w:tcMar>
          </w:tcPr>
          <w:p w14:paraId="3CE5EBD2" w14:textId="36E9AE5B" w:rsidR="285882C8" w:rsidRDefault="285882C8" w:rsidP="285882C8">
            <w:r w:rsidRPr="285882C8">
              <w:rPr>
                <w:sz w:val="24"/>
                <w:szCs w:val="24"/>
              </w:rPr>
              <w:t>N</w:t>
            </w:r>
          </w:p>
        </w:tc>
        <w:tc>
          <w:tcPr>
            <w:tcW w:w="1173" w:type="dxa"/>
            <w:tcMar>
              <w:left w:w="108" w:type="dxa"/>
              <w:right w:w="108" w:type="dxa"/>
            </w:tcMar>
          </w:tcPr>
          <w:p w14:paraId="7499BED7" w14:textId="3C3196F2" w:rsidR="285882C8" w:rsidRDefault="285882C8" w:rsidP="285882C8">
            <w:pPr>
              <w:jc w:val="center"/>
            </w:pPr>
            <w:r w:rsidRPr="285882C8">
              <w:rPr>
                <w:sz w:val="24"/>
                <w:szCs w:val="24"/>
              </w:rPr>
              <w:t>245</w:t>
            </w:r>
          </w:p>
        </w:tc>
        <w:tc>
          <w:tcPr>
            <w:tcW w:w="1121" w:type="dxa"/>
            <w:tcMar>
              <w:left w:w="108" w:type="dxa"/>
              <w:right w:w="108" w:type="dxa"/>
            </w:tcMar>
          </w:tcPr>
          <w:p w14:paraId="6E99C326" w14:textId="14C3B049" w:rsidR="285882C8" w:rsidRDefault="285882C8" w:rsidP="285882C8">
            <w:pPr>
              <w:jc w:val="center"/>
            </w:pPr>
            <w:r w:rsidRPr="285882C8">
              <w:rPr>
                <w:sz w:val="24"/>
                <w:szCs w:val="24"/>
              </w:rPr>
              <w:t>245</w:t>
            </w:r>
          </w:p>
        </w:tc>
        <w:tc>
          <w:tcPr>
            <w:tcW w:w="1173" w:type="dxa"/>
            <w:tcMar>
              <w:left w:w="108" w:type="dxa"/>
              <w:right w:w="108" w:type="dxa"/>
            </w:tcMar>
          </w:tcPr>
          <w:p w14:paraId="6C25D3CC" w14:textId="47BD22E7" w:rsidR="285882C8" w:rsidRDefault="285882C8" w:rsidP="285882C8">
            <w:pPr>
              <w:jc w:val="center"/>
            </w:pPr>
            <w:r w:rsidRPr="285882C8">
              <w:rPr>
                <w:sz w:val="24"/>
                <w:szCs w:val="24"/>
              </w:rPr>
              <w:t>245</w:t>
            </w:r>
          </w:p>
        </w:tc>
        <w:tc>
          <w:tcPr>
            <w:tcW w:w="1120" w:type="dxa"/>
            <w:tcMar>
              <w:left w:w="108" w:type="dxa"/>
              <w:right w:w="108" w:type="dxa"/>
            </w:tcMar>
          </w:tcPr>
          <w:p w14:paraId="56B31E63" w14:textId="35892A07" w:rsidR="285882C8" w:rsidRDefault="285882C8" w:rsidP="285882C8">
            <w:pPr>
              <w:jc w:val="center"/>
            </w:pPr>
            <w:r w:rsidRPr="285882C8">
              <w:rPr>
                <w:sz w:val="24"/>
                <w:szCs w:val="24"/>
              </w:rPr>
              <w:t>245</w:t>
            </w:r>
          </w:p>
        </w:tc>
        <w:tc>
          <w:tcPr>
            <w:tcW w:w="1120" w:type="dxa"/>
            <w:tcMar>
              <w:left w:w="108" w:type="dxa"/>
              <w:right w:w="108" w:type="dxa"/>
            </w:tcMar>
          </w:tcPr>
          <w:p w14:paraId="6613EFBA" w14:textId="561AC914" w:rsidR="285882C8" w:rsidRDefault="285882C8" w:rsidP="285882C8">
            <w:pPr>
              <w:jc w:val="center"/>
            </w:pPr>
            <w:r w:rsidRPr="285882C8">
              <w:rPr>
                <w:sz w:val="24"/>
                <w:szCs w:val="24"/>
              </w:rPr>
              <w:t>246</w:t>
            </w:r>
          </w:p>
        </w:tc>
        <w:tc>
          <w:tcPr>
            <w:tcW w:w="1121" w:type="dxa"/>
            <w:tcMar>
              <w:left w:w="108" w:type="dxa"/>
              <w:right w:w="108" w:type="dxa"/>
            </w:tcMar>
          </w:tcPr>
          <w:p w14:paraId="2CCD5165" w14:textId="144C9D2A" w:rsidR="285882C8" w:rsidRDefault="285882C8" w:rsidP="285882C8">
            <w:pPr>
              <w:jc w:val="center"/>
            </w:pPr>
            <w:r w:rsidRPr="285882C8">
              <w:rPr>
                <w:sz w:val="24"/>
                <w:szCs w:val="24"/>
              </w:rPr>
              <w:t>246</w:t>
            </w:r>
          </w:p>
        </w:tc>
      </w:tr>
      <w:tr w:rsidR="285882C8" w14:paraId="1BCB194C" w14:textId="77777777" w:rsidTr="002F3948">
        <w:trPr>
          <w:trHeight w:val="300"/>
        </w:trPr>
        <w:tc>
          <w:tcPr>
            <w:tcW w:w="1608" w:type="dxa"/>
            <w:tcBorders>
              <w:left w:val="nil"/>
              <w:bottom w:val="single" w:sz="8" w:space="0" w:color="auto"/>
              <w:right w:val="nil"/>
            </w:tcBorders>
            <w:tcMar>
              <w:left w:w="108" w:type="dxa"/>
              <w:right w:w="108" w:type="dxa"/>
            </w:tcMar>
          </w:tcPr>
          <w:p w14:paraId="60FDC89E" w14:textId="1EC0C6E5" w:rsidR="285882C8" w:rsidRDefault="285882C8" w:rsidP="285882C8">
            <w:r w:rsidRPr="285882C8">
              <w:rPr>
                <w:sz w:val="24"/>
                <w:szCs w:val="24"/>
              </w:rPr>
              <w:t>F</w:t>
            </w:r>
          </w:p>
        </w:tc>
        <w:tc>
          <w:tcPr>
            <w:tcW w:w="1173" w:type="dxa"/>
            <w:tcBorders>
              <w:left w:val="nil"/>
              <w:bottom w:val="single" w:sz="8" w:space="0" w:color="auto"/>
              <w:right w:val="nil"/>
            </w:tcBorders>
            <w:tcMar>
              <w:left w:w="108" w:type="dxa"/>
              <w:right w:w="108" w:type="dxa"/>
            </w:tcMar>
          </w:tcPr>
          <w:p w14:paraId="6C4E105D" w14:textId="6EA7D540" w:rsidR="285882C8" w:rsidRDefault="285882C8" w:rsidP="285882C8">
            <w:pPr>
              <w:jc w:val="center"/>
            </w:pPr>
            <w:r w:rsidRPr="285882C8">
              <w:rPr>
                <w:sz w:val="24"/>
                <w:szCs w:val="24"/>
              </w:rPr>
              <w:t>5.91</w:t>
            </w:r>
            <w:r w:rsidRPr="285882C8">
              <w:rPr>
                <w:sz w:val="24"/>
                <w:szCs w:val="24"/>
                <w:vertAlign w:val="superscript"/>
              </w:rPr>
              <w:t>***</w:t>
            </w:r>
          </w:p>
        </w:tc>
        <w:tc>
          <w:tcPr>
            <w:tcW w:w="1121" w:type="dxa"/>
            <w:tcBorders>
              <w:left w:val="nil"/>
              <w:bottom w:val="single" w:sz="8" w:space="0" w:color="auto"/>
              <w:right w:val="nil"/>
            </w:tcBorders>
            <w:tcMar>
              <w:left w:w="108" w:type="dxa"/>
              <w:right w:w="108" w:type="dxa"/>
            </w:tcMar>
          </w:tcPr>
          <w:p w14:paraId="50133CA3" w14:textId="4F595B81" w:rsidR="285882C8" w:rsidRDefault="285882C8" w:rsidP="285882C8">
            <w:pPr>
              <w:jc w:val="center"/>
            </w:pPr>
            <w:r w:rsidRPr="285882C8">
              <w:rPr>
                <w:sz w:val="24"/>
                <w:szCs w:val="24"/>
              </w:rPr>
              <w:t>0.27</w:t>
            </w:r>
          </w:p>
        </w:tc>
        <w:tc>
          <w:tcPr>
            <w:tcW w:w="1173" w:type="dxa"/>
            <w:tcBorders>
              <w:left w:val="nil"/>
              <w:bottom w:val="single" w:sz="8" w:space="0" w:color="auto"/>
              <w:right w:val="nil"/>
            </w:tcBorders>
            <w:tcMar>
              <w:left w:w="108" w:type="dxa"/>
              <w:right w:w="108" w:type="dxa"/>
            </w:tcMar>
          </w:tcPr>
          <w:p w14:paraId="4DF60133" w14:textId="731175F5" w:rsidR="285882C8" w:rsidRDefault="285882C8" w:rsidP="285882C8">
            <w:pPr>
              <w:jc w:val="center"/>
            </w:pPr>
            <w:r w:rsidRPr="285882C8">
              <w:rPr>
                <w:sz w:val="24"/>
                <w:szCs w:val="24"/>
              </w:rPr>
              <w:t>0.02</w:t>
            </w:r>
          </w:p>
        </w:tc>
        <w:tc>
          <w:tcPr>
            <w:tcW w:w="1120" w:type="dxa"/>
            <w:tcBorders>
              <w:left w:val="nil"/>
              <w:bottom w:val="single" w:sz="8" w:space="0" w:color="auto"/>
              <w:right w:val="nil"/>
            </w:tcBorders>
            <w:tcMar>
              <w:left w:w="108" w:type="dxa"/>
              <w:right w:w="108" w:type="dxa"/>
            </w:tcMar>
          </w:tcPr>
          <w:p w14:paraId="7E6A4BCC" w14:textId="02FB1CE8" w:rsidR="285882C8" w:rsidRDefault="285882C8" w:rsidP="285882C8">
            <w:pPr>
              <w:jc w:val="center"/>
            </w:pPr>
            <w:r w:rsidRPr="285882C8">
              <w:rPr>
                <w:sz w:val="24"/>
                <w:szCs w:val="24"/>
              </w:rPr>
              <w:t>1.51</w:t>
            </w:r>
          </w:p>
        </w:tc>
        <w:tc>
          <w:tcPr>
            <w:tcW w:w="1120" w:type="dxa"/>
            <w:tcBorders>
              <w:left w:val="nil"/>
              <w:bottom w:val="single" w:sz="8" w:space="0" w:color="auto"/>
              <w:right w:val="nil"/>
            </w:tcBorders>
            <w:tcMar>
              <w:left w:w="108" w:type="dxa"/>
              <w:right w:w="108" w:type="dxa"/>
            </w:tcMar>
          </w:tcPr>
          <w:p w14:paraId="7965FEDB" w14:textId="1D705789" w:rsidR="285882C8" w:rsidRDefault="285882C8" w:rsidP="285882C8">
            <w:pPr>
              <w:jc w:val="center"/>
            </w:pPr>
            <w:r w:rsidRPr="285882C8">
              <w:rPr>
                <w:sz w:val="24"/>
                <w:szCs w:val="24"/>
              </w:rPr>
              <w:t xml:space="preserve"> </w:t>
            </w:r>
          </w:p>
        </w:tc>
        <w:tc>
          <w:tcPr>
            <w:tcW w:w="1121" w:type="dxa"/>
            <w:tcBorders>
              <w:left w:val="nil"/>
              <w:bottom w:val="single" w:sz="8" w:space="0" w:color="auto"/>
              <w:right w:val="nil"/>
            </w:tcBorders>
            <w:tcMar>
              <w:left w:w="108" w:type="dxa"/>
              <w:right w:w="108" w:type="dxa"/>
            </w:tcMar>
          </w:tcPr>
          <w:p w14:paraId="2DCE1C9B" w14:textId="7D3C028D" w:rsidR="285882C8" w:rsidRDefault="285882C8" w:rsidP="285882C8">
            <w:pPr>
              <w:jc w:val="center"/>
            </w:pPr>
            <w:r w:rsidRPr="285882C8">
              <w:rPr>
                <w:sz w:val="24"/>
                <w:szCs w:val="24"/>
              </w:rPr>
              <w:t xml:space="preserve"> </w:t>
            </w:r>
          </w:p>
        </w:tc>
      </w:tr>
      <w:tr w:rsidR="285882C8" w14:paraId="5D0584A8" w14:textId="77777777" w:rsidTr="002F3948">
        <w:trPr>
          <w:trHeight w:val="300"/>
        </w:trPr>
        <w:tc>
          <w:tcPr>
            <w:tcW w:w="1608" w:type="dxa"/>
            <w:tcBorders>
              <w:top w:val="single" w:sz="8" w:space="0" w:color="auto"/>
              <w:left w:val="nil"/>
              <w:bottom w:val="single" w:sz="8" w:space="0" w:color="auto"/>
              <w:right w:val="nil"/>
            </w:tcBorders>
            <w:tcMar>
              <w:left w:w="108" w:type="dxa"/>
              <w:right w:w="108" w:type="dxa"/>
            </w:tcMar>
          </w:tcPr>
          <w:p w14:paraId="6A4A8AFE" w14:textId="4F54BA97" w:rsidR="285882C8" w:rsidRDefault="285882C8" w:rsidP="285882C8">
            <w:r w:rsidRPr="285882C8">
              <w:rPr>
                <w:sz w:val="24"/>
                <w:szCs w:val="24"/>
              </w:rPr>
              <w:t xml:space="preserve"> </w:t>
            </w:r>
          </w:p>
        </w:tc>
        <w:tc>
          <w:tcPr>
            <w:tcW w:w="1173" w:type="dxa"/>
            <w:tcBorders>
              <w:top w:val="single" w:sz="8" w:space="0" w:color="auto"/>
              <w:left w:val="nil"/>
              <w:bottom w:val="single" w:sz="8" w:space="0" w:color="auto"/>
              <w:right w:val="nil"/>
            </w:tcBorders>
            <w:tcMar>
              <w:left w:w="108" w:type="dxa"/>
              <w:right w:w="108" w:type="dxa"/>
            </w:tcMar>
          </w:tcPr>
          <w:p w14:paraId="7B0B17A8" w14:textId="3A2D04E2" w:rsidR="285882C8" w:rsidRDefault="285882C8" w:rsidP="285882C8">
            <w:pPr>
              <w:jc w:val="center"/>
            </w:pPr>
            <w:r w:rsidRPr="285882C8">
              <w:rPr>
                <w:sz w:val="24"/>
                <w:szCs w:val="24"/>
              </w:rPr>
              <w:t xml:space="preserve"> </w:t>
            </w:r>
          </w:p>
        </w:tc>
        <w:tc>
          <w:tcPr>
            <w:tcW w:w="1121" w:type="dxa"/>
            <w:tcBorders>
              <w:top w:val="single" w:sz="8" w:space="0" w:color="auto"/>
              <w:left w:val="nil"/>
              <w:bottom w:val="single" w:sz="8" w:space="0" w:color="auto"/>
              <w:right w:val="nil"/>
            </w:tcBorders>
            <w:tcMar>
              <w:left w:w="108" w:type="dxa"/>
              <w:right w:w="108" w:type="dxa"/>
            </w:tcMar>
          </w:tcPr>
          <w:p w14:paraId="7592FEB4" w14:textId="1E607E95" w:rsidR="285882C8" w:rsidRDefault="285882C8" w:rsidP="285882C8">
            <w:pPr>
              <w:jc w:val="center"/>
            </w:pPr>
            <w:r w:rsidRPr="285882C8">
              <w:rPr>
                <w:sz w:val="24"/>
                <w:szCs w:val="24"/>
              </w:rPr>
              <w:t xml:space="preserve"> </w:t>
            </w:r>
          </w:p>
        </w:tc>
        <w:tc>
          <w:tcPr>
            <w:tcW w:w="1173" w:type="dxa"/>
            <w:tcBorders>
              <w:top w:val="single" w:sz="8" w:space="0" w:color="auto"/>
              <w:left w:val="nil"/>
              <w:bottom w:val="single" w:sz="8" w:space="0" w:color="auto"/>
              <w:right w:val="nil"/>
            </w:tcBorders>
            <w:tcMar>
              <w:left w:w="108" w:type="dxa"/>
              <w:right w:w="108" w:type="dxa"/>
            </w:tcMar>
          </w:tcPr>
          <w:p w14:paraId="67B61792" w14:textId="5D13ED36" w:rsidR="285882C8" w:rsidRDefault="285882C8" w:rsidP="285882C8">
            <w:pPr>
              <w:jc w:val="center"/>
            </w:pPr>
            <w:r w:rsidRPr="285882C8">
              <w:rPr>
                <w:sz w:val="24"/>
                <w:szCs w:val="24"/>
              </w:rPr>
              <w:t xml:space="preserve"> </w:t>
            </w:r>
          </w:p>
        </w:tc>
        <w:tc>
          <w:tcPr>
            <w:tcW w:w="1120" w:type="dxa"/>
            <w:tcBorders>
              <w:top w:val="single" w:sz="8" w:space="0" w:color="auto"/>
              <w:left w:val="nil"/>
              <w:bottom w:val="single" w:sz="8" w:space="0" w:color="auto"/>
              <w:right w:val="nil"/>
            </w:tcBorders>
            <w:tcMar>
              <w:left w:w="108" w:type="dxa"/>
              <w:right w:w="108" w:type="dxa"/>
            </w:tcMar>
          </w:tcPr>
          <w:p w14:paraId="3561AD3F" w14:textId="7F244640" w:rsidR="285882C8" w:rsidRDefault="285882C8" w:rsidP="285882C8">
            <w:pPr>
              <w:jc w:val="center"/>
            </w:pPr>
            <w:r w:rsidRPr="285882C8">
              <w:rPr>
                <w:sz w:val="24"/>
                <w:szCs w:val="24"/>
              </w:rPr>
              <w:t xml:space="preserve"> </w:t>
            </w:r>
          </w:p>
        </w:tc>
        <w:tc>
          <w:tcPr>
            <w:tcW w:w="1120" w:type="dxa"/>
            <w:tcBorders>
              <w:top w:val="single" w:sz="8" w:space="0" w:color="auto"/>
              <w:left w:val="nil"/>
              <w:bottom w:val="single" w:sz="8" w:space="0" w:color="auto"/>
              <w:right w:val="nil"/>
            </w:tcBorders>
            <w:tcMar>
              <w:left w:w="108" w:type="dxa"/>
              <w:right w:w="108" w:type="dxa"/>
            </w:tcMar>
          </w:tcPr>
          <w:p w14:paraId="3CAB19F8" w14:textId="24567394" w:rsidR="285882C8" w:rsidRDefault="285882C8" w:rsidP="285882C8">
            <w:pPr>
              <w:jc w:val="center"/>
            </w:pPr>
            <w:r w:rsidRPr="285882C8">
              <w:rPr>
                <w:sz w:val="24"/>
                <w:szCs w:val="24"/>
              </w:rPr>
              <w:t xml:space="preserve"> </w:t>
            </w:r>
          </w:p>
        </w:tc>
        <w:tc>
          <w:tcPr>
            <w:tcW w:w="1121" w:type="dxa"/>
            <w:tcBorders>
              <w:top w:val="single" w:sz="8" w:space="0" w:color="auto"/>
              <w:left w:val="nil"/>
              <w:bottom w:val="single" w:sz="8" w:space="0" w:color="auto"/>
              <w:right w:val="nil"/>
            </w:tcBorders>
            <w:tcMar>
              <w:left w:w="108" w:type="dxa"/>
              <w:right w:w="108" w:type="dxa"/>
            </w:tcMar>
          </w:tcPr>
          <w:p w14:paraId="7047D7AF" w14:textId="69C7EC5F" w:rsidR="285882C8" w:rsidRDefault="285882C8" w:rsidP="285882C8">
            <w:pPr>
              <w:jc w:val="center"/>
            </w:pPr>
            <w:r w:rsidRPr="285882C8">
              <w:rPr>
                <w:sz w:val="24"/>
                <w:szCs w:val="24"/>
              </w:rPr>
              <w:t xml:space="preserve"> </w:t>
            </w:r>
          </w:p>
        </w:tc>
      </w:tr>
      <w:tr w:rsidR="285882C8" w14:paraId="169EBEA1" w14:textId="77777777" w:rsidTr="002F3948">
        <w:trPr>
          <w:trHeight w:val="300"/>
        </w:trPr>
        <w:tc>
          <w:tcPr>
            <w:tcW w:w="1608" w:type="dxa"/>
            <w:tcBorders>
              <w:top w:val="single" w:sz="8" w:space="0" w:color="auto"/>
              <w:left w:val="nil"/>
              <w:bottom w:val="single" w:sz="8" w:space="0" w:color="auto"/>
              <w:right w:val="nil"/>
            </w:tcBorders>
            <w:tcMar>
              <w:left w:w="108" w:type="dxa"/>
              <w:right w:w="108" w:type="dxa"/>
            </w:tcMar>
          </w:tcPr>
          <w:p w14:paraId="23F5EAAE" w14:textId="7C719DEE" w:rsidR="285882C8" w:rsidRDefault="285882C8" w:rsidP="285882C8">
            <w:r w:rsidRPr="285882C8">
              <w:rPr>
                <w:sz w:val="24"/>
                <w:szCs w:val="24"/>
              </w:rPr>
              <w:t xml:space="preserve"> </w:t>
            </w:r>
          </w:p>
        </w:tc>
        <w:tc>
          <w:tcPr>
            <w:tcW w:w="1173" w:type="dxa"/>
            <w:tcBorders>
              <w:top w:val="single" w:sz="8" w:space="0" w:color="auto"/>
              <w:left w:val="nil"/>
              <w:bottom w:val="single" w:sz="8" w:space="0" w:color="auto"/>
              <w:right w:val="nil"/>
            </w:tcBorders>
            <w:tcMar>
              <w:left w:w="108" w:type="dxa"/>
              <w:right w:w="108" w:type="dxa"/>
            </w:tcMar>
          </w:tcPr>
          <w:p w14:paraId="6FA1A8DC" w14:textId="029FA8AE" w:rsidR="285882C8" w:rsidRDefault="285882C8" w:rsidP="285882C8">
            <w:pPr>
              <w:jc w:val="center"/>
            </w:pPr>
            <w:r w:rsidRPr="285882C8">
              <w:rPr>
                <w:sz w:val="24"/>
                <w:szCs w:val="24"/>
              </w:rPr>
              <w:t xml:space="preserve"> </w:t>
            </w:r>
          </w:p>
        </w:tc>
        <w:tc>
          <w:tcPr>
            <w:tcW w:w="1121" w:type="dxa"/>
            <w:tcBorders>
              <w:top w:val="single" w:sz="8" w:space="0" w:color="auto"/>
              <w:left w:val="nil"/>
              <w:bottom w:val="single" w:sz="8" w:space="0" w:color="auto"/>
              <w:right w:val="nil"/>
            </w:tcBorders>
            <w:tcMar>
              <w:left w:w="108" w:type="dxa"/>
              <w:right w:w="108" w:type="dxa"/>
            </w:tcMar>
          </w:tcPr>
          <w:p w14:paraId="08B3BDF2" w14:textId="5D970CFA" w:rsidR="285882C8" w:rsidRDefault="285882C8" w:rsidP="285882C8">
            <w:pPr>
              <w:jc w:val="center"/>
            </w:pPr>
            <w:r w:rsidRPr="285882C8">
              <w:rPr>
                <w:sz w:val="24"/>
                <w:szCs w:val="24"/>
              </w:rPr>
              <w:t xml:space="preserve"> </w:t>
            </w:r>
          </w:p>
        </w:tc>
        <w:tc>
          <w:tcPr>
            <w:tcW w:w="1173" w:type="dxa"/>
            <w:tcBorders>
              <w:top w:val="single" w:sz="8" w:space="0" w:color="auto"/>
              <w:left w:val="nil"/>
              <w:bottom w:val="single" w:sz="8" w:space="0" w:color="auto"/>
              <w:right w:val="nil"/>
            </w:tcBorders>
            <w:tcMar>
              <w:left w:w="108" w:type="dxa"/>
              <w:right w:w="108" w:type="dxa"/>
            </w:tcMar>
          </w:tcPr>
          <w:p w14:paraId="09C73391" w14:textId="3812E2C7" w:rsidR="285882C8" w:rsidRDefault="285882C8" w:rsidP="285882C8">
            <w:pPr>
              <w:jc w:val="center"/>
            </w:pPr>
            <w:r w:rsidRPr="285882C8">
              <w:rPr>
                <w:sz w:val="24"/>
                <w:szCs w:val="24"/>
              </w:rPr>
              <w:t xml:space="preserve"> </w:t>
            </w:r>
          </w:p>
        </w:tc>
        <w:tc>
          <w:tcPr>
            <w:tcW w:w="1120" w:type="dxa"/>
            <w:tcBorders>
              <w:top w:val="single" w:sz="8" w:space="0" w:color="auto"/>
              <w:left w:val="nil"/>
              <w:bottom w:val="single" w:sz="8" w:space="0" w:color="auto"/>
              <w:right w:val="nil"/>
            </w:tcBorders>
            <w:tcMar>
              <w:left w:w="108" w:type="dxa"/>
              <w:right w:w="108" w:type="dxa"/>
            </w:tcMar>
          </w:tcPr>
          <w:p w14:paraId="6765B7C9" w14:textId="27C3F258" w:rsidR="285882C8" w:rsidRDefault="285882C8" w:rsidP="285882C8">
            <w:pPr>
              <w:jc w:val="center"/>
            </w:pPr>
            <w:r w:rsidRPr="285882C8">
              <w:rPr>
                <w:sz w:val="24"/>
                <w:szCs w:val="24"/>
              </w:rPr>
              <w:t xml:space="preserve"> </w:t>
            </w:r>
          </w:p>
        </w:tc>
        <w:tc>
          <w:tcPr>
            <w:tcW w:w="1120" w:type="dxa"/>
            <w:tcBorders>
              <w:top w:val="single" w:sz="8" w:space="0" w:color="auto"/>
              <w:left w:val="nil"/>
              <w:bottom w:val="single" w:sz="8" w:space="0" w:color="auto"/>
              <w:right w:val="nil"/>
            </w:tcBorders>
            <w:tcMar>
              <w:left w:w="108" w:type="dxa"/>
              <w:right w:w="108" w:type="dxa"/>
            </w:tcMar>
          </w:tcPr>
          <w:p w14:paraId="588CF981" w14:textId="387F86A1" w:rsidR="285882C8" w:rsidRDefault="285882C8" w:rsidP="285882C8">
            <w:pPr>
              <w:jc w:val="center"/>
            </w:pPr>
            <w:r w:rsidRPr="285882C8">
              <w:rPr>
                <w:sz w:val="24"/>
                <w:szCs w:val="24"/>
              </w:rPr>
              <w:t xml:space="preserve"> </w:t>
            </w:r>
          </w:p>
        </w:tc>
        <w:tc>
          <w:tcPr>
            <w:tcW w:w="1121" w:type="dxa"/>
            <w:tcBorders>
              <w:top w:val="single" w:sz="8" w:space="0" w:color="auto"/>
              <w:left w:val="nil"/>
              <w:bottom w:val="single" w:sz="8" w:space="0" w:color="auto"/>
              <w:right w:val="nil"/>
            </w:tcBorders>
            <w:tcMar>
              <w:left w:w="108" w:type="dxa"/>
              <w:right w:w="108" w:type="dxa"/>
            </w:tcMar>
          </w:tcPr>
          <w:p w14:paraId="5E2D3523" w14:textId="5478E22A" w:rsidR="285882C8" w:rsidRDefault="285882C8" w:rsidP="285882C8">
            <w:pPr>
              <w:jc w:val="center"/>
            </w:pPr>
            <w:r w:rsidRPr="285882C8">
              <w:rPr>
                <w:sz w:val="24"/>
                <w:szCs w:val="24"/>
              </w:rPr>
              <w:t xml:space="preserve"> </w:t>
            </w:r>
          </w:p>
        </w:tc>
      </w:tr>
    </w:tbl>
    <w:p w14:paraId="11917DB6" w14:textId="33212F95" w:rsidR="008C5E8C" w:rsidRPr="008C5E8C" w:rsidRDefault="285882C8" w:rsidP="285882C8">
      <w:r w:rsidRPr="285882C8">
        <w:rPr>
          <w:i/>
          <w:iCs/>
          <w:sz w:val="20"/>
          <w:szCs w:val="20"/>
        </w:rPr>
        <w:t>t</w:t>
      </w:r>
      <w:r w:rsidRPr="285882C8">
        <w:rPr>
          <w:sz w:val="20"/>
          <w:szCs w:val="20"/>
        </w:rPr>
        <w:t xml:space="preserve"> statistics in parentheses</w:t>
      </w:r>
    </w:p>
    <w:p w14:paraId="6CE9459A" w14:textId="01CC8BCA" w:rsidR="008C5E8C" w:rsidRPr="008C5E8C" w:rsidRDefault="285882C8" w:rsidP="285882C8">
      <w:r w:rsidRPr="285882C8">
        <w:rPr>
          <w:sz w:val="20"/>
          <w:szCs w:val="20"/>
          <w:vertAlign w:val="superscript"/>
        </w:rPr>
        <w:t>*</w:t>
      </w:r>
      <w:r w:rsidRPr="285882C8">
        <w:rPr>
          <w:sz w:val="20"/>
          <w:szCs w:val="20"/>
        </w:rPr>
        <w:t xml:space="preserve"> </w:t>
      </w:r>
      <w:r w:rsidRPr="285882C8">
        <w:rPr>
          <w:i/>
          <w:iCs/>
          <w:sz w:val="20"/>
          <w:szCs w:val="20"/>
        </w:rPr>
        <w:t>p</w:t>
      </w:r>
      <w:r w:rsidRPr="285882C8">
        <w:rPr>
          <w:sz w:val="20"/>
          <w:szCs w:val="20"/>
        </w:rPr>
        <w:t xml:space="preserve"> &lt; 0.05, </w:t>
      </w:r>
      <w:r w:rsidRPr="285882C8">
        <w:rPr>
          <w:sz w:val="20"/>
          <w:szCs w:val="20"/>
          <w:vertAlign w:val="superscript"/>
        </w:rPr>
        <w:t>**</w:t>
      </w:r>
      <w:r w:rsidRPr="285882C8">
        <w:rPr>
          <w:sz w:val="20"/>
          <w:szCs w:val="20"/>
        </w:rPr>
        <w:t xml:space="preserve"> </w:t>
      </w:r>
      <w:r w:rsidRPr="285882C8">
        <w:rPr>
          <w:i/>
          <w:iCs/>
          <w:sz w:val="20"/>
          <w:szCs w:val="20"/>
        </w:rPr>
        <w:t>p</w:t>
      </w:r>
      <w:r w:rsidRPr="285882C8">
        <w:rPr>
          <w:sz w:val="20"/>
          <w:szCs w:val="20"/>
        </w:rPr>
        <w:t xml:space="preserve"> &lt; 0.01, </w:t>
      </w:r>
      <w:r w:rsidRPr="285882C8">
        <w:rPr>
          <w:sz w:val="20"/>
          <w:szCs w:val="20"/>
          <w:vertAlign w:val="superscript"/>
        </w:rPr>
        <w:t>***</w:t>
      </w:r>
      <w:r w:rsidRPr="285882C8">
        <w:rPr>
          <w:sz w:val="20"/>
          <w:szCs w:val="20"/>
        </w:rPr>
        <w:t xml:space="preserve"> </w:t>
      </w:r>
      <w:r w:rsidRPr="285882C8">
        <w:rPr>
          <w:i/>
          <w:iCs/>
          <w:sz w:val="20"/>
          <w:szCs w:val="20"/>
        </w:rPr>
        <w:t>p</w:t>
      </w:r>
      <w:r w:rsidRPr="285882C8">
        <w:rPr>
          <w:sz w:val="20"/>
          <w:szCs w:val="20"/>
        </w:rPr>
        <w:t xml:space="preserve"> &lt; 0.001</w:t>
      </w:r>
    </w:p>
    <w:p w14:paraId="219A94CD" w14:textId="081BB71A" w:rsidR="008C5E8C" w:rsidRPr="008C5E8C" w:rsidRDefault="008C5E8C" w:rsidP="008C5E8C"/>
    <w:p w14:paraId="5BFEEDAF" w14:textId="47F03BC7" w:rsidR="008C5E8C" w:rsidRPr="008C5E8C" w:rsidRDefault="008C5E8C" w:rsidP="00DE19B8">
      <w:pPr>
        <w:jc w:val="left"/>
        <w:rPr>
          <w:sz w:val="20"/>
          <w:szCs w:val="20"/>
        </w:rPr>
      </w:pPr>
      <w:r>
        <w:rPr>
          <w:noProof/>
        </w:rPr>
        <w:drawing>
          <wp:inline distT="0" distB="0" distL="0" distR="0" wp14:anchorId="05666257" wp14:editId="3680F07F">
            <wp:extent cx="5267324" cy="3819525"/>
            <wp:effectExtent l="0" t="0" r="0" b="0"/>
            <wp:docPr id="1611130238" name="Picture 161113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67324" cy="3819525"/>
                    </a:xfrm>
                    <a:prstGeom prst="rect">
                      <a:avLst/>
                    </a:prstGeom>
                  </pic:spPr>
                </pic:pic>
              </a:graphicData>
            </a:graphic>
          </wp:inline>
        </w:drawing>
      </w:r>
    </w:p>
    <w:p w14:paraId="41AA798A" w14:textId="607010E2" w:rsidR="008C5E8C" w:rsidRPr="008C5E8C" w:rsidRDefault="008C5E8C" w:rsidP="008C5E8C">
      <w:pPr>
        <w:rPr>
          <w:rFonts w:eastAsia="DengXian"/>
        </w:rPr>
      </w:pPr>
    </w:p>
    <w:p w14:paraId="2D97BCAB" w14:textId="77777777" w:rsidR="00B06CE5" w:rsidRDefault="00B06CE5" w:rsidP="00B06CE5">
      <w:pPr>
        <w:rPr>
          <w:rFonts w:eastAsia="DengXian"/>
        </w:rPr>
      </w:pPr>
    </w:p>
    <w:p w14:paraId="428391E3" w14:textId="77777777" w:rsidR="00B06CE5" w:rsidRPr="00B06CE5" w:rsidRDefault="00B06CE5" w:rsidP="00B06CE5">
      <w:pPr>
        <w:rPr>
          <w:rFonts w:eastAsia="DengXian"/>
        </w:rPr>
      </w:pPr>
    </w:p>
    <w:p w14:paraId="42F5EAF9" w14:textId="77777777" w:rsidR="006C76DD" w:rsidRDefault="006C76DD" w:rsidP="006C76DD">
      <w:pPr>
        <w:rPr>
          <w:rFonts w:eastAsia="DengXian"/>
        </w:rPr>
      </w:pPr>
    </w:p>
    <w:sectPr w:rsidR="006C76D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9DA7" w14:textId="77777777" w:rsidR="00266111" w:rsidRDefault="00266111" w:rsidP="000A005A">
      <w:r>
        <w:separator/>
      </w:r>
    </w:p>
  </w:endnote>
  <w:endnote w:type="continuationSeparator" w:id="0">
    <w:p w14:paraId="5C549FF0" w14:textId="77777777" w:rsidR="00266111" w:rsidRDefault="00266111" w:rsidP="000A005A">
      <w:r>
        <w:continuationSeparator/>
      </w:r>
    </w:p>
  </w:endnote>
  <w:endnote w:type="continuationNotice" w:id="1">
    <w:p w14:paraId="54F6D2F4" w14:textId="77777777" w:rsidR="00266111" w:rsidRDefault="00266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320639"/>
      <w:docPartObj>
        <w:docPartGallery w:val="Page Numbers (Bottom of Page)"/>
        <w:docPartUnique/>
      </w:docPartObj>
    </w:sdtPr>
    <w:sdtContent>
      <w:sdt>
        <w:sdtPr>
          <w:id w:val="1728636285"/>
          <w:docPartObj>
            <w:docPartGallery w:val="Page Numbers (Top of Page)"/>
            <w:docPartUnique/>
          </w:docPartObj>
        </w:sdtPr>
        <w:sdtContent>
          <w:p w14:paraId="40E5CDE8" w14:textId="3107B6FA" w:rsidR="00697C56" w:rsidRDefault="00697C56">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302E46" w14:textId="77777777" w:rsidR="00183489" w:rsidRDefault="00183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555A4" w14:textId="77777777" w:rsidR="00266111" w:rsidRDefault="00266111" w:rsidP="000A005A">
      <w:r>
        <w:separator/>
      </w:r>
    </w:p>
  </w:footnote>
  <w:footnote w:type="continuationSeparator" w:id="0">
    <w:p w14:paraId="51D0B516" w14:textId="77777777" w:rsidR="00266111" w:rsidRDefault="00266111" w:rsidP="000A005A">
      <w:r>
        <w:continuationSeparator/>
      </w:r>
    </w:p>
  </w:footnote>
  <w:footnote w:type="continuationNotice" w:id="1">
    <w:p w14:paraId="3294503A" w14:textId="77777777" w:rsidR="00266111" w:rsidRDefault="002661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14861"/>
    <w:multiLevelType w:val="hybridMultilevel"/>
    <w:tmpl w:val="DC8ECB1A"/>
    <w:lvl w:ilvl="0" w:tplc="2B40A4DE">
      <w:start w:val="1"/>
      <w:numFmt w:val="bullet"/>
      <w:lvlText w:val=""/>
      <w:lvlJc w:val="left"/>
      <w:pPr>
        <w:ind w:left="360" w:hanging="360"/>
      </w:pPr>
      <w:rPr>
        <w:rFonts w:ascii="Symbol" w:hAnsi="Symbol" w:hint="default"/>
      </w:rPr>
    </w:lvl>
    <w:lvl w:ilvl="1" w:tplc="733C2B04">
      <w:start w:val="1"/>
      <w:numFmt w:val="bullet"/>
      <w:lvlText w:val="o"/>
      <w:lvlJc w:val="left"/>
      <w:pPr>
        <w:ind w:left="1080" w:hanging="360"/>
      </w:pPr>
      <w:rPr>
        <w:rFonts w:ascii="Courier New" w:hAnsi="Courier New" w:hint="default"/>
      </w:rPr>
    </w:lvl>
    <w:lvl w:ilvl="2" w:tplc="BD76F246">
      <w:start w:val="1"/>
      <w:numFmt w:val="bullet"/>
      <w:lvlText w:val=""/>
      <w:lvlJc w:val="left"/>
      <w:pPr>
        <w:ind w:left="1800" w:hanging="360"/>
      </w:pPr>
      <w:rPr>
        <w:rFonts w:ascii="Wingdings" w:hAnsi="Wingdings" w:hint="default"/>
      </w:rPr>
    </w:lvl>
    <w:lvl w:ilvl="3" w:tplc="27E62AD8">
      <w:start w:val="1"/>
      <w:numFmt w:val="bullet"/>
      <w:lvlText w:val=""/>
      <w:lvlJc w:val="left"/>
      <w:pPr>
        <w:ind w:left="2520" w:hanging="360"/>
      </w:pPr>
      <w:rPr>
        <w:rFonts w:ascii="Symbol" w:hAnsi="Symbol" w:hint="default"/>
      </w:rPr>
    </w:lvl>
    <w:lvl w:ilvl="4" w:tplc="F61C475A">
      <w:start w:val="1"/>
      <w:numFmt w:val="bullet"/>
      <w:lvlText w:val="o"/>
      <w:lvlJc w:val="left"/>
      <w:pPr>
        <w:ind w:left="3240" w:hanging="360"/>
      </w:pPr>
      <w:rPr>
        <w:rFonts w:ascii="Courier New" w:hAnsi="Courier New" w:hint="default"/>
      </w:rPr>
    </w:lvl>
    <w:lvl w:ilvl="5" w:tplc="B6A45620">
      <w:start w:val="1"/>
      <w:numFmt w:val="bullet"/>
      <w:lvlText w:val=""/>
      <w:lvlJc w:val="left"/>
      <w:pPr>
        <w:ind w:left="3960" w:hanging="360"/>
      </w:pPr>
      <w:rPr>
        <w:rFonts w:ascii="Wingdings" w:hAnsi="Wingdings" w:hint="default"/>
      </w:rPr>
    </w:lvl>
    <w:lvl w:ilvl="6" w:tplc="A268FBF6">
      <w:start w:val="1"/>
      <w:numFmt w:val="bullet"/>
      <w:lvlText w:val=""/>
      <w:lvlJc w:val="left"/>
      <w:pPr>
        <w:ind w:left="4680" w:hanging="360"/>
      </w:pPr>
      <w:rPr>
        <w:rFonts w:ascii="Symbol" w:hAnsi="Symbol" w:hint="default"/>
      </w:rPr>
    </w:lvl>
    <w:lvl w:ilvl="7" w:tplc="D2A80B54">
      <w:start w:val="1"/>
      <w:numFmt w:val="bullet"/>
      <w:lvlText w:val="o"/>
      <w:lvlJc w:val="left"/>
      <w:pPr>
        <w:ind w:left="5400" w:hanging="360"/>
      </w:pPr>
      <w:rPr>
        <w:rFonts w:ascii="Courier New" w:hAnsi="Courier New" w:hint="default"/>
      </w:rPr>
    </w:lvl>
    <w:lvl w:ilvl="8" w:tplc="F3DAB8AE">
      <w:start w:val="1"/>
      <w:numFmt w:val="bullet"/>
      <w:lvlText w:val=""/>
      <w:lvlJc w:val="left"/>
      <w:pPr>
        <w:ind w:left="6120" w:hanging="360"/>
      </w:pPr>
      <w:rPr>
        <w:rFonts w:ascii="Wingdings" w:hAnsi="Wingdings" w:hint="default"/>
      </w:rPr>
    </w:lvl>
  </w:abstractNum>
  <w:abstractNum w:abstractNumId="1" w15:restartNumberingAfterBreak="0">
    <w:nsid w:val="2FB27766"/>
    <w:multiLevelType w:val="multilevel"/>
    <w:tmpl w:val="9EB032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3F0B93"/>
    <w:multiLevelType w:val="hybridMultilevel"/>
    <w:tmpl w:val="1DDAAFAA"/>
    <w:lvl w:ilvl="0" w:tplc="88B4D3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D286E41"/>
    <w:multiLevelType w:val="multilevel"/>
    <w:tmpl w:val="C28266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6C5C5"/>
    <w:multiLevelType w:val="multilevel"/>
    <w:tmpl w:val="A7CCDF66"/>
    <w:lvl w:ilvl="0">
      <w:start w:val="1"/>
      <w:numFmt w:val="bullet"/>
      <w:lvlText w:val=""/>
      <w:lvlJc w:val="left"/>
      <w:pPr>
        <w:ind w:left="360" w:hanging="360"/>
      </w:pPr>
      <w:rPr>
        <w:rFonts w:ascii="Symbol" w:hAnsi="Symbol" w:hint="default"/>
      </w:rPr>
    </w:lvl>
    <w:lvl w:ilvl="1">
      <w:start w:val="1"/>
      <w:numFmt w:val="bullet"/>
      <w:lvlText w:val="o"/>
      <w:lvlJc w:val="left"/>
      <w:pPr>
        <w:ind w:left="1140" w:hanging="420"/>
      </w:pPr>
      <w:rPr>
        <w:rFonts w:ascii="Courier New" w:hAnsi="Courier New"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580" w:hanging="420"/>
      </w:pPr>
      <w:rPr>
        <w:rFonts w:ascii="Symbol" w:hAnsi="Symbol" w:hint="default"/>
      </w:rPr>
    </w:lvl>
    <w:lvl w:ilvl="4">
      <w:start w:val="1"/>
      <w:numFmt w:val="bullet"/>
      <w:lvlText w:val="o"/>
      <w:lvlJc w:val="left"/>
      <w:pPr>
        <w:ind w:left="3300" w:hanging="420"/>
      </w:pPr>
      <w:rPr>
        <w:rFonts w:ascii="Courier New" w:hAnsi="Courier New" w:hint="default"/>
      </w:rPr>
    </w:lvl>
    <w:lvl w:ilvl="5">
      <w:start w:val="1"/>
      <w:numFmt w:val="bullet"/>
      <w:lvlText w:val=""/>
      <w:lvlJc w:val="left"/>
      <w:pPr>
        <w:ind w:left="4020" w:hanging="420"/>
      </w:pPr>
      <w:rPr>
        <w:rFonts w:ascii="Wingdings" w:hAnsi="Wingdings" w:hint="default"/>
      </w:rPr>
    </w:lvl>
    <w:lvl w:ilvl="6">
      <w:start w:val="1"/>
      <w:numFmt w:val="bullet"/>
      <w:lvlText w:val=""/>
      <w:lvlJc w:val="left"/>
      <w:pPr>
        <w:ind w:left="4740" w:hanging="420"/>
      </w:pPr>
      <w:rPr>
        <w:rFonts w:ascii="Symbol" w:hAnsi="Symbol" w:hint="default"/>
      </w:rPr>
    </w:lvl>
    <w:lvl w:ilvl="7">
      <w:start w:val="1"/>
      <w:numFmt w:val="bullet"/>
      <w:lvlText w:val="o"/>
      <w:lvlJc w:val="left"/>
      <w:pPr>
        <w:ind w:left="5460" w:hanging="420"/>
      </w:pPr>
      <w:rPr>
        <w:rFonts w:ascii="Courier New" w:hAnsi="Courier New" w:hint="default"/>
      </w:rPr>
    </w:lvl>
    <w:lvl w:ilvl="8">
      <w:start w:val="1"/>
      <w:numFmt w:val="bullet"/>
      <w:lvlText w:val=""/>
      <w:lvlJc w:val="left"/>
      <w:pPr>
        <w:ind w:left="6180" w:hanging="420"/>
      </w:pPr>
      <w:rPr>
        <w:rFonts w:ascii="Wingdings" w:hAnsi="Wingdings" w:hint="default"/>
      </w:rPr>
    </w:lvl>
  </w:abstractNum>
  <w:abstractNum w:abstractNumId="5" w15:restartNumberingAfterBreak="0">
    <w:nsid w:val="5099FF20"/>
    <w:multiLevelType w:val="hybridMultilevel"/>
    <w:tmpl w:val="08C486D4"/>
    <w:lvl w:ilvl="0" w:tplc="F1865DB4">
      <w:start w:val="1"/>
      <w:numFmt w:val="bullet"/>
      <w:lvlText w:val=""/>
      <w:lvlJc w:val="left"/>
      <w:pPr>
        <w:ind w:left="720" w:hanging="360"/>
      </w:pPr>
      <w:rPr>
        <w:rFonts w:ascii="Symbol" w:hAnsi="Symbol" w:hint="default"/>
      </w:rPr>
    </w:lvl>
    <w:lvl w:ilvl="1" w:tplc="1B1083C0">
      <w:start w:val="1"/>
      <w:numFmt w:val="bullet"/>
      <w:lvlText w:val="o"/>
      <w:lvlJc w:val="left"/>
      <w:pPr>
        <w:ind w:left="1440" w:hanging="360"/>
      </w:pPr>
      <w:rPr>
        <w:rFonts w:ascii="Courier New" w:hAnsi="Courier New" w:hint="default"/>
      </w:rPr>
    </w:lvl>
    <w:lvl w:ilvl="2" w:tplc="BB1CC224">
      <w:start w:val="1"/>
      <w:numFmt w:val="bullet"/>
      <w:lvlText w:val=""/>
      <w:lvlJc w:val="left"/>
      <w:pPr>
        <w:ind w:left="2160" w:hanging="360"/>
      </w:pPr>
      <w:rPr>
        <w:rFonts w:ascii="Wingdings" w:hAnsi="Wingdings" w:hint="default"/>
      </w:rPr>
    </w:lvl>
    <w:lvl w:ilvl="3" w:tplc="5A9A252E">
      <w:start w:val="1"/>
      <w:numFmt w:val="bullet"/>
      <w:lvlText w:val=""/>
      <w:lvlJc w:val="left"/>
      <w:pPr>
        <w:ind w:left="2880" w:hanging="360"/>
      </w:pPr>
      <w:rPr>
        <w:rFonts w:ascii="Symbol" w:hAnsi="Symbol" w:hint="default"/>
      </w:rPr>
    </w:lvl>
    <w:lvl w:ilvl="4" w:tplc="D7FEE09E">
      <w:start w:val="1"/>
      <w:numFmt w:val="bullet"/>
      <w:lvlText w:val="o"/>
      <w:lvlJc w:val="left"/>
      <w:pPr>
        <w:ind w:left="3600" w:hanging="360"/>
      </w:pPr>
      <w:rPr>
        <w:rFonts w:ascii="Courier New" w:hAnsi="Courier New" w:hint="default"/>
      </w:rPr>
    </w:lvl>
    <w:lvl w:ilvl="5" w:tplc="CF208622">
      <w:start w:val="1"/>
      <w:numFmt w:val="bullet"/>
      <w:lvlText w:val=""/>
      <w:lvlJc w:val="left"/>
      <w:pPr>
        <w:ind w:left="4320" w:hanging="360"/>
      </w:pPr>
      <w:rPr>
        <w:rFonts w:ascii="Wingdings" w:hAnsi="Wingdings" w:hint="default"/>
      </w:rPr>
    </w:lvl>
    <w:lvl w:ilvl="6" w:tplc="3954C486">
      <w:start w:val="1"/>
      <w:numFmt w:val="bullet"/>
      <w:lvlText w:val=""/>
      <w:lvlJc w:val="left"/>
      <w:pPr>
        <w:ind w:left="5040" w:hanging="360"/>
      </w:pPr>
      <w:rPr>
        <w:rFonts w:ascii="Symbol" w:hAnsi="Symbol" w:hint="default"/>
      </w:rPr>
    </w:lvl>
    <w:lvl w:ilvl="7" w:tplc="E0C20750">
      <w:start w:val="1"/>
      <w:numFmt w:val="bullet"/>
      <w:lvlText w:val="o"/>
      <w:lvlJc w:val="left"/>
      <w:pPr>
        <w:ind w:left="5760" w:hanging="360"/>
      </w:pPr>
      <w:rPr>
        <w:rFonts w:ascii="Courier New" w:hAnsi="Courier New" w:hint="default"/>
      </w:rPr>
    </w:lvl>
    <w:lvl w:ilvl="8" w:tplc="EFFC1EFA">
      <w:start w:val="1"/>
      <w:numFmt w:val="bullet"/>
      <w:lvlText w:val=""/>
      <w:lvlJc w:val="left"/>
      <w:pPr>
        <w:ind w:left="6480" w:hanging="360"/>
      </w:pPr>
      <w:rPr>
        <w:rFonts w:ascii="Wingdings" w:hAnsi="Wingdings" w:hint="default"/>
      </w:rPr>
    </w:lvl>
  </w:abstractNum>
  <w:abstractNum w:abstractNumId="6" w15:restartNumberingAfterBreak="0">
    <w:nsid w:val="5916B315"/>
    <w:multiLevelType w:val="hybridMultilevel"/>
    <w:tmpl w:val="DE4EDAE6"/>
    <w:lvl w:ilvl="0" w:tplc="5BD2158A">
      <w:start w:val="1"/>
      <w:numFmt w:val="bullet"/>
      <w:lvlText w:val=""/>
      <w:lvlJc w:val="left"/>
      <w:pPr>
        <w:ind w:left="720" w:hanging="360"/>
      </w:pPr>
      <w:rPr>
        <w:rFonts w:ascii="Symbol" w:hAnsi="Symbol" w:hint="default"/>
      </w:rPr>
    </w:lvl>
    <w:lvl w:ilvl="1" w:tplc="A2E48AC0">
      <w:start w:val="1"/>
      <w:numFmt w:val="bullet"/>
      <w:lvlText w:val="o"/>
      <w:lvlJc w:val="left"/>
      <w:pPr>
        <w:ind w:left="1440" w:hanging="360"/>
      </w:pPr>
      <w:rPr>
        <w:rFonts w:ascii="Courier New" w:hAnsi="Courier New" w:hint="default"/>
      </w:rPr>
    </w:lvl>
    <w:lvl w:ilvl="2" w:tplc="6F7AFA44">
      <w:start w:val="1"/>
      <w:numFmt w:val="bullet"/>
      <w:lvlText w:val=""/>
      <w:lvlJc w:val="left"/>
      <w:pPr>
        <w:ind w:left="2160" w:hanging="360"/>
      </w:pPr>
      <w:rPr>
        <w:rFonts w:ascii="Wingdings" w:hAnsi="Wingdings" w:hint="default"/>
      </w:rPr>
    </w:lvl>
    <w:lvl w:ilvl="3" w:tplc="A1E663D2">
      <w:start w:val="1"/>
      <w:numFmt w:val="bullet"/>
      <w:lvlText w:val=""/>
      <w:lvlJc w:val="left"/>
      <w:pPr>
        <w:ind w:left="2880" w:hanging="360"/>
      </w:pPr>
      <w:rPr>
        <w:rFonts w:ascii="Symbol" w:hAnsi="Symbol" w:hint="default"/>
      </w:rPr>
    </w:lvl>
    <w:lvl w:ilvl="4" w:tplc="E7A08F74">
      <w:start w:val="1"/>
      <w:numFmt w:val="bullet"/>
      <w:lvlText w:val="o"/>
      <w:lvlJc w:val="left"/>
      <w:pPr>
        <w:ind w:left="3600" w:hanging="360"/>
      </w:pPr>
      <w:rPr>
        <w:rFonts w:ascii="Courier New" w:hAnsi="Courier New" w:hint="default"/>
      </w:rPr>
    </w:lvl>
    <w:lvl w:ilvl="5" w:tplc="E24E620A">
      <w:start w:val="1"/>
      <w:numFmt w:val="bullet"/>
      <w:lvlText w:val=""/>
      <w:lvlJc w:val="left"/>
      <w:pPr>
        <w:ind w:left="4320" w:hanging="360"/>
      </w:pPr>
      <w:rPr>
        <w:rFonts w:ascii="Wingdings" w:hAnsi="Wingdings" w:hint="default"/>
      </w:rPr>
    </w:lvl>
    <w:lvl w:ilvl="6" w:tplc="838C11D2">
      <w:start w:val="1"/>
      <w:numFmt w:val="bullet"/>
      <w:lvlText w:val=""/>
      <w:lvlJc w:val="left"/>
      <w:pPr>
        <w:ind w:left="5040" w:hanging="360"/>
      </w:pPr>
      <w:rPr>
        <w:rFonts w:ascii="Symbol" w:hAnsi="Symbol" w:hint="default"/>
      </w:rPr>
    </w:lvl>
    <w:lvl w:ilvl="7" w:tplc="0D4A0A40">
      <w:start w:val="1"/>
      <w:numFmt w:val="bullet"/>
      <w:lvlText w:val="o"/>
      <w:lvlJc w:val="left"/>
      <w:pPr>
        <w:ind w:left="5760" w:hanging="360"/>
      </w:pPr>
      <w:rPr>
        <w:rFonts w:ascii="Courier New" w:hAnsi="Courier New" w:hint="default"/>
      </w:rPr>
    </w:lvl>
    <w:lvl w:ilvl="8" w:tplc="AF62F794">
      <w:start w:val="1"/>
      <w:numFmt w:val="bullet"/>
      <w:lvlText w:val=""/>
      <w:lvlJc w:val="left"/>
      <w:pPr>
        <w:ind w:left="6480" w:hanging="360"/>
      </w:pPr>
      <w:rPr>
        <w:rFonts w:ascii="Wingdings" w:hAnsi="Wingdings" w:hint="default"/>
      </w:rPr>
    </w:lvl>
  </w:abstractNum>
  <w:abstractNum w:abstractNumId="7" w15:restartNumberingAfterBreak="0">
    <w:nsid w:val="5EDC67F3"/>
    <w:multiLevelType w:val="hybridMultilevel"/>
    <w:tmpl w:val="A6B4C604"/>
    <w:lvl w:ilvl="0" w:tplc="40A46988">
      <w:start w:val="1"/>
      <w:numFmt w:val="bullet"/>
      <w:lvlText w:val=""/>
      <w:lvlJc w:val="left"/>
      <w:pPr>
        <w:ind w:left="720" w:hanging="360"/>
      </w:pPr>
      <w:rPr>
        <w:rFonts w:ascii="Symbol" w:hAnsi="Symbol" w:hint="default"/>
      </w:rPr>
    </w:lvl>
    <w:lvl w:ilvl="1" w:tplc="EB0234B2">
      <w:start w:val="1"/>
      <w:numFmt w:val="bullet"/>
      <w:lvlText w:val="o"/>
      <w:lvlJc w:val="left"/>
      <w:pPr>
        <w:ind w:left="1440" w:hanging="360"/>
      </w:pPr>
      <w:rPr>
        <w:rFonts w:ascii="Courier New" w:hAnsi="Courier New" w:hint="default"/>
      </w:rPr>
    </w:lvl>
    <w:lvl w:ilvl="2" w:tplc="13726C80">
      <w:start w:val="1"/>
      <w:numFmt w:val="bullet"/>
      <w:lvlText w:val=""/>
      <w:lvlJc w:val="left"/>
      <w:pPr>
        <w:ind w:left="2160" w:hanging="360"/>
      </w:pPr>
      <w:rPr>
        <w:rFonts w:ascii="Wingdings" w:hAnsi="Wingdings" w:hint="default"/>
      </w:rPr>
    </w:lvl>
    <w:lvl w:ilvl="3" w:tplc="D390F7FA">
      <w:start w:val="1"/>
      <w:numFmt w:val="bullet"/>
      <w:lvlText w:val=""/>
      <w:lvlJc w:val="left"/>
      <w:pPr>
        <w:ind w:left="2880" w:hanging="360"/>
      </w:pPr>
      <w:rPr>
        <w:rFonts w:ascii="Symbol" w:hAnsi="Symbol" w:hint="default"/>
      </w:rPr>
    </w:lvl>
    <w:lvl w:ilvl="4" w:tplc="E7E610C2">
      <w:start w:val="1"/>
      <w:numFmt w:val="bullet"/>
      <w:lvlText w:val="o"/>
      <w:lvlJc w:val="left"/>
      <w:pPr>
        <w:ind w:left="3600" w:hanging="360"/>
      </w:pPr>
      <w:rPr>
        <w:rFonts w:ascii="Courier New" w:hAnsi="Courier New" w:hint="default"/>
      </w:rPr>
    </w:lvl>
    <w:lvl w:ilvl="5" w:tplc="5C405556">
      <w:start w:val="1"/>
      <w:numFmt w:val="bullet"/>
      <w:lvlText w:val=""/>
      <w:lvlJc w:val="left"/>
      <w:pPr>
        <w:ind w:left="4320" w:hanging="360"/>
      </w:pPr>
      <w:rPr>
        <w:rFonts w:ascii="Wingdings" w:hAnsi="Wingdings" w:hint="default"/>
      </w:rPr>
    </w:lvl>
    <w:lvl w:ilvl="6" w:tplc="404C0B80">
      <w:start w:val="1"/>
      <w:numFmt w:val="bullet"/>
      <w:lvlText w:val=""/>
      <w:lvlJc w:val="left"/>
      <w:pPr>
        <w:ind w:left="5040" w:hanging="360"/>
      </w:pPr>
      <w:rPr>
        <w:rFonts w:ascii="Symbol" w:hAnsi="Symbol" w:hint="default"/>
      </w:rPr>
    </w:lvl>
    <w:lvl w:ilvl="7" w:tplc="71765DF8">
      <w:start w:val="1"/>
      <w:numFmt w:val="bullet"/>
      <w:lvlText w:val="o"/>
      <w:lvlJc w:val="left"/>
      <w:pPr>
        <w:ind w:left="5760" w:hanging="360"/>
      </w:pPr>
      <w:rPr>
        <w:rFonts w:ascii="Courier New" w:hAnsi="Courier New" w:hint="default"/>
      </w:rPr>
    </w:lvl>
    <w:lvl w:ilvl="8" w:tplc="8A706524">
      <w:start w:val="1"/>
      <w:numFmt w:val="bullet"/>
      <w:lvlText w:val=""/>
      <w:lvlJc w:val="left"/>
      <w:pPr>
        <w:ind w:left="6480" w:hanging="360"/>
      </w:pPr>
      <w:rPr>
        <w:rFonts w:ascii="Wingdings" w:hAnsi="Wingdings" w:hint="default"/>
      </w:rPr>
    </w:lvl>
  </w:abstractNum>
  <w:abstractNum w:abstractNumId="8" w15:restartNumberingAfterBreak="0">
    <w:nsid w:val="6E446D78"/>
    <w:multiLevelType w:val="multilevel"/>
    <w:tmpl w:val="D1A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579325">
    <w:abstractNumId w:val="4"/>
  </w:num>
  <w:num w:numId="2" w16cid:durableId="929196804">
    <w:abstractNumId w:val="6"/>
  </w:num>
  <w:num w:numId="3" w16cid:durableId="1095978910">
    <w:abstractNumId w:val="7"/>
  </w:num>
  <w:num w:numId="4" w16cid:durableId="314995629">
    <w:abstractNumId w:val="5"/>
  </w:num>
  <w:num w:numId="5" w16cid:durableId="1477453509">
    <w:abstractNumId w:val="0"/>
  </w:num>
  <w:num w:numId="6" w16cid:durableId="1812597103">
    <w:abstractNumId w:val="1"/>
  </w:num>
  <w:num w:numId="7" w16cid:durableId="1602883108">
    <w:abstractNumId w:val="8"/>
  </w:num>
  <w:num w:numId="8" w16cid:durableId="2089695707">
    <w:abstractNumId w:val="2"/>
  </w:num>
  <w:num w:numId="9" w16cid:durableId="86752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zsjC2MDE2NDO0NDBW0lEKTi0uzszPAykwrAUA/wHEsiwAAAA="/>
  </w:docVars>
  <w:rsids>
    <w:rsidRoot w:val="007F6FAE"/>
    <w:rsid w:val="9D4A9FAB"/>
    <w:rsid w:val="B7F9161C"/>
    <w:rsid w:val="BFFEE78C"/>
    <w:rsid w:val="DBE833FB"/>
    <w:rsid w:val="FD5F9A28"/>
    <w:rsid w:val="FF8747C0"/>
    <w:rsid w:val="FFDE938C"/>
    <w:rsid w:val="0000293E"/>
    <w:rsid w:val="000066F2"/>
    <w:rsid w:val="0001567A"/>
    <w:rsid w:val="000163BB"/>
    <w:rsid w:val="0002072A"/>
    <w:rsid w:val="00023BD2"/>
    <w:rsid w:val="00024CB2"/>
    <w:rsid w:val="000301FD"/>
    <w:rsid w:val="000348ED"/>
    <w:rsid w:val="00035DA8"/>
    <w:rsid w:val="00043E57"/>
    <w:rsid w:val="000469E1"/>
    <w:rsid w:val="0006554C"/>
    <w:rsid w:val="000773B4"/>
    <w:rsid w:val="00077B69"/>
    <w:rsid w:val="00080DDB"/>
    <w:rsid w:val="0008388C"/>
    <w:rsid w:val="00093A3D"/>
    <w:rsid w:val="00096B45"/>
    <w:rsid w:val="000A005A"/>
    <w:rsid w:val="000B432C"/>
    <w:rsid w:val="000B5D3C"/>
    <w:rsid w:val="000D26FB"/>
    <w:rsid w:val="000D6160"/>
    <w:rsid w:val="000D6CF2"/>
    <w:rsid w:val="000E3269"/>
    <w:rsid w:val="000E5F20"/>
    <w:rsid w:val="000F1A1C"/>
    <w:rsid w:val="000F63A3"/>
    <w:rsid w:val="000F6A0C"/>
    <w:rsid w:val="00106CCA"/>
    <w:rsid w:val="00107FB1"/>
    <w:rsid w:val="00125801"/>
    <w:rsid w:val="001303A8"/>
    <w:rsid w:val="00140CB8"/>
    <w:rsid w:val="00146AAF"/>
    <w:rsid w:val="00146F72"/>
    <w:rsid w:val="00150D1D"/>
    <w:rsid w:val="00151916"/>
    <w:rsid w:val="001546EF"/>
    <w:rsid w:val="00154B67"/>
    <w:rsid w:val="0015590A"/>
    <w:rsid w:val="001561C7"/>
    <w:rsid w:val="00157ADA"/>
    <w:rsid w:val="00160923"/>
    <w:rsid w:val="00167BE2"/>
    <w:rsid w:val="00174175"/>
    <w:rsid w:val="00183489"/>
    <w:rsid w:val="00183F95"/>
    <w:rsid w:val="00194DE1"/>
    <w:rsid w:val="00194FCD"/>
    <w:rsid w:val="001954EC"/>
    <w:rsid w:val="0019688B"/>
    <w:rsid w:val="001978C8"/>
    <w:rsid w:val="001B10DA"/>
    <w:rsid w:val="001B6156"/>
    <w:rsid w:val="001C490C"/>
    <w:rsid w:val="001D48AE"/>
    <w:rsid w:val="001D5068"/>
    <w:rsid w:val="001D537F"/>
    <w:rsid w:val="001E2528"/>
    <w:rsid w:val="001E2CFA"/>
    <w:rsid w:val="001E4B1E"/>
    <w:rsid w:val="001F5B52"/>
    <w:rsid w:val="001F6A58"/>
    <w:rsid w:val="0020764E"/>
    <w:rsid w:val="00221690"/>
    <w:rsid w:val="002337E5"/>
    <w:rsid w:val="0023724A"/>
    <w:rsid w:val="00237A87"/>
    <w:rsid w:val="00266111"/>
    <w:rsid w:val="00273985"/>
    <w:rsid w:val="00274843"/>
    <w:rsid w:val="00275B58"/>
    <w:rsid w:val="00276FF5"/>
    <w:rsid w:val="00280B4A"/>
    <w:rsid w:val="00283013"/>
    <w:rsid w:val="00284FCE"/>
    <w:rsid w:val="00287BC4"/>
    <w:rsid w:val="00291FD7"/>
    <w:rsid w:val="00292577"/>
    <w:rsid w:val="002A5EE6"/>
    <w:rsid w:val="002A63ED"/>
    <w:rsid w:val="002A7CD1"/>
    <w:rsid w:val="002B00BB"/>
    <w:rsid w:val="002B1E24"/>
    <w:rsid w:val="002C25B7"/>
    <w:rsid w:val="002C7CE6"/>
    <w:rsid w:val="002D02B7"/>
    <w:rsid w:val="002E2AD9"/>
    <w:rsid w:val="002E72D7"/>
    <w:rsid w:val="002F31EE"/>
    <w:rsid w:val="002F3948"/>
    <w:rsid w:val="002F5946"/>
    <w:rsid w:val="0030243B"/>
    <w:rsid w:val="003033B9"/>
    <w:rsid w:val="00307C06"/>
    <w:rsid w:val="003105ED"/>
    <w:rsid w:val="00315EFC"/>
    <w:rsid w:val="00320955"/>
    <w:rsid w:val="003219B6"/>
    <w:rsid w:val="00323FBE"/>
    <w:rsid w:val="00331403"/>
    <w:rsid w:val="00331EF6"/>
    <w:rsid w:val="00336758"/>
    <w:rsid w:val="00344A31"/>
    <w:rsid w:val="00371674"/>
    <w:rsid w:val="003732A8"/>
    <w:rsid w:val="00380918"/>
    <w:rsid w:val="0038684D"/>
    <w:rsid w:val="00390D97"/>
    <w:rsid w:val="00393525"/>
    <w:rsid w:val="003942BE"/>
    <w:rsid w:val="003A283B"/>
    <w:rsid w:val="003A3022"/>
    <w:rsid w:val="003A3639"/>
    <w:rsid w:val="003A3C8D"/>
    <w:rsid w:val="003A6EB7"/>
    <w:rsid w:val="003C3264"/>
    <w:rsid w:val="003C4883"/>
    <w:rsid w:val="003D213C"/>
    <w:rsid w:val="003D43D0"/>
    <w:rsid w:val="003D72A7"/>
    <w:rsid w:val="003D76CD"/>
    <w:rsid w:val="003E2973"/>
    <w:rsid w:val="003E32EC"/>
    <w:rsid w:val="00401553"/>
    <w:rsid w:val="00401B77"/>
    <w:rsid w:val="00405108"/>
    <w:rsid w:val="004055F5"/>
    <w:rsid w:val="00406786"/>
    <w:rsid w:val="00420358"/>
    <w:rsid w:val="004306B2"/>
    <w:rsid w:val="0043200E"/>
    <w:rsid w:val="004331FB"/>
    <w:rsid w:val="00436287"/>
    <w:rsid w:val="004364B9"/>
    <w:rsid w:val="004374C8"/>
    <w:rsid w:val="00437762"/>
    <w:rsid w:val="00437E7A"/>
    <w:rsid w:val="00441BA4"/>
    <w:rsid w:val="00443ADE"/>
    <w:rsid w:val="00444BA8"/>
    <w:rsid w:val="00446562"/>
    <w:rsid w:val="00454AE6"/>
    <w:rsid w:val="0046031B"/>
    <w:rsid w:val="00460D21"/>
    <w:rsid w:val="00464768"/>
    <w:rsid w:val="004649AD"/>
    <w:rsid w:val="00465766"/>
    <w:rsid w:val="004715E8"/>
    <w:rsid w:val="00472214"/>
    <w:rsid w:val="004773F9"/>
    <w:rsid w:val="004818CA"/>
    <w:rsid w:val="004840A5"/>
    <w:rsid w:val="00491581"/>
    <w:rsid w:val="0049200F"/>
    <w:rsid w:val="00497CAC"/>
    <w:rsid w:val="00497DB5"/>
    <w:rsid w:val="004A2211"/>
    <w:rsid w:val="004B1850"/>
    <w:rsid w:val="004B39FD"/>
    <w:rsid w:val="004C4972"/>
    <w:rsid w:val="004C6884"/>
    <w:rsid w:val="004D1F10"/>
    <w:rsid w:val="004E1FBE"/>
    <w:rsid w:val="004E4FC8"/>
    <w:rsid w:val="004F4DB7"/>
    <w:rsid w:val="004F6ECA"/>
    <w:rsid w:val="005101F9"/>
    <w:rsid w:val="00521B38"/>
    <w:rsid w:val="005302A7"/>
    <w:rsid w:val="00532A18"/>
    <w:rsid w:val="00544CCF"/>
    <w:rsid w:val="0055173B"/>
    <w:rsid w:val="00565A00"/>
    <w:rsid w:val="0056707D"/>
    <w:rsid w:val="00572041"/>
    <w:rsid w:val="005725B2"/>
    <w:rsid w:val="00574ECB"/>
    <w:rsid w:val="00577E16"/>
    <w:rsid w:val="00584294"/>
    <w:rsid w:val="005872C5"/>
    <w:rsid w:val="005912F3"/>
    <w:rsid w:val="00592068"/>
    <w:rsid w:val="00596F9F"/>
    <w:rsid w:val="005A0C70"/>
    <w:rsid w:val="005A6F0A"/>
    <w:rsid w:val="005B3E6C"/>
    <w:rsid w:val="005B44EC"/>
    <w:rsid w:val="005B53C4"/>
    <w:rsid w:val="005C235B"/>
    <w:rsid w:val="005D20CE"/>
    <w:rsid w:val="005D3AB2"/>
    <w:rsid w:val="005E3C5F"/>
    <w:rsid w:val="005E5144"/>
    <w:rsid w:val="005F30AE"/>
    <w:rsid w:val="005F3D9E"/>
    <w:rsid w:val="005F3DF3"/>
    <w:rsid w:val="005F6504"/>
    <w:rsid w:val="005F7872"/>
    <w:rsid w:val="006125D5"/>
    <w:rsid w:val="006132DF"/>
    <w:rsid w:val="006155D4"/>
    <w:rsid w:val="006179A5"/>
    <w:rsid w:val="00625130"/>
    <w:rsid w:val="00633BBA"/>
    <w:rsid w:val="00645D11"/>
    <w:rsid w:val="00652389"/>
    <w:rsid w:val="00660032"/>
    <w:rsid w:val="00665BF5"/>
    <w:rsid w:val="00666136"/>
    <w:rsid w:val="006748AC"/>
    <w:rsid w:val="00680DA8"/>
    <w:rsid w:val="00686993"/>
    <w:rsid w:val="00691D9F"/>
    <w:rsid w:val="00694A58"/>
    <w:rsid w:val="00697C56"/>
    <w:rsid w:val="006A19DE"/>
    <w:rsid w:val="006A5B7B"/>
    <w:rsid w:val="006A6353"/>
    <w:rsid w:val="006B2B12"/>
    <w:rsid w:val="006B3749"/>
    <w:rsid w:val="006B586F"/>
    <w:rsid w:val="006B6F69"/>
    <w:rsid w:val="006C3DA2"/>
    <w:rsid w:val="006C4813"/>
    <w:rsid w:val="006C76DD"/>
    <w:rsid w:val="006D0265"/>
    <w:rsid w:val="006D6888"/>
    <w:rsid w:val="006E37CE"/>
    <w:rsid w:val="006F4C0E"/>
    <w:rsid w:val="007034A9"/>
    <w:rsid w:val="00705B0C"/>
    <w:rsid w:val="00712D59"/>
    <w:rsid w:val="00714EF1"/>
    <w:rsid w:val="00717F93"/>
    <w:rsid w:val="0073007B"/>
    <w:rsid w:val="00751998"/>
    <w:rsid w:val="007522D1"/>
    <w:rsid w:val="00753179"/>
    <w:rsid w:val="00757A8C"/>
    <w:rsid w:val="00757DDD"/>
    <w:rsid w:val="007623D0"/>
    <w:rsid w:val="0076416E"/>
    <w:rsid w:val="00765403"/>
    <w:rsid w:val="0076541E"/>
    <w:rsid w:val="00765AA7"/>
    <w:rsid w:val="007729F0"/>
    <w:rsid w:val="007731D3"/>
    <w:rsid w:val="0077379C"/>
    <w:rsid w:val="007741EB"/>
    <w:rsid w:val="007743CA"/>
    <w:rsid w:val="00795ABF"/>
    <w:rsid w:val="00795BBA"/>
    <w:rsid w:val="0079751E"/>
    <w:rsid w:val="007B448E"/>
    <w:rsid w:val="007B6E01"/>
    <w:rsid w:val="007C37A6"/>
    <w:rsid w:val="007E13B3"/>
    <w:rsid w:val="007F6FAE"/>
    <w:rsid w:val="008013B1"/>
    <w:rsid w:val="008037DD"/>
    <w:rsid w:val="00806A9E"/>
    <w:rsid w:val="00822FA4"/>
    <w:rsid w:val="008305D3"/>
    <w:rsid w:val="008306A1"/>
    <w:rsid w:val="008338F5"/>
    <w:rsid w:val="00837F9E"/>
    <w:rsid w:val="00842CA5"/>
    <w:rsid w:val="008477D3"/>
    <w:rsid w:val="00850204"/>
    <w:rsid w:val="0085485D"/>
    <w:rsid w:val="00855573"/>
    <w:rsid w:val="00857D36"/>
    <w:rsid w:val="0086397D"/>
    <w:rsid w:val="008721D4"/>
    <w:rsid w:val="00883375"/>
    <w:rsid w:val="008903BD"/>
    <w:rsid w:val="00892A14"/>
    <w:rsid w:val="00893BEC"/>
    <w:rsid w:val="00897291"/>
    <w:rsid w:val="008A2D7F"/>
    <w:rsid w:val="008A532E"/>
    <w:rsid w:val="008B657F"/>
    <w:rsid w:val="008B731B"/>
    <w:rsid w:val="008C0362"/>
    <w:rsid w:val="008C5E8C"/>
    <w:rsid w:val="008D1424"/>
    <w:rsid w:val="008D2126"/>
    <w:rsid w:val="008E0BA8"/>
    <w:rsid w:val="008E13E4"/>
    <w:rsid w:val="008E281E"/>
    <w:rsid w:val="008F1766"/>
    <w:rsid w:val="008F3200"/>
    <w:rsid w:val="008F4111"/>
    <w:rsid w:val="008F5391"/>
    <w:rsid w:val="008F5B67"/>
    <w:rsid w:val="008F7219"/>
    <w:rsid w:val="008F75A8"/>
    <w:rsid w:val="008F7EBA"/>
    <w:rsid w:val="00906652"/>
    <w:rsid w:val="0091054A"/>
    <w:rsid w:val="00916A2A"/>
    <w:rsid w:val="00917AB0"/>
    <w:rsid w:val="00923ED3"/>
    <w:rsid w:val="00930546"/>
    <w:rsid w:val="009313F6"/>
    <w:rsid w:val="00937089"/>
    <w:rsid w:val="009373EC"/>
    <w:rsid w:val="00951717"/>
    <w:rsid w:val="009523CC"/>
    <w:rsid w:val="00955C91"/>
    <w:rsid w:val="00960F63"/>
    <w:rsid w:val="00964E20"/>
    <w:rsid w:val="009670BF"/>
    <w:rsid w:val="009709E4"/>
    <w:rsid w:val="0097427C"/>
    <w:rsid w:val="0097725E"/>
    <w:rsid w:val="00977A58"/>
    <w:rsid w:val="00980799"/>
    <w:rsid w:val="00982F50"/>
    <w:rsid w:val="0099008D"/>
    <w:rsid w:val="0099786B"/>
    <w:rsid w:val="009A1121"/>
    <w:rsid w:val="009C488A"/>
    <w:rsid w:val="009D3340"/>
    <w:rsid w:val="009D4035"/>
    <w:rsid w:val="009D5C29"/>
    <w:rsid w:val="009E3013"/>
    <w:rsid w:val="009E63D9"/>
    <w:rsid w:val="009E64D7"/>
    <w:rsid w:val="00A00266"/>
    <w:rsid w:val="00A214C7"/>
    <w:rsid w:val="00A22B54"/>
    <w:rsid w:val="00A22B99"/>
    <w:rsid w:val="00A36E74"/>
    <w:rsid w:val="00A44F79"/>
    <w:rsid w:val="00A5302A"/>
    <w:rsid w:val="00A60E07"/>
    <w:rsid w:val="00A657C6"/>
    <w:rsid w:val="00A7574A"/>
    <w:rsid w:val="00A9073C"/>
    <w:rsid w:val="00A92EF2"/>
    <w:rsid w:val="00A93D10"/>
    <w:rsid w:val="00A94960"/>
    <w:rsid w:val="00A970E9"/>
    <w:rsid w:val="00AA0AA0"/>
    <w:rsid w:val="00AA2B3E"/>
    <w:rsid w:val="00AB2275"/>
    <w:rsid w:val="00AB5E7E"/>
    <w:rsid w:val="00AC06BF"/>
    <w:rsid w:val="00AC196B"/>
    <w:rsid w:val="00AC3B3F"/>
    <w:rsid w:val="00AD0CE5"/>
    <w:rsid w:val="00AD51D9"/>
    <w:rsid w:val="00B001C1"/>
    <w:rsid w:val="00B0346F"/>
    <w:rsid w:val="00B03DF8"/>
    <w:rsid w:val="00B06733"/>
    <w:rsid w:val="00B06CE5"/>
    <w:rsid w:val="00B13604"/>
    <w:rsid w:val="00B16863"/>
    <w:rsid w:val="00B2032B"/>
    <w:rsid w:val="00B241A8"/>
    <w:rsid w:val="00B364E5"/>
    <w:rsid w:val="00B42086"/>
    <w:rsid w:val="00B473B6"/>
    <w:rsid w:val="00B50392"/>
    <w:rsid w:val="00B5087A"/>
    <w:rsid w:val="00B511DF"/>
    <w:rsid w:val="00B5535D"/>
    <w:rsid w:val="00B56C6C"/>
    <w:rsid w:val="00B5737F"/>
    <w:rsid w:val="00B60EAB"/>
    <w:rsid w:val="00B6283A"/>
    <w:rsid w:val="00B65B87"/>
    <w:rsid w:val="00B814B9"/>
    <w:rsid w:val="00B85C06"/>
    <w:rsid w:val="00B86969"/>
    <w:rsid w:val="00B9733A"/>
    <w:rsid w:val="00BB2245"/>
    <w:rsid w:val="00BB2611"/>
    <w:rsid w:val="00BC218C"/>
    <w:rsid w:val="00BC2334"/>
    <w:rsid w:val="00BC385C"/>
    <w:rsid w:val="00BD2CEB"/>
    <w:rsid w:val="00BE3B6C"/>
    <w:rsid w:val="00BF0D03"/>
    <w:rsid w:val="00BF2CF5"/>
    <w:rsid w:val="00BF4CD8"/>
    <w:rsid w:val="00BF4DD2"/>
    <w:rsid w:val="00BF634A"/>
    <w:rsid w:val="00C01B0E"/>
    <w:rsid w:val="00C03F94"/>
    <w:rsid w:val="00C051E3"/>
    <w:rsid w:val="00C12344"/>
    <w:rsid w:val="00C21AA7"/>
    <w:rsid w:val="00C22151"/>
    <w:rsid w:val="00C322CE"/>
    <w:rsid w:val="00C43E35"/>
    <w:rsid w:val="00C525A6"/>
    <w:rsid w:val="00C541AE"/>
    <w:rsid w:val="00C547BA"/>
    <w:rsid w:val="00C64DED"/>
    <w:rsid w:val="00C67AA4"/>
    <w:rsid w:val="00C709E4"/>
    <w:rsid w:val="00C77DFE"/>
    <w:rsid w:val="00C95F43"/>
    <w:rsid w:val="00C96967"/>
    <w:rsid w:val="00CA2A89"/>
    <w:rsid w:val="00CA497E"/>
    <w:rsid w:val="00CA5A78"/>
    <w:rsid w:val="00CA787D"/>
    <w:rsid w:val="00CB235E"/>
    <w:rsid w:val="00CB5A22"/>
    <w:rsid w:val="00CC12D2"/>
    <w:rsid w:val="00CC1FCE"/>
    <w:rsid w:val="00CD5698"/>
    <w:rsid w:val="00CD6779"/>
    <w:rsid w:val="00CE5F40"/>
    <w:rsid w:val="00CF5487"/>
    <w:rsid w:val="00CF6348"/>
    <w:rsid w:val="00D03B3B"/>
    <w:rsid w:val="00D100AC"/>
    <w:rsid w:val="00D11A72"/>
    <w:rsid w:val="00D17709"/>
    <w:rsid w:val="00D20815"/>
    <w:rsid w:val="00D20EF5"/>
    <w:rsid w:val="00D26DB9"/>
    <w:rsid w:val="00D30823"/>
    <w:rsid w:val="00D31E21"/>
    <w:rsid w:val="00D36300"/>
    <w:rsid w:val="00D37E32"/>
    <w:rsid w:val="00D40AEF"/>
    <w:rsid w:val="00D47442"/>
    <w:rsid w:val="00D52677"/>
    <w:rsid w:val="00D6400F"/>
    <w:rsid w:val="00D73DE4"/>
    <w:rsid w:val="00D807E9"/>
    <w:rsid w:val="00D82142"/>
    <w:rsid w:val="00D8397E"/>
    <w:rsid w:val="00D92A30"/>
    <w:rsid w:val="00D9496F"/>
    <w:rsid w:val="00DB1956"/>
    <w:rsid w:val="00DB4D91"/>
    <w:rsid w:val="00DC0121"/>
    <w:rsid w:val="00DC2872"/>
    <w:rsid w:val="00DC335F"/>
    <w:rsid w:val="00DC6467"/>
    <w:rsid w:val="00DD1826"/>
    <w:rsid w:val="00DD5527"/>
    <w:rsid w:val="00DD6510"/>
    <w:rsid w:val="00DE19B8"/>
    <w:rsid w:val="00DE4717"/>
    <w:rsid w:val="00DF57BD"/>
    <w:rsid w:val="00E02876"/>
    <w:rsid w:val="00E1363E"/>
    <w:rsid w:val="00E15E8D"/>
    <w:rsid w:val="00E17C9D"/>
    <w:rsid w:val="00E22E7B"/>
    <w:rsid w:val="00E23B16"/>
    <w:rsid w:val="00E257B3"/>
    <w:rsid w:val="00E31588"/>
    <w:rsid w:val="00E35264"/>
    <w:rsid w:val="00E3530F"/>
    <w:rsid w:val="00E46CF1"/>
    <w:rsid w:val="00E46F17"/>
    <w:rsid w:val="00E47A88"/>
    <w:rsid w:val="00E5068E"/>
    <w:rsid w:val="00E6671A"/>
    <w:rsid w:val="00E733C4"/>
    <w:rsid w:val="00E86D6C"/>
    <w:rsid w:val="00E87663"/>
    <w:rsid w:val="00E93058"/>
    <w:rsid w:val="00E97800"/>
    <w:rsid w:val="00EB7FE2"/>
    <w:rsid w:val="00EE668F"/>
    <w:rsid w:val="00EF3945"/>
    <w:rsid w:val="00EF61C6"/>
    <w:rsid w:val="00F03ABD"/>
    <w:rsid w:val="00F114FA"/>
    <w:rsid w:val="00F219DD"/>
    <w:rsid w:val="00F27512"/>
    <w:rsid w:val="00F32B7A"/>
    <w:rsid w:val="00F35C44"/>
    <w:rsid w:val="00F45FF3"/>
    <w:rsid w:val="00F54F16"/>
    <w:rsid w:val="00F66663"/>
    <w:rsid w:val="00F6787E"/>
    <w:rsid w:val="00F735C3"/>
    <w:rsid w:val="00F75248"/>
    <w:rsid w:val="00F77B32"/>
    <w:rsid w:val="00F77B33"/>
    <w:rsid w:val="00F940D1"/>
    <w:rsid w:val="00FA2C90"/>
    <w:rsid w:val="00FA6F6B"/>
    <w:rsid w:val="00FB24D7"/>
    <w:rsid w:val="00FC2796"/>
    <w:rsid w:val="00FC358B"/>
    <w:rsid w:val="00FC7CC9"/>
    <w:rsid w:val="00FD5480"/>
    <w:rsid w:val="00FD65B3"/>
    <w:rsid w:val="00FE6782"/>
    <w:rsid w:val="00FE6B6E"/>
    <w:rsid w:val="00FF7DB9"/>
    <w:rsid w:val="010E8A0A"/>
    <w:rsid w:val="03D99651"/>
    <w:rsid w:val="0496BC67"/>
    <w:rsid w:val="0670A9B5"/>
    <w:rsid w:val="071D463B"/>
    <w:rsid w:val="0764AFC3"/>
    <w:rsid w:val="082395ED"/>
    <w:rsid w:val="121278D5"/>
    <w:rsid w:val="1301A148"/>
    <w:rsid w:val="130E71D4"/>
    <w:rsid w:val="14FC7F3A"/>
    <w:rsid w:val="1A040B4E"/>
    <w:rsid w:val="1AD7730F"/>
    <w:rsid w:val="1D3F0FF6"/>
    <w:rsid w:val="1E85C43F"/>
    <w:rsid w:val="1F5A0778"/>
    <w:rsid w:val="1F8940F4"/>
    <w:rsid w:val="231873F6"/>
    <w:rsid w:val="285882C8"/>
    <w:rsid w:val="287478C4"/>
    <w:rsid w:val="2888C22A"/>
    <w:rsid w:val="28AEB322"/>
    <w:rsid w:val="292591D4"/>
    <w:rsid w:val="299202C3"/>
    <w:rsid w:val="2A465E9B"/>
    <w:rsid w:val="2B7C4A2C"/>
    <w:rsid w:val="2BDC0C73"/>
    <w:rsid w:val="2C39EA84"/>
    <w:rsid w:val="2CD72CEA"/>
    <w:rsid w:val="2E5104B8"/>
    <w:rsid w:val="2FCEF440"/>
    <w:rsid w:val="33D70348"/>
    <w:rsid w:val="36FE2844"/>
    <w:rsid w:val="384AB482"/>
    <w:rsid w:val="3A309070"/>
    <w:rsid w:val="3CCDB8AE"/>
    <w:rsid w:val="3DDE0563"/>
    <w:rsid w:val="3E68750D"/>
    <w:rsid w:val="3EE010C7"/>
    <w:rsid w:val="41C673B1"/>
    <w:rsid w:val="4217D0F0"/>
    <w:rsid w:val="43510DAA"/>
    <w:rsid w:val="44B1FB06"/>
    <w:rsid w:val="466EC0E1"/>
    <w:rsid w:val="4A3AB8D7"/>
    <w:rsid w:val="4B44B9F1"/>
    <w:rsid w:val="4C29E9D6"/>
    <w:rsid w:val="4E53A11B"/>
    <w:rsid w:val="4F83BE28"/>
    <w:rsid w:val="4FA3E4E4"/>
    <w:rsid w:val="50978F4D"/>
    <w:rsid w:val="5283FC71"/>
    <w:rsid w:val="528F6CE6"/>
    <w:rsid w:val="529CE946"/>
    <w:rsid w:val="568A076D"/>
    <w:rsid w:val="5B70337A"/>
    <w:rsid w:val="5BF2BAF3"/>
    <w:rsid w:val="5CBCEA69"/>
    <w:rsid w:val="5E6D3962"/>
    <w:rsid w:val="60204B25"/>
    <w:rsid w:val="60B8127F"/>
    <w:rsid w:val="62197ED7"/>
    <w:rsid w:val="627886CE"/>
    <w:rsid w:val="6474E8F9"/>
    <w:rsid w:val="65068F8B"/>
    <w:rsid w:val="656D9A73"/>
    <w:rsid w:val="6771BA00"/>
    <w:rsid w:val="68E212A9"/>
    <w:rsid w:val="6AB4B86E"/>
    <w:rsid w:val="6B95DD14"/>
    <w:rsid w:val="6C3FE760"/>
    <w:rsid w:val="6F76C421"/>
    <w:rsid w:val="6FAD05BE"/>
    <w:rsid w:val="70415331"/>
    <w:rsid w:val="7204FDD5"/>
    <w:rsid w:val="739038DC"/>
    <w:rsid w:val="74BF3767"/>
    <w:rsid w:val="758609A5"/>
    <w:rsid w:val="77848070"/>
    <w:rsid w:val="785461BE"/>
    <w:rsid w:val="786EDF93"/>
    <w:rsid w:val="7F7187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B0871"/>
  <w15:docId w15:val="{8E73715E-E8A3-49C9-BD16-11599303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Times New Roman"/>
      <w:kern w:val="2"/>
      <w:sz w:val="21"/>
      <w:szCs w:val="21"/>
    </w:rPr>
  </w:style>
  <w:style w:type="paragraph" w:styleId="Heading1">
    <w:name w:val="heading 1"/>
    <w:basedOn w:val="Normal"/>
    <w:next w:val="Normal"/>
    <w:link w:val="Heading1Char"/>
    <w:uiPriority w:val="9"/>
    <w:qFormat/>
    <w:pPr>
      <w:keepNext/>
      <w:keepLines/>
      <w:spacing w:before="340" w:after="330" w:line="578" w:lineRule="auto"/>
      <w:jc w:val="center"/>
      <w:outlineLvl w:val="0"/>
    </w:pPr>
    <w:rPr>
      <w:b/>
      <w:bCs/>
      <w:kern w:val="44"/>
      <w:sz w:val="32"/>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eastAsiaTheme="minorEastAsia"/>
      <w:b/>
      <w:bCs/>
      <w:sz w:val="28"/>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Cs w:val="32"/>
    </w:rPr>
  </w:style>
  <w:style w:type="paragraph" w:styleId="Heading4">
    <w:name w:val="heading 4"/>
    <w:basedOn w:val="Normal"/>
    <w:next w:val="Normal"/>
    <w:link w:val="Heading4Char"/>
    <w:uiPriority w:val="9"/>
    <w:semiHidden/>
    <w:unhideWhenUsed/>
    <w:qFormat/>
    <w:rsid w:val="003A28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spacing w:beforeAutospacing="1" w:afterAutospacing="1"/>
      <w:jc w:val="left"/>
    </w:pPr>
    <w:rPr>
      <w:kern w:val="0"/>
      <w:sz w:val="24"/>
    </w:rPr>
  </w:style>
  <w:style w:type="character" w:customStyle="1" w:styleId="Heading1Char">
    <w:name w:val="Heading 1 Char"/>
    <w:basedOn w:val="DefaultParagraphFont"/>
    <w:link w:val="Heading1"/>
    <w:uiPriority w:val="9"/>
    <w:rPr>
      <w:rFonts w:eastAsia="Times New Roman"/>
      <w:b/>
      <w:bCs/>
      <w:kern w:val="44"/>
      <w:sz w:val="32"/>
      <w:szCs w:val="44"/>
    </w:rPr>
  </w:style>
  <w:style w:type="character" w:customStyle="1" w:styleId="Heading2Char">
    <w:name w:val="Heading 2 Char"/>
    <w:basedOn w:val="DefaultParagraphFont"/>
    <w:link w:val="Heading2"/>
    <w:uiPriority w:val="9"/>
    <w:rPr>
      <w:rFonts w:ascii="Times New Roman" w:hAnsi="Times New Roman" w:cs="Times New Roman"/>
      <w:b/>
      <w:bCs/>
      <w:sz w:val="28"/>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b/>
      <w:bCs/>
      <w:szCs w:val="32"/>
    </w:rPr>
  </w:style>
  <w:style w:type="character" w:customStyle="1" w:styleId="HeaderChar">
    <w:name w:val="Header Char"/>
    <w:basedOn w:val="DefaultParagraphFont"/>
    <w:link w:val="Header"/>
    <w:uiPriority w:val="99"/>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rPr>
      <w:rFonts w:ascii="Times New Roman" w:eastAsia="Times New Roman" w:hAnsi="Times New Roman" w:cs="Times New Roman"/>
      <w:sz w:val="18"/>
      <w:szCs w:val="18"/>
    </w:rPr>
  </w:style>
  <w:style w:type="character" w:styleId="PlaceholderText">
    <w:name w:val="Placeholder Text"/>
    <w:basedOn w:val="DefaultParagraphFont"/>
    <w:uiPriority w:val="99"/>
    <w:unhideWhenUsed/>
    <w:rsid w:val="0049200F"/>
    <w:rPr>
      <w:color w:val="666666"/>
    </w:rPr>
  </w:style>
  <w:style w:type="character" w:customStyle="1" w:styleId="Heading4Char">
    <w:name w:val="Heading 4 Char"/>
    <w:basedOn w:val="DefaultParagraphFont"/>
    <w:link w:val="Heading4"/>
    <w:uiPriority w:val="9"/>
    <w:semiHidden/>
    <w:rsid w:val="003A283B"/>
    <w:rPr>
      <w:rFonts w:asciiTheme="majorHAnsi" w:eastAsiaTheme="majorEastAsia" w:hAnsiTheme="majorHAnsi" w:cstheme="majorBidi"/>
      <w:i/>
      <w:iCs/>
      <w:color w:val="2F5496" w:themeColor="accent1" w:themeShade="BF"/>
      <w:kern w:val="2"/>
      <w:sz w:val="21"/>
      <w:szCs w:val="21"/>
    </w:rPr>
  </w:style>
  <w:style w:type="paragraph" w:styleId="ListParagraph">
    <w:name w:val="List Paragraph"/>
    <w:basedOn w:val="Normal"/>
    <w:uiPriority w:val="34"/>
    <w:qFormat/>
    <w:pPr>
      <w:ind w:firstLineChars="200" w:firstLine="4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660032"/>
    <w:rPr>
      <w:sz w:val="21"/>
      <w:szCs w:val="21"/>
    </w:rPr>
  </w:style>
  <w:style w:type="paragraph" w:styleId="CommentText">
    <w:name w:val="annotation text"/>
    <w:basedOn w:val="Normal"/>
    <w:link w:val="CommentTextChar"/>
    <w:uiPriority w:val="99"/>
    <w:unhideWhenUsed/>
    <w:rsid w:val="00660032"/>
    <w:pPr>
      <w:jc w:val="left"/>
    </w:pPr>
  </w:style>
  <w:style w:type="character" w:customStyle="1" w:styleId="CommentTextChar">
    <w:name w:val="Comment Text Char"/>
    <w:basedOn w:val="DefaultParagraphFont"/>
    <w:link w:val="CommentText"/>
    <w:uiPriority w:val="99"/>
    <w:rsid w:val="00660032"/>
    <w:rPr>
      <w:rFonts w:eastAsia="Times New Roman"/>
      <w:kern w:val="2"/>
      <w:sz w:val="21"/>
      <w:szCs w:val="21"/>
    </w:rPr>
  </w:style>
  <w:style w:type="paragraph" w:styleId="CommentSubject">
    <w:name w:val="annotation subject"/>
    <w:basedOn w:val="CommentText"/>
    <w:next w:val="CommentText"/>
    <w:link w:val="CommentSubjectChar"/>
    <w:uiPriority w:val="99"/>
    <w:semiHidden/>
    <w:unhideWhenUsed/>
    <w:rsid w:val="00660032"/>
    <w:rPr>
      <w:b/>
      <w:bCs/>
    </w:rPr>
  </w:style>
  <w:style w:type="character" w:customStyle="1" w:styleId="CommentSubjectChar">
    <w:name w:val="Comment Subject Char"/>
    <w:basedOn w:val="CommentTextChar"/>
    <w:link w:val="CommentSubject"/>
    <w:uiPriority w:val="99"/>
    <w:semiHidden/>
    <w:rsid w:val="00660032"/>
    <w:rPr>
      <w:rFonts w:eastAsia="Times New Roman"/>
      <w:b/>
      <w:bCs/>
      <w:kern w:val="2"/>
      <w:sz w:val="21"/>
      <w:szCs w:val="21"/>
    </w:rPr>
  </w:style>
  <w:style w:type="paragraph" w:styleId="Caption">
    <w:name w:val="caption"/>
    <w:basedOn w:val="Normal"/>
    <w:next w:val="Normal"/>
    <w:uiPriority w:val="35"/>
    <w:unhideWhenUsed/>
    <w:qFormat/>
    <w:rsid w:val="00574ECB"/>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90107">
      <w:bodyDiv w:val="1"/>
      <w:marLeft w:val="0"/>
      <w:marRight w:val="0"/>
      <w:marTop w:val="0"/>
      <w:marBottom w:val="0"/>
      <w:divBdr>
        <w:top w:val="none" w:sz="0" w:space="0" w:color="auto"/>
        <w:left w:val="none" w:sz="0" w:space="0" w:color="auto"/>
        <w:bottom w:val="none" w:sz="0" w:space="0" w:color="auto"/>
        <w:right w:val="none" w:sz="0" w:space="0" w:color="auto"/>
      </w:divBdr>
    </w:div>
    <w:div w:id="282469104">
      <w:bodyDiv w:val="1"/>
      <w:marLeft w:val="0"/>
      <w:marRight w:val="0"/>
      <w:marTop w:val="0"/>
      <w:marBottom w:val="0"/>
      <w:divBdr>
        <w:top w:val="none" w:sz="0" w:space="0" w:color="auto"/>
        <w:left w:val="none" w:sz="0" w:space="0" w:color="auto"/>
        <w:bottom w:val="none" w:sz="0" w:space="0" w:color="auto"/>
        <w:right w:val="none" w:sz="0" w:space="0" w:color="auto"/>
      </w:divBdr>
    </w:div>
    <w:div w:id="341863436">
      <w:bodyDiv w:val="1"/>
      <w:marLeft w:val="0"/>
      <w:marRight w:val="0"/>
      <w:marTop w:val="0"/>
      <w:marBottom w:val="0"/>
      <w:divBdr>
        <w:top w:val="none" w:sz="0" w:space="0" w:color="auto"/>
        <w:left w:val="none" w:sz="0" w:space="0" w:color="auto"/>
        <w:bottom w:val="none" w:sz="0" w:space="0" w:color="auto"/>
        <w:right w:val="none" w:sz="0" w:space="0" w:color="auto"/>
      </w:divBdr>
    </w:div>
    <w:div w:id="566888237">
      <w:bodyDiv w:val="1"/>
      <w:marLeft w:val="0"/>
      <w:marRight w:val="0"/>
      <w:marTop w:val="0"/>
      <w:marBottom w:val="0"/>
      <w:divBdr>
        <w:top w:val="none" w:sz="0" w:space="0" w:color="auto"/>
        <w:left w:val="none" w:sz="0" w:space="0" w:color="auto"/>
        <w:bottom w:val="none" w:sz="0" w:space="0" w:color="auto"/>
        <w:right w:val="none" w:sz="0" w:space="0" w:color="auto"/>
      </w:divBdr>
    </w:div>
    <w:div w:id="777718482">
      <w:bodyDiv w:val="1"/>
      <w:marLeft w:val="0"/>
      <w:marRight w:val="0"/>
      <w:marTop w:val="0"/>
      <w:marBottom w:val="0"/>
      <w:divBdr>
        <w:top w:val="none" w:sz="0" w:space="0" w:color="auto"/>
        <w:left w:val="none" w:sz="0" w:space="0" w:color="auto"/>
        <w:bottom w:val="none" w:sz="0" w:space="0" w:color="auto"/>
        <w:right w:val="none" w:sz="0" w:space="0" w:color="auto"/>
      </w:divBdr>
    </w:div>
    <w:div w:id="793211748">
      <w:bodyDiv w:val="1"/>
      <w:marLeft w:val="0"/>
      <w:marRight w:val="0"/>
      <w:marTop w:val="0"/>
      <w:marBottom w:val="0"/>
      <w:divBdr>
        <w:top w:val="none" w:sz="0" w:space="0" w:color="auto"/>
        <w:left w:val="none" w:sz="0" w:space="0" w:color="auto"/>
        <w:bottom w:val="none" w:sz="0" w:space="0" w:color="auto"/>
        <w:right w:val="none" w:sz="0" w:space="0" w:color="auto"/>
      </w:divBdr>
    </w:div>
    <w:div w:id="796949213">
      <w:bodyDiv w:val="1"/>
      <w:marLeft w:val="0"/>
      <w:marRight w:val="0"/>
      <w:marTop w:val="0"/>
      <w:marBottom w:val="0"/>
      <w:divBdr>
        <w:top w:val="none" w:sz="0" w:space="0" w:color="auto"/>
        <w:left w:val="none" w:sz="0" w:space="0" w:color="auto"/>
        <w:bottom w:val="none" w:sz="0" w:space="0" w:color="auto"/>
        <w:right w:val="none" w:sz="0" w:space="0" w:color="auto"/>
      </w:divBdr>
    </w:div>
    <w:div w:id="978536209">
      <w:bodyDiv w:val="1"/>
      <w:marLeft w:val="0"/>
      <w:marRight w:val="0"/>
      <w:marTop w:val="0"/>
      <w:marBottom w:val="0"/>
      <w:divBdr>
        <w:top w:val="none" w:sz="0" w:space="0" w:color="auto"/>
        <w:left w:val="none" w:sz="0" w:space="0" w:color="auto"/>
        <w:bottom w:val="none" w:sz="0" w:space="0" w:color="auto"/>
        <w:right w:val="none" w:sz="0" w:space="0" w:color="auto"/>
      </w:divBdr>
    </w:div>
    <w:div w:id="983313288">
      <w:bodyDiv w:val="1"/>
      <w:marLeft w:val="0"/>
      <w:marRight w:val="0"/>
      <w:marTop w:val="0"/>
      <w:marBottom w:val="0"/>
      <w:divBdr>
        <w:top w:val="none" w:sz="0" w:space="0" w:color="auto"/>
        <w:left w:val="none" w:sz="0" w:space="0" w:color="auto"/>
        <w:bottom w:val="none" w:sz="0" w:space="0" w:color="auto"/>
        <w:right w:val="none" w:sz="0" w:space="0" w:color="auto"/>
      </w:divBdr>
    </w:div>
    <w:div w:id="1047218300">
      <w:bodyDiv w:val="1"/>
      <w:marLeft w:val="0"/>
      <w:marRight w:val="0"/>
      <w:marTop w:val="0"/>
      <w:marBottom w:val="0"/>
      <w:divBdr>
        <w:top w:val="none" w:sz="0" w:space="0" w:color="auto"/>
        <w:left w:val="none" w:sz="0" w:space="0" w:color="auto"/>
        <w:bottom w:val="none" w:sz="0" w:space="0" w:color="auto"/>
        <w:right w:val="none" w:sz="0" w:space="0" w:color="auto"/>
      </w:divBdr>
    </w:div>
    <w:div w:id="1229731799">
      <w:bodyDiv w:val="1"/>
      <w:marLeft w:val="0"/>
      <w:marRight w:val="0"/>
      <w:marTop w:val="0"/>
      <w:marBottom w:val="0"/>
      <w:divBdr>
        <w:top w:val="none" w:sz="0" w:space="0" w:color="auto"/>
        <w:left w:val="none" w:sz="0" w:space="0" w:color="auto"/>
        <w:bottom w:val="none" w:sz="0" w:space="0" w:color="auto"/>
        <w:right w:val="none" w:sz="0" w:space="0" w:color="auto"/>
      </w:divBdr>
    </w:div>
    <w:div w:id="1394425030">
      <w:bodyDiv w:val="1"/>
      <w:marLeft w:val="0"/>
      <w:marRight w:val="0"/>
      <w:marTop w:val="0"/>
      <w:marBottom w:val="0"/>
      <w:divBdr>
        <w:top w:val="none" w:sz="0" w:space="0" w:color="auto"/>
        <w:left w:val="none" w:sz="0" w:space="0" w:color="auto"/>
        <w:bottom w:val="none" w:sz="0" w:space="0" w:color="auto"/>
        <w:right w:val="none" w:sz="0" w:space="0" w:color="auto"/>
      </w:divBdr>
    </w:div>
    <w:div w:id="1439451516">
      <w:bodyDiv w:val="1"/>
      <w:marLeft w:val="0"/>
      <w:marRight w:val="0"/>
      <w:marTop w:val="0"/>
      <w:marBottom w:val="0"/>
      <w:divBdr>
        <w:top w:val="none" w:sz="0" w:space="0" w:color="auto"/>
        <w:left w:val="none" w:sz="0" w:space="0" w:color="auto"/>
        <w:bottom w:val="none" w:sz="0" w:space="0" w:color="auto"/>
        <w:right w:val="none" w:sz="0" w:space="0" w:color="auto"/>
      </w:divBdr>
    </w:div>
    <w:div w:id="1482193532">
      <w:bodyDiv w:val="1"/>
      <w:marLeft w:val="0"/>
      <w:marRight w:val="0"/>
      <w:marTop w:val="0"/>
      <w:marBottom w:val="0"/>
      <w:divBdr>
        <w:top w:val="none" w:sz="0" w:space="0" w:color="auto"/>
        <w:left w:val="none" w:sz="0" w:space="0" w:color="auto"/>
        <w:bottom w:val="none" w:sz="0" w:space="0" w:color="auto"/>
        <w:right w:val="none" w:sz="0" w:space="0" w:color="auto"/>
      </w:divBdr>
    </w:div>
    <w:div w:id="1771899294">
      <w:bodyDiv w:val="1"/>
      <w:marLeft w:val="0"/>
      <w:marRight w:val="0"/>
      <w:marTop w:val="0"/>
      <w:marBottom w:val="0"/>
      <w:divBdr>
        <w:top w:val="none" w:sz="0" w:space="0" w:color="auto"/>
        <w:left w:val="none" w:sz="0" w:space="0" w:color="auto"/>
        <w:bottom w:val="none" w:sz="0" w:space="0" w:color="auto"/>
        <w:right w:val="none" w:sz="0" w:space="0" w:color="auto"/>
      </w:divBdr>
    </w:div>
    <w:div w:id="1816877361">
      <w:bodyDiv w:val="1"/>
      <w:marLeft w:val="0"/>
      <w:marRight w:val="0"/>
      <w:marTop w:val="0"/>
      <w:marBottom w:val="0"/>
      <w:divBdr>
        <w:top w:val="none" w:sz="0" w:space="0" w:color="auto"/>
        <w:left w:val="none" w:sz="0" w:space="0" w:color="auto"/>
        <w:bottom w:val="none" w:sz="0" w:space="0" w:color="auto"/>
        <w:right w:val="none" w:sz="0" w:space="0" w:color="auto"/>
      </w:divBdr>
    </w:div>
    <w:div w:id="1889413154">
      <w:bodyDiv w:val="1"/>
      <w:marLeft w:val="0"/>
      <w:marRight w:val="0"/>
      <w:marTop w:val="0"/>
      <w:marBottom w:val="0"/>
      <w:divBdr>
        <w:top w:val="none" w:sz="0" w:space="0" w:color="auto"/>
        <w:left w:val="none" w:sz="0" w:space="0" w:color="auto"/>
        <w:bottom w:val="none" w:sz="0" w:space="0" w:color="auto"/>
        <w:right w:val="none" w:sz="0" w:space="0" w:color="auto"/>
      </w:divBdr>
    </w:div>
    <w:div w:id="2074503940">
      <w:bodyDiv w:val="1"/>
      <w:marLeft w:val="0"/>
      <w:marRight w:val="0"/>
      <w:marTop w:val="0"/>
      <w:marBottom w:val="0"/>
      <w:divBdr>
        <w:top w:val="none" w:sz="0" w:space="0" w:color="auto"/>
        <w:left w:val="none" w:sz="0" w:space="0" w:color="auto"/>
        <w:bottom w:val="none" w:sz="0" w:space="0" w:color="auto"/>
        <w:right w:val="none" w:sz="0" w:space="0" w:color="auto"/>
      </w:divBdr>
    </w:div>
    <w:div w:id="208221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stor.org/stable/18216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mcb.124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191359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0304-3932(86)90032-2" TargetMode="External"/><Relationship Id="rId4" Type="http://schemas.openxmlformats.org/officeDocument/2006/relationships/settings" Target="settings.xml"/><Relationship Id="rId9" Type="http://schemas.openxmlformats.org/officeDocument/2006/relationships/hyperlink" Target="https://doi.org/10.1353/eca.2003.0010" TargetMode="Externa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066F-849A-4B05-8385-01BC4222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Links>
    <vt:vector size="30" baseType="variant">
      <vt:variant>
        <vt:i4>2228345</vt:i4>
      </vt:variant>
      <vt:variant>
        <vt:i4>18</vt:i4>
      </vt:variant>
      <vt:variant>
        <vt:i4>0</vt:i4>
      </vt:variant>
      <vt:variant>
        <vt:i4>5</vt:i4>
      </vt:variant>
      <vt:variant>
        <vt:lpwstr>http://www.jstor.org/stable/1821653</vt:lpwstr>
      </vt:variant>
      <vt:variant>
        <vt:lpwstr/>
      </vt:variant>
      <vt:variant>
        <vt:i4>2621559</vt:i4>
      </vt:variant>
      <vt:variant>
        <vt:i4>15</vt:i4>
      </vt:variant>
      <vt:variant>
        <vt:i4>0</vt:i4>
      </vt:variant>
      <vt:variant>
        <vt:i4>5</vt:i4>
      </vt:variant>
      <vt:variant>
        <vt:lpwstr>https://doi.org/10.1111/jmcb.12480</vt:lpwstr>
      </vt:variant>
      <vt:variant>
        <vt:lpwstr/>
      </vt:variant>
      <vt:variant>
        <vt:i4>2293867</vt:i4>
      </vt:variant>
      <vt:variant>
        <vt:i4>12</vt:i4>
      </vt:variant>
      <vt:variant>
        <vt:i4>0</vt:i4>
      </vt:variant>
      <vt:variant>
        <vt:i4>5</vt:i4>
      </vt:variant>
      <vt:variant>
        <vt:lpwstr>https://doi.org/10.2307/1913597</vt:lpwstr>
      </vt:variant>
      <vt:variant>
        <vt:lpwstr/>
      </vt:variant>
      <vt:variant>
        <vt:i4>131141</vt:i4>
      </vt:variant>
      <vt:variant>
        <vt:i4>9</vt:i4>
      </vt:variant>
      <vt:variant>
        <vt:i4>0</vt:i4>
      </vt:variant>
      <vt:variant>
        <vt:i4>5</vt:i4>
      </vt:variant>
      <vt:variant>
        <vt:lpwstr>https://doi.org/10.1016/0304-3932(86)90032-2</vt:lpwstr>
      </vt:variant>
      <vt:variant>
        <vt:lpwstr/>
      </vt:variant>
      <vt:variant>
        <vt:i4>5832770</vt:i4>
      </vt:variant>
      <vt:variant>
        <vt:i4>6</vt:i4>
      </vt:variant>
      <vt:variant>
        <vt:i4>0</vt:i4>
      </vt:variant>
      <vt:variant>
        <vt:i4>5</vt:i4>
      </vt:variant>
      <vt:variant>
        <vt:lpwstr>https://doi.org/10.1353/eca.2003.0010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振威 罗</dc:creator>
  <cp:keywords/>
  <cp:lastModifiedBy>Shiqi Geng (SME, 119030014)</cp:lastModifiedBy>
  <cp:revision>2</cp:revision>
  <cp:lastPrinted>2024-12-14T21:36:00Z</cp:lastPrinted>
  <dcterms:created xsi:type="dcterms:W3CDTF">2024-12-14T05:43:00Z</dcterms:created>
  <dcterms:modified xsi:type="dcterms:W3CDTF">2024-12-14T05:43:00Z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9DA85FCB8A175A667D665B67E4DBD26A_42</vt:lpwstr>
  </property>
</Properties>
</file>